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版本号：LHZBZC2026005S20260119001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购置春节慰问物品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LHZBZC2026005S</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购置春节慰问物品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LHZBZC2026005S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购置春节慰问物品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2026年春节慰问工作，保障奋战在一线的保洁员及环卫车辆驾驶员的身体健康及人身安全，西安市新城区城市管理和综合执法局拟按200元/人标准为全区2457名市容环卫保洁员、环卫车辆驾驶员发放米、面、油等慰问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采购包1（购置春节慰问物品）：属于专门面向中小企业采购。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2、法定代表人授权委托书：法定代表人直接参加磋商的，须出具法定代表人证明书及身份证；法定代表人授权代表参加磋商的，须出具法定代表人授权书及授权代表身份证。</w:t>
      </w:r>
    </w:p>
    <w:p>
      <w:pPr>
        <w:pStyle w:val="null3"/>
      </w:pPr>
      <w:r>
        <w:rPr>
          <w:rFonts w:ascii="仿宋_GB2312" w:hAnsi="仿宋_GB2312" w:cs="仿宋_GB2312" w:eastAsia="仿宋_GB2312"/>
        </w:rPr>
        <w:t>3、财务状况报告：提供2024年度经审计的财务审计报告或磋商响应文件递交截止时间前六个月内供应商基本存款账户开户银行出具的资信证明（其他组织和自然人提供银行出具的资信证明）。</w:t>
      </w:r>
    </w:p>
    <w:p>
      <w:pPr>
        <w:pStyle w:val="null3"/>
      </w:pPr>
      <w:r>
        <w:rPr>
          <w:rFonts w:ascii="仿宋_GB2312" w:hAnsi="仿宋_GB2312" w:cs="仿宋_GB2312" w:eastAsia="仿宋_GB2312"/>
        </w:rPr>
        <w:t>4、税收缴纳证明：提供自2025年06月01日至递交磋商响应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自2025年06月01日至递交磋商响应文件截止之日内任意一个月的社会保障资金缴存单据或社保机构开具的社会保险参保缴费情况证明。依法不需要缴纳社会保障资金的供应商应提供相应证明文件。</w:t>
      </w:r>
    </w:p>
    <w:p>
      <w:pPr>
        <w:pStyle w:val="null3"/>
      </w:pPr>
      <w:r>
        <w:rPr>
          <w:rFonts w:ascii="仿宋_GB2312" w:hAnsi="仿宋_GB2312" w:cs="仿宋_GB2312" w:eastAsia="仿宋_GB2312"/>
        </w:rPr>
        <w:t>6、承诺书：提供产品满足国家食品安全相关标准、检测报告真实有效、具有履行本合同所必需的设备和专业技术能力以及食品安全保障能力的承诺。</w:t>
      </w:r>
    </w:p>
    <w:p>
      <w:pPr>
        <w:pStyle w:val="null3"/>
      </w:pPr>
      <w:r>
        <w:rPr>
          <w:rFonts w:ascii="仿宋_GB2312" w:hAnsi="仿宋_GB2312" w:cs="仿宋_GB2312" w:eastAsia="仿宋_GB2312"/>
        </w:rPr>
        <w:t>7、书面声明：提供参加采购活动前三年内在经营活动中没有重大违法记录的书面声明。</w:t>
      </w:r>
    </w:p>
    <w:p>
      <w:pPr>
        <w:pStyle w:val="null3"/>
      </w:pPr>
      <w:r>
        <w:rPr>
          <w:rFonts w:ascii="仿宋_GB2312" w:hAnsi="仿宋_GB2312" w:cs="仿宋_GB2312" w:eastAsia="仿宋_GB2312"/>
        </w:rPr>
        <w:t>8、信用信息：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9、资质证书：供应商为生产厂家的须提供《食品生产许可证》及《食品经营许可证》；供应商为代理商的须提供《食品经营许可证》</w:t>
      </w:r>
    </w:p>
    <w:p>
      <w:pPr>
        <w:pStyle w:val="null3"/>
      </w:pPr>
      <w:r>
        <w:rPr>
          <w:rFonts w:ascii="仿宋_GB2312" w:hAnsi="仿宋_GB2312" w:cs="仿宋_GB2312" w:eastAsia="仿宋_GB2312"/>
        </w:rPr>
        <w:t>10、本项目不接受联合体投标，不允许分包：本项目不接受联合体磋商，不允许分包：供应商应提供《非联合体不分包投标声明》，视为独立投标，不分包。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刘自强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黄沛、宋妍、陈新鹏、李晨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代理服务费收费标准：1、采购代理服务费：招标代理服务费参照《招标代理服务收费管理暂行办法》计价格[2002]1980号文和发改价格[2011]534号，以中标价为基数计取代理服务费。 2、本项目类型为：货物。 3、采购代理服务费费币种为人民币。 4、采购代理服务费收取：单位名称：凌辉建设工程咨询有限公司 开户银行：招商银行西安南大街支行 账号：292083674310001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次随货送上一式三份的送货清单，采购人指派专人接收、称重并验收货品质量；验收合格后由采购人指定验收员签字核认，作为结算凭证。对不符合质量的品种，采购人有权退、换货。货品验收合格后签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联系人：黄沛、宋妍、陈新鹏、李晨</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2026年春节慰问工作，保障奋战在一线的保洁员及环卫车辆驾驶员的身体健康及人身安全，西安市新城区城市管理和综合执法局拟按200元/人标准为全区2457名市容环卫保洁员、环卫车辆驾驶员发放米、面、油等慰问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491,400.00</w:t>
      </w:r>
    </w:p>
    <w:p>
      <w:pPr>
        <w:pStyle w:val="null3"/>
      </w:pPr>
      <w:r>
        <w:rPr>
          <w:rFonts w:ascii="仿宋_GB2312" w:hAnsi="仿宋_GB2312" w:cs="仿宋_GB2312" w:eastAsia="仿宋_GB2312"/>
        </w:rPr>
        <w:t>采购包最高限价（元）: 491,400.00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其他食品饮料和烟草原料</w:t>
            </w:r>
          </w:p>
        </w:tc>
        <w:tc>
          <w:tcPr>
            <w:tcW w:type="dxa" w:w="831"/>
          </w:tcPr>
          <w:p>
            <w:pPr>
              <w:pStyle w:val="null3"/>
              <w:jc w:val="right"/>
            </w:pPr>
            <w:r>
              <w:rPr>
                <w:rFonts w:ascii="仿宋_GB2312" w:hAnsi="仿宋_GB2312" w:cs="仿宋_GB2312" w:eastAsia="仿宋_GB2312"/>
              </w:rPr>
              <w:t>2,457.00</w:t>
            </w:r>
          </w:p>
        </w:tc>
        <w:tc>
          <w:tcPr>
            <w:tcW w:type="dxa" w:w="831"/>
          </w:tcPr>
          <w:p>
            <w:pPr>
              <w:pStyle w:val="null3"/>
              <w:jc w:val="right"/>
            </w:pPr>
            <w:r>
              <w:rPr>
                <w:rFonts w:ascii="仿宋_GB2312" w:hAnsi="仿宋_GB2312" w:cs="仿宋_GB2312" w:eastAsia="仿宋_GB2312"/>
              </w:rPr>
              <w:t>491,400.00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标的名称：其他食品饮料和烟草原料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1、采购清单</w:t>
            </w:r>
          </w:p>
          <w:tbl>
            <w:tblPr>
              <w:tblInd w:type="dxa" w:w="255"/>
              <w:tblBorders>
                <w:top w:val="none" w:color="000000" w:sz="4"/>
                <w:left w:val="none" w:color="000000" w:sz="4"/>
                <w:bottom w:val="none" w:color="000000" w:sz="4"/>
                <w:right w:val="none" w:color="000000" w:sz="4"/>
                <w:insideH w:val="none"/>
                <w:insideV w:val="none"/>
              </w:tblBorders>
            </w:tblPr>
            <w:tblGrid>
              <w:gridCol w:w="329"/>
              <w:gridCol w:w="329"/>
              <w:gridCol w:w="499"/>
              <w:gridCol w:w="1054"/>
              <w:gridCol w:w="329"/>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r>
                    <w:rPr>
                      <w:rFonts w:ascii="仿宋_GB2312" w:hAnsi="仿宋_GB2312" w:cs="仿宋_GB2312" w:eastAsia="仿宋_GB2312"/>
                      <w:sz w:val="21"/>
                    </w:rPr>
                    <w:t>（核心产品）</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2457</w:t>
                  </w:r>
                  <w:r>
                    <w:rPr>
                      <w:rFonts w:ascii="仿宋_GB2312" w:hAnsi="仿宋_GB2312" w:cs="仿宋_GB2312" w:eastAsia="仿宋_GB2312"/>
                      <w:sz w:val="21"/>
                    </w:rPr>
                    <w:t>袋</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1、产品执行标准号：GB/T1354；</w:t>
                  </w:r>
                </w:p>
                <w:p>
                  <w:pPr>
                    <w:pStyle w:val="null3"/>
                    <w:jc w:val="left"/>
                  </w:pPr>
                  <w:r>
                    <w:rPr>
                      <w:rFonts w:ascii="仿宋_GB2312" w:hAnsi="仿宋_GB2312" w:cs="仿宋_GB2312" w:eastAsia="仿宋_GB2312"/>
                      <w:sz w:val="21"/>
                    </w:rPr>
                    <w:t>2、净含量：10kg/袋；</w:t>
                  </w:r>
                </w:p>
                <w:p>
                  <w:pPr>
                    <w:pStyle w:val="null3"/>
                    <w:jc w:val="left"/>
                  </w:pPr>
                  <w:r>
                    <w:rPr>
                      <w:rFonts w:ascii="仿宋_GB2312" w:hAnsi="仿宋_GB2312" w:cs="仿宋_GB2312" w:eastAsia="仿宋_GB2312"/>
                      <w:sz w:val="21"/>
                    </w:rPr>
                    <w:t>3、质量等级：一等；</w:t>
                  </w:r>
                </w:p>
                <w:p>
                  <w:pPr>
                    <w:pStyle w:val="null3"/>
                    <w:jc w:val="left"/>
                  </w:pPr>
                  <w:r>
                    <w:rPr>
                      <w:rFonts w:ascii="仿宋_GB2312" w:hAnsi="仿宋_GB2312" w:cs="仿宋_GB2312" w:eastAsia="仿宋_GB2312"/>
                      <w:sz w:val="21"/>
                    </w:rPr>
                    <w:t>4、外包装上必须标明生产日期、保质期、执行标准、储存条件、生产厂家、产地等。</w:t>
                  </w:r>
                </w:p>
                <w:p>
                  <w:pPr>
                    <w:pStyle w:val="null3"/>
                    <w:jc w:val="left"/>
                  </w:pPr>
                  <w:r>
                    <w:rPr>
                      <w:rFonts w:ascii="仿宋_GB2312" w:hAnsi="仿宋_GB2312" w:cs="仿宋_GB2312" w:eastAsia="仿宋_GB2312"/>
                      <w:sz w:val="21"/>
                    </w:rPr>
                    <w:t>5、提供产品彩色图片。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批发业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2457</w:t>
                  </w:r>
                  <w:r>
                    <w:rPr>
                      <w:rFonts w:ascii="仿宋_GB2312" w:hAnsi="仿宋_GB2312" w:cs="仿宋_GB2312" w:eastAsia="仿宋_GB2312"/>
                      <w:sz w:val="21"/>
                    </w:rPr>
                    <w:t>袋</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1、产品执行标准号：GB/T 8607；</w:t>
                  </w:r>
                </w:p>
                <w:p>
                  <w:pPr>
                    <w:pStyle w:val="null3"/>
                    <w:jc w:val="left"/>
                  </w:pPr>
                  <w:r>
                    <w:rPr>
                      <w:rFonts w:ascii="仿宋_GB2312" w:hAnsi="仿宋_GB2312" w:cs="仿宋_GB2312" w:eastAsia="仿宋_GB2312"/>
                      <w:sz w:val="21"/>
                    </w:rPr>
                    <w:t>2、净含量：10kg/袋；</w:t>
                  </w:r>
                </w:p>
                <w:p>
                  <w:pPr>
                    <w:pStyle w:val="null3"/>
                    <w:jc w:val="left"/>
                  </w:pPr>
                  <w:r>
                    <w:rPr>
                      <w:rFonts w:ascii="仿宋_GB2312" w:hAnsi="仿宋_GB2312" w:cs="仿宋_GB2312" w:eastAsia="仿宋_GB2312"/>
                      <w:sz w:val="21"/>
                    </w:rPr>
                    <w:t>3、质量等级：一等；</w:t>
                  </w:r>
                </w:p>
                <w:p>
                  <w:pPr>
                    <w:pStyle w:val="null3"/>
                  </w:pPr>
                  <w:r>
                    <w:rPr>
                      <w:rFonts w:ascii="仿宋_GB2312" w:hAnsi="仿宋_GB2312" w:cs="仿宋_GB2312" w:eastAsia="仿宋_GB2312"/>
                      <w:sz w:val="21"/>
                    </w:rPr>
                    <w:t>4、外包装上必须标明生产日期、保质期、执行标准、储存条件、生产厂家、产地等。</w:t>
                  </w:r>
                </w:p>
                <w:p>
                  <w:pPr>
                    <w:pStyle w:val="null3"/>
                  </w:pPr>
                  <w:r>
                    <w:rPr>
                      <w:rFonts w:ascii="仿宋_GB2312" w:hAnsi="仿宋_GB2312" w:cs="仿宋_GB2312" w:eastAsia="仿宋_GB2312"/>
                      <w:sz w:val="21"/>
                    </w:rPr>
                    <w:t>5、</w:t>
                  </w:r>
                  <w:r>
                    <w:rPr>
                      <w:rFonts w:ascii="仿宋_GB2312" w:hAnsi="仿宋_GB2312" w:cs="仿宋_GB2312" w:eastAsia="仿宋_GB2312"/>
                      <w:sz w:val="22"/>
                    </w:rPr>
                    <w:t>提供产品彩色图片。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批发业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2457</w:t>
                  </w:r>
                  <w:r>
                    <w:rPr>
                      <w:rFonts w:ascii="仿宋_GB2312" w:hAnsi="仿宋_GB2312" w:cs="仿宋_GB2312" w:eastAsia="仿宋_GB2312"/>
                      <w:sz w:val="21"/>
                    </w:rPr>
                    <w:t>桶</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1、产品执行标准号：GB/T1536；</w:t>
                  </w:r>
                </w:p>
                <w:p>
                  <w:pPr>
                    <w:pStyle w:val="null3"/>
                    <w:jc w:val="left"/>
                  </w:pPr>
                  <w:r>
                    <w:rPr>
                      <w:rFonts w:ascii="仿宋_GB2312" w:hAnsi="仿宋_GB2312" w:cs="仿宋_GB2312" w:eastAsia="仿宋_GB2312"/>
                      <w:sz w:val="21"/>
                    </w:rPr>
                    <w:t>2、净含量5L/桶；</w:t>
                  </w:r>
                </w:p>
                <w:p>
                  <w:pPr>
                    <w:pStyle w:val="null3"/>
                    <w:jc w:val="left"/>
                  </w:pPr>
                  <w:r>
                    <w:rPr>
                      <w:rFonts w:ascii="仿宋_GB2312" w:hAnsi="仿宋_GB2312" w:cs="仿宋_GB2312" w:eastAsia="仿宋_GB2312"/>
                      <w:sz w:val="21"/>
                    </w:rPr>
                    <w:t>3、原料为100%非转基因油菜籽；</w:t>
                  </w:r>
                </w:p>
                <w:p>
                  <w:pPr>
                    <w:pStyle w:val="null3"/>
                  </w:pPr>
                  <w:r>
                    <w:rPr>
                      <w:rFonts w:ascii="仿宋_GB2312" w:hAnsi="仿宋_GB2312" w:cs="仿宋_GB2312" w:eastAsia="仿宋_GB2312"/>
                      <w:sz w:val="21"/>
                    </w:rPr>
                    <w:t>4、外包装上必须标明生产日期、保质期、执行标准、储存条件、生产厂家、产地等。</w:t>
                  </w:r>
                </w:p>
                <w:p>
                  <w:pPr>
                    <w:pStyle w:val="null3"/>
                  </w:pPr>
                  <w:r>
                    <w:rPr>
                      <w:rFonts w:ascii="仿宋_GB2312" w:hAnsi="仿宋_GB2312" w:cs="仿宋_GB2312" w:eastAsia="仿宋_GB2312"/>
                      <w:sz w:val="21"/>
                    </w:rPr>
                    <w:t>5、</w:t>
                  </w:r>
                  <w:r>
                    <w:rPr>
                      <w:rFonts w:ascii="仿宋_GB2312" w:hAnsi="仿宋_GB2312" w:cs="仿宋_GB2312" w:eastAsia="仿宋_GB2312"/>
                      <w:sz w:val="22"/>
                    </w:rPr>
                    <w:t>提供产品彩色图片。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批发业</w:t>
                  </w:r>
                </w:p>
              </w:tc>
            </w:tr>
          </w:tbl>
          <w:p>
            <w:pPr>
              <w:pStyle w:val="null3"/>
            </w:pPr>
            <w:r>
              <w:rPr>
                <w:rFonts w:ascii="仿宋_GB2312" w:hAnsi="仿宋_GB2312" w:cs="仿宋_GB2312" w:eastAsia="仿宋_GB2312"/>
                <w:sz w:val="21"/>
                <w:color w:val="000000"/>
              </w:rPr>
              <w:t>2、产品必须是具有合格资质的正规企业生产的大米、小麦粉及食用油，且不得由其他企业进行二次包装或分装。</w:t>
            </w:r>
            <w:r>
              <w:rPr>
                <w:rFonts w:ascii="仿宋_GB2312" w:hAnsi="仿宋_GB2312" w:cs="仿宋_GB2312" w:eastAsia="仿宋_GB2312"/>
                <w:sz w:val="21"/>
                <w:b/>
                <w:color w:val="000000"/>
              </w:rPr>
              <w:t>需要提供国家相关部门认可的检验或检测机构</w:t>
            </w:r>
            <w:r>
              <w:rPr>
                <w:rFonts w:ascii="仿宋_GB2312" w:hAnsi="仿宋_GB2312" w:cs="仿宋_GB2312" w:eastAsia="仿宋_GB2312"/>
                <w:sz w:val="21"/>
                <w:b/>
                <w:color w:val="000000"/>
              </w:rPr>
              <w:t>近期（</w:t>
            </w:r>
            <w:r>
              <w:rPr>
                <w:rFonts w:ascii="仿宋_GB2312" w:hAnsi="仿宋_GB2312" w:cs="仿宋_GB2312" w:eastAsia="仿宋_GB2312"/>
                <w:sz w:val="21"/>
                <w:b/>
                <w:color w:val="000000"/>
              </w:rPr>
              <w:t>2025年01月01日至递交磋商响应文件止</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对所投标产品的检验报告。</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rPr>
              <w:t>物资产品在送达甲方指定地点时保质期剩余时间应在三分之二以上。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自合同签订之日起3个日历日内完成。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采购人指定地点上门配送</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乙方完成配送并由甲方验收合格后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1、所验产品的指标、性能参数通过验收不满足磋商文件要求和磋商响应文件承诺的，或在使用中发现采购人不能容忍的缺陷等，将视为产品验收不合格，供应商应无条件免费更换或退货。 2、若发现供应商有弄虚作假的，在投标阶段故意或随意夸大产品技术性能，供应商应无条件退货，并赔偿采购人相应的损失。 3、验收标准：按磋商文件、磋商响应文件及澄清函等技术指标进行验收。各项指标均应符合验收标准及要求。严格按照《食品安全法》的规定保证质量。质量按照国家最新相关标准执行。严禁添加剂、防腐剂和一些可能危害身体健康的元素含量超标。 4、验收合格后，填写验收单，双方签字生效。 5、验收依据： 5.1、合同文本； 5.2、磋商响应文件及澄清函、磋商文件； 5.3、国家和行业制定的相应的标准和规范； 5.4、产品验收清单（注明品名、数量、规格和原产地或生产厂家）。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乙方负责所有货物的运输。确保货物安全、完整到达使用地点，运杂费用包含在总价内，包括货物从供货地点到使用地点的运输费、保险费、搬运费等。 2、所有货物在运输、搬运的过程中，造成甲方损失的，由乙方为甲方修复或更新。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3、因采购人原因导制变更、中止或者终止政府采购合同的，采购人应当依照合同约定对供应商受到的损失予以赔偿或者补偿。 4、违约终止合同：未按合同要求提供货物或质量不能满足技术要求，甲方会同监督机构有权终止合同，对乙方违约行为进行追究，同时按政府采购法的有关规定进行相应的处罚。 争议解决：合同执行中发生争议的，当事人双方应协商解决。协商达不成一致时，可向有管辖权的人民法院提起诉讼。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与电子版文件内容保持一致。纸质版投标文件的正本和副本应采用粘贴方式左侧装订，不得采用活页夹的可随时拆换的方式装订，不得有零散页。应按档案要求必须编制目录，无少页、缺页的现象，文件送达地点：西安市未央区太华北路甲字88号大明宫中央广场A座22层代理部；（2）磋商报价是供应商应在磋商报价表中标明完成本项目所要求内容且验收合格的所有费用，总价包括但不限于产品费、人工费、管理费、仓储费、配送费、采购代理服务费、利润、税金及不可预见费等全部费用。任何有选择的报价将不予接受，否则按无效磋商处理。 （3）项目属性：货物 （4）本项目所属行业为：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5）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6）根据《陕西省财政厅关于印发&lt;陕西省中小企业政府采购信用融资办法&gt;的通知》（陕财办采〔2018〕23号）相关规定，有融资需求的供应商可根据自身情况，在陕西省政府采购信用融资平台（网址：http://www.ccgp-shaanxi.gov.cn/zcdservice/zcd/shanxi/ ）自主选择金融机构及其融资产品，凭政府采购中标（成交）通知书或政府采购合同提出融资申请。（政府采购监管部门业务咨询电话：029-68936154、029-68936341）。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提供2024年度经审计的财务审计报告或磋商响应文件递交截止时间前六个月内供应商基本存款账户开户银行出具的资信证明（其他组织和自然人提供银行出具的资信证明）。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法定代表人直接参加磋商的，须出具法定代表人证明书及身份证；法定代表人授权代表参加磋商的，须出具法定代表人授权书及授权代表身份证。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提供2024年度经审计的财务审计报告或磋商响应文件递交截止时间前六个月内供应商基本存款账户开户银行出具的资信证明（其他组织和自然人提供银行出具的资信证明）。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提供自2025年06月01日至递交磋商响应文件截止之日内已缴存任意一个月的依法缴纳税收的相关凭据，凭据应有税务机关或代收机关的公章或业务专用章。依法免税或无须缴纳税收的供应商，应提供相应证明文件。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提供自2025年06月01日至递交磋商响应文件截止之日内任意一个月的社会保障资金缴存单据或社保机构开具的社会保险参保缴费情况证明。依法不需要缴纳社会保障资金的供应商应提供相应证明文件。</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提供产品满足国家食品安全相关标准、检测报告真实有效、具有履行本合同所必需的设备和专业技术能力以及食品安全保障能力的承诺。</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提供参加采购活动前三年内在经营活动中没有重大违法记录的书面声明。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供应商为生产厂家的须提供《食品生产许可证》及《食品经营许可证》；供应商为代理商的须提供《食品经营许可证》</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本项目不接受联合体磋商，不允许分包：供应商应提供《非联合体不分包投标声明》，视为独立投标，不分包。</w:t>
            </w:r>
          </w:p>
        </w:tc>
        <w:tc>
          <w:tcPr>
            <w:tcW w:type="dxa" w:w="1661"/>
          </w:tcPr>
          <w:p>
            <w:pPr>
              <w:pStyle w:val="null3"/>
            </w:pPr>
            <w:r>
              <w:rPr>
                <w:rFonts w:ascii="仿宋_GB2312" w:hAnsi="仿宋_GB2312" w:cs="仿宋_GB2312" w:eastAsia="仿宋_GB2312"/>
              </w:rPr>
              <w:t>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响应文件中项目名称、项目编号与本项目一致，无遗漏；</w:t>
            </w:r>
          </w:p>
        </w:tc>
        <w:tc>
          <w:tcPr>
            <w:tcW w:type="dxa" w:w="1661"/>
          </w:tcPr>
          <w:p>
            <w:pPr>
              <w:pStyle w:val="null3"/>
            </w:pPr>
            <w:r>
              <w:rPr>
                <w:rFonts w:ascii="仿宋_GB2312" w:hAnsi="仿宋_GB2312" w:cs="仿宋_GB2312" w:eastAsia="仿宋_GB2312"/>
              </w:rPr>
              <w:t>响应文件封面 资格证明资料 偏离表 分项报价表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响应文件签署、盖章及投标有效期符合招标文件要求</w:t>
            </w:r>
          </w:p>
        </w:tc>
        <w:tc>
          <w:tcPr>
            <w:tcW w:type="dxa" w:w="1661"/>
          </w:tcPr>
          <w:p>
            <w:pPr>
              <w:pStyle w:val="null3"/>
            </w:pPr>
            <w:r>
              <w:rPr>
                <w:rFonts w:ascii="仿宋_GB2312" w:hAnsi="仿宋_GB2312" w:cs="仿宋_GB2312" w:eastAsia="仿宋_GB2312"/>
              </w:rPr>
              <w:t>响应文件封面 偏离表 分项报价表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报价符合唯一性要求；磋商报价未超出采购最高限价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投标响应产品的技术指标无重大偏离，未造成产品档次降低或严重影响产品质量；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1.评审内容 供应商需针对本项目提供整体服务方案。内容包含但不限于：①整体规划、备货；②进度计划；③人员分工明细；④配送保障措施。 2.评审标准： ①完整性：方案必须全面，对评审内容中的各项要求有详细描述； ②可实施性：切合本项目实际情况，提出步骤清晰、合理的方案； ③针对性：方案能够紧扣项目实际情况，内容科学合理。 3.赋分标准： ①整体规划、备货：每完全满足一项评审标准得1分，满分3分；有一项缺陷扣0.5分。 ②进度计划：每完全满足一项评审标准得1分，满分3分；有一项缺陷扣0.5分。 ③人员分工明细：每完全满足一项评审标准得1分，满分3分；有一项缺陷扣0.5分。 ④配送保障措施：每完全满足一项评审标准得1分，满分3分；有一项缺陷扣0.5分。 以上内容未提供得0分。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1.评审内容 供应商针对本项目提供切实可行的配送方案，内容包括但不限于①配送方式及配送时效方案；②配送人员车辆配备方案。 2.评审标准： ①可实施性：切合本项目实际情况，方案全面、实施步骤清晰、计划合理； ②针对性：供应商配送货物满足招标文件要求，方案能够紧扣项目实际情况，内容科学合理； 3.赋分标准： ①配送方式及配送时效方案：每完全满足一项评审标准得2分，满分4分；有一项缺陷扣0.5分。 ②配送人员车辆配备方案：每完全满足一项评审标准得2分，满分4分；有一项缺陷扣0.5分。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供应商针对拟投入本项目的团队人员配置合理，人员职责分工明确： （1）拟派团队人员配备合理、人员数量充足、职责明确、分工清晰、工作经历丰富、能够完全满足采购配送所需的得6分； （2）拟派团队人员配备基本合理、人员数量一般、职责、分工一般、缺少部分工作经历、勉强能满足基本采购配送所需的得4分； （3）拟派团队人员配备不合理且有欠缺、人员数量无保证、职责、分工不明确、工作经历较少、不能够满足采购配送所需的得2分； 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针对本项目有应急处理预案，包含但不限于①应急保障方案；②针对运输途中产生的破损、胀袋等补救措施和承诺等。 2.评审标准： ①可实施性：切合本项目实际情况，方案全面、实施步骤清晰、计划合理； ②针对性：供应商配送货物满足招标文件要求，方案能够紧扣项目实际情况，内容科学合理； 3.赋分标准： ①应急保障方案：每完全满足一项评审标准得2分，满分4分；有一项缺陷扣0.5分。 ②针对运输途中产生的破损、胀袋等补救措施和承诺：每完全满足一项评审标准得2分，满分4分；有一项缺陷扣0.5分。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供应商针对本次采购活动提供的：①食品质量保证措施②食品采购安全执行标准； 2.评审标准： ①完整性：方案必须全面，对评审内容中的各项要求有详细描述； ②可实施性：切合本项目实际情况，提出步骤清晰、合理的方案； ③针对性：方案能够紧扣项目实际情况，内容科学合理。 3.赋分标准： ①食品质量保证措施：每完全满足一项评审标准得2分，满分6分；有一项缺陷扣0.5分。 ②食品采购安全执行标准：每完全满足一项评审标准得2分，满分6分；有一项缺陷扣0.5分。 以上内容未提供得0分。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根据项目实际需求提供售后服务方案。内容包含①售后服务内容及方式②售后服务保障措施。 2.评审标准： ①可实施性：切合本项目实际情况，方案全面、实施步骤清晰、计划合理； ②针对性：方案能够紧扣项目实际情况，内容科学合理； 3.赋分标准： ①售后服务内容及方式：每完全满足一个评审标准得2分，满分4分；有一项缺陷扣0.5分。 ②售后服务保障措施:每完全满足一个评审标准得2分，满分4分；有一项缺陷扣0.5分。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 为更好的服务于本项目，供应商提出适用本项目实施的合理化建议：①对本项目供货工作中的常见问题进行梳理；②针对问题提供的的解决方案。 2.评审标准： ①可实施性：切合本项目实际情况，方案全面、实施步骤清晰、计划合理； ②针对性：方案能够紧扣项目实际情况，内容科学合理； 3.赋分标准： ①常见问题进行梳理：每完全满足一个评审标准得2分，满分4分；有一项缺陷扣0.5分。 ②解决方案:每完全满足一个评审标准得2分，满分4分；有一项缺陷扣0.5分。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供应商提供近三年（2023年01月至今）具有类似项目业绩，每提供一份得2分，满分8分。 评审依据：提供供应商加盖公章的合同协议书复印件，以合同签订时间为准。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详见附件：资格证明资料</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