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版本号：HTXMZB2026-00320260127001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街道综合养老服务中心消防改造项目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HTXMZB2026-003</w:t>
      </w:r>
      <w:r>
        <w:br/>
      </w:r>
      <w:r>
        <w:br/>
      </w:r>
      <w:r>
        <w:br/>
      </w:r>
    </w:p>
    <w:p>
      <w:pPr>
        <w:pStyle w:val="null3"/>
        <w:jc w:val="center"/>
        <w:outlineLvl w:val="2"/>
      </w:pPr>
      <w:r>
        <w:rPr>
          <w:rFonts w:ascii="仿宋_GB2312" w:hAnsi="仿宋_GB2312" w:cs="仿宋_GB2312" w:eastAsia="仿宋_GB2312"/>
          <w:sz w:val="28"/>
          <w:b/>
        </w:rPr>
        <w:t>西安市新城区中山门街道办事处</w:t>
      </w:r>
    </w:p>
    <w:p>
      <w:pPr>
        <w:pStyle w:val="null3"/>
        <w:jc w:val="center"/>
        <w:outlineLvl w:val="2"/>
      </w:pPr>
      <w:r>
        <w:rPr>
          <w:rFonts w:ascii="仿宋_GB2312" w:hAnsi="仿宋_GB2312" w:cs="仿宋_GB2312" w:eastAsia="仿宋_GB2312"/>
          <w:sz w:val="28"/>
          <w:b/>
        </w:rPr>
        <w:t>陕西华泰工程项目管理有限公司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西安市新城区中山门街道办事处</w:t>
      </w:r>
      <w:r>
        <w:rPr>
          <w:rFonts w:ascii="仿宋_GB2312" w:hAnsi="仿宋_GB2312" w:cs="仿宋_GB2312" w:eastAsia="仿宋_GB2312"/>
        </w:rPr>
        <w:t>委托，拟对</w:t>
      </w:r>
      <w:r>
        <w:rPr>
          <w:rFonts w:ascii="仿宋_GB2312" w:hAnsi="仿宋_GB2312" w:cs="仿宋_GB2312" w:eastAsia="仿宋_GB2312"/>
        </w:rPr>
        <w:t>街道综合养老服务中心消防改造项目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HTXMZB2026-003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街道综合养老服务中心消防改造项目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中山门街道综合养老服务中心消防安全改造（具体建设内容详见施工图纸及工程量清单）。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采购包1（街道综合养老服务中心消防改造项目）：属于专门面向中小企业采购。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01月至今已缴纳的至少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4、社会保障资金缴纳证明：提供2025年01月至今已缴纳的至少一个月的社会保障资金缴存单据或社保机构开具的社会保险参保缴费情况证明，依法不需要缴纳社会保障资金的单位应提供相关证明材料。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要求：具备建筑行政主管部门颁发的有效的消防设施工程专业承包二级以上（含二级）资质证明，并具备合格有效的安全生产许可证，并在“陕西省住房和城乡建设厅”官方网站可查询（提供网页截图）。</w:t>
      </w:r>
    </w:p>
    <w:p>
      <w:pPr>
        <w:pStyle w:val="null3"/>
      </w:pPr>
      <w:r>
        <w:rPr>
          <w:rFonts w:ascii="仿宋_GB2312" w:hAnsi="仿宋_GB2312" w:cs="仿宋_GB2312" w:eastAsia="仿宋_GB2312"/>
        </w:rPr>
        <w:t>6、拟派项目经理资质和专业要求：提供拟派项目经理具备机电工程专业贰级以上（含贰级）建造师证书，具备有效的安全生产考核合格证，在本单位注册且无在建工程（承诺书）。</w:t>
      </w:r>
    </w:p>
    <w:p>
      <w:pPr>
        <w:pStyle w:val="null3"/>
      </w:pPr>
      <w:r>
        <w:rPr>
          <w:rFonts w:ascii="仿宋_GB2312" w:hAnsi="仿宋_GB2312" w:cs="仿宋_GB2312" w:eastAsia="仿宋_GB2312"/>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9、履行合同所必需的设备和专业技术能力的承诺函：提供具有履行合同所必需的设备和专业技术能力的承诺函。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西安市新城区中山门街道办事处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西安市新城区公社巷23号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西安市新城区中山门街道办事处经办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029-89626375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陕西省西安市经开区凤城五路世融嘉轩5号楼27层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13709298734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采购包1：758,112.16元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人应向采购代理机构交纳招标代理服务费。招标代理服务费的收取参见国家计委颁布的《招标代理服务收费管理暂行办法》（计价格[2002]1980号）和（发改办价格[2003]857号）中工程类收费标准收取。在领取成交通知书时向采购代理机构一次性交纳。 采购代理服务费账户： 公司名称：陕西华泰工程项目管理有限公司 账 号：509011510000061228 开 户 行：西安银行文艺北路支行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西安市新城区中山门街道办事处</w:t>
      </w:r>
      <w:r>
        <w:rPr>
          <w:rFonts w:ascii="仿宋_GB2312" w:hAnsi="仿宋_GB2312" w:cs="仿宋_GB2312" w:eastAsia="仿宋_GB2312"/>
        </w:rPr>
        <w:t>和</w:t>
      </w:r>
      <w:r>
        <w:rPr>
          <w:rFonts w:ascii="仿宋_GB2312" w:hAnsi="仿宋_GB2312" w:cs="仿宋_GB2312" w:eastAsia="仿宋_GB2312"/>
        </w:rPr>
        <w:t>陕西华泰工程项目管理有限公司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西安市新城区中山门街道办事处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西安市新城区中山门街道办事处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符合工程质量验收标准规定，验收合格。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联系人：纪娜</w:t>
      </w:r>
    </w:p>
    <w:p>
      <w:pPr>
        <w:pStyle w:val="null3"/>
      </w:pPr>
      <w:r>
        <w:rPr>
          <w:rFonts w:ascii="仿宋_GB2312" w:hAnsi="仿宋_GB2312" w:cs="仿宋_GB2312" w:eastAsia="仿宋_GB2312"/>
        </w:rPr>
        <w:t>联系电话：13709298734</w:t>
      </w:r>
    </w:p>
    <w:p>
      <w:pPr>
        <w:pStyle w:val="null3"/>
      </w:pPr>
      <w:r>
        <w:rPr>
          <w:rFonts w:ascii="仿宋_GB2312" w:hAnsi="仿宋_GB2312" w:cs="仿宋_GB2312" w:eastAsia="仿宋_GB2312"/>
        </w:rPr>
        <w:t>地址：陕西省西安市经开区凤城五路世融嘉轩5号楼27层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758,112.16</w:t>
      </w:r>
    </w:p>
    <w:p>
      <w:pPr>
        <w:pStyle w:val="null3"/>
      </w:pPr>
      <w:r>
        <w:rPr>
          <w:rFonts w:ascii="仿宋_GB2312" w:hAnsi="仿宋_GB2312" w:cs="仿宋_GB2312" w:eastAsia="仿宋_GB2312"/>
        </w:rPr>
        <w:t>采购包最高限价（元）: 758,112.16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街道综合养老服务中心消防改造项目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758,112.16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标的名称：街道综合养老服务中心消防改造项目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一、工程概况</w:t>
            </w:r>
          </w:p>
          <w:p>
            <w:pPr>
              <w:pStyle w:val="null3"/>
            </w:pPr>
            <w:r>
              <w:rPr>
                <w:rFonts w:ascii="仿宋_GB2312" w:hAnsi="仿宋_GB2312" w:cs="仿宋_GB2312" w:eastAsia="仿宋_GB2312"/>
                <w:sz w:val="20"/>
              </w:rPr>
              <w:t>该工程为中山门街道综合养老服务中心消防改造工程，建设单位为西安市新城区中山门街道办事处。</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二、编制依据</w:t>
            </w:r>
          </w:p>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项目改造方案、施工图纸等；</w:t>
            </w:r>
          </w:p>
          <w:p>
            <w:pPr>
              <w:pStyle w:val="null3"/>
            </w:pPr>
            <w:r>
              <w:rPr>
                <w:rFonts w:ascii="仿宋_GB2312" w:hAnsi="仿宋_GB2312" w:cs="仿宋_GB2312" w:eastAsia="仿宋_GB2312"/>
                <w:sz w:val="20"/>
              </w:rPr>
              <w:t>2</w:t>
            </w:r>
            <w:r>
              <w:rPr>
                <w:rFonts w:ascii="仿宋_GB2312" w:hAnsi="仿宋_GB2312" w:cs="仿宋_GB2312" w:eastAsia="仿宋_GB2312"/>
                <w:sz w:val="20"/>
              </w:rPr>
              <w:t>、陕建发陕建管发〔2025〕10号《陕西省住房和城乡建设厅关于印发2025陕西省建设工程费用规则等计价依据的通知》；</w:t>
            </w:r>
          </w:p>
          <w:p>
            <w:pPr>
              <w:pStyle w:val="null3"/>
            </w:pPr>
            <w:r>
              <w:rPr>
                <w:rFonts w:ascii="仿宋_GB2312" w:hAnsi="仿宋_GB2312" w:cs="仿宋_GB2312" w:eastAsia="仿宋_GB2312"/>
                <w:sz w:val="20"/>
              </w:rPr>
              <w:t>3</w:t>
            </w:r>
            <w:r>
              <w:rPr>
                <w:rFonts w:ascii="仿宋_GB2312" w:hAnsi="仿宋_GB2312" w:cs="仿宋_GB2312" w:eastAsia="仿宋_GB2312"/>
                <w:sz w:val="20"/>
              </w:rPr>
              <w:t>、《陕西省通用安装工程消耗量定额（2025）》、《陕西省建设工程费用规则（2025）》、《（2025陕西省建设工程施工机械台班费用定额（2025）》、《陕西省建设工程仪器仪表台班费用定额（2025）》等计价依据和办法；</w:t>
            </w:r>
          </w:p>
          <w:p>
            <w:pPr>
              <w:pStyle w:val="null3"/>
            </w:pPr>
            <w:r>
              <w:rPr>
                <w:rFonts w:ascii="仿宋_GB2312" w:hAnsi="仿宋_GB2312" w:cs="仿宋_GB2312" w:eastAsia="仿宋_GB2312"/>
                <w:sz w:val="20"/>
              </w:rPr>
              <w:t>4</w:t>
            </w:r>
            <w:r>
              <w:rPr>
                <w:rFonts w:ascii="仿宋_GB2312" w:hAnsi="仿宋_GB2312" w:cs="仿宋_GB2312" w:eastAsia="仿宋_GB2312"/>
                <w:sz w:val="20"/>
              </w:rPr>
              <w:t>、人工费综合工种人工工日消耗量按照《陕西省通用安装工程消耗量定额（2025）》计算，一类工日单价155元/工日，二类工日单价186元/工日，三类工日单价215元/工日计算，人工工日单价中含个人缴纳的社会保障保险费用，未包含用人单位缴纳的建筑工人社保费用；</w:t>
            </w:r>
          </w:p>
          <w:p>
            <w:pPr>
              <w:pStyle w:val="null3"/>
            </w:pPr>
            <w:r>
              <w:rPr>
                <w:rFonts w:ascii="仿宋_GB2312" w:hAnsi="仿宋_GB2312" w:cs="仿宋_GB2312" w:eastAsia="仿宋_GB2312"/>
                <w:sz w:val="20"/>
              </w:rPr>
              <w:t>5</w:t>
            </w:r>
            <w:r>
              <w:rPr>
                <w:rFonts w:ascii="仿宋_GB2312" w:hAnsi="仿宋_GB2312" w:cs="仿宋_GB2312" w:eastAsia="仿宋_GB2312"/>
                <w:sz w:val="20"/>
              </w:rPr>
              <w:t>、正常的施工组织设计及施工方法；</w:t>
            </w:r>
          </w:p>
          <w:p>
            <w:pPr>
              <w:pStyle w:val="null3"/>
            </w:pPr>
            <w:r>
              <w:rPr>
                <w:rFonts w:ascii="仿宋_GB2312" w:hAnsi="仿宋_GB2312" w:cs="仿宋_GB2312" w:eastAsia="仿宋_GB2312"/>
                <w:sz w:val="20"/>
              </w:rPr>
              <w:t>6</w:t>
            </w:r>
            <w:r>
              <w:rPr>
                <w:rFonts w:ascii="仿宋_GB2312" w:hAnsi="仿宋_GB2312" w:cs="仿宋_GB2312" w:eastAsia="仿宋_GB2312"/>
                <w:sz w:val="20"/>
              </w:rPr>
              <w:t>、施工图设计中采用的相关规范、标准、技术资料</w:t>
            </w:r>
            <w:r>
              <w:rPr>
                <w:rFonts w:ascii="仿宋_GB2312" w:hAnsi="仿宋_GB2312" w:cs="仿宋_GB2312" w:eastAsia="仿宋_GB2312"/>
                <w:sz w:val="20"/>
              </w:rPr>
              <w:t>；</w:t>
            </w:r>
          </w:p>
          <w:p>
            <w:pPr>
              <w:pStyle w:val="null3"/>
            </w:pPr>
            <w:r>
              <w:rPr>
                <w:rFonts w:ascii="仿宋_GB2312" w:hAnsi="仿宋_GB2312" w:cs="仿宋_GB2312" w:eastAsia="仿宋_GB2312"/>
                <w:sz w:val="20"/>
              </w:rPr>
              <w:t>7</w:t>
            </w:r>
            <w:r>
              <w:rPr>
                <w:rFonts w:ascii="仿宋_GB2312" w:hAnsi="仿宋_GB2312" w:cs="仿宋_GB2312" w:eastAsia="仿宋_GB2312"/>
                <w:sz w:val="20"/>
              </w:rPr>
              <w:t>、本次限价编制，项目特征描述仅表达了简要做法，实际施工以设计图纸、有关图集及现场情况为准；</w:t>
            </w:r>
          </w:p>
          <w:p>
            <w:pPr>
              <w:pStyle w:val="null3"/>
            </w:pPr>
            <w:r>
              <w:rPr>
                <w:rFonts w:ascii="仿宋_GB2312" w:hAnsi="仿宋_GB2312" w:cs="仿宋_GB2312" w:eastAsia="仿宋_GB2312"/>
                <w:sz w:val="20"/>
              </w:rPr>
              <w:t>8</w:t>
            </w:r>
            <w:r>
              <w:rPr>
                <w:rFonts w:ascii="仿宋_GB2312" w:hAnsi="仿宋_GB2312" w:cs="仿宋_GB2312" w:eastAsia="仿宋_GB2312"/>
                <w:sz w:val="20"/>
              </w:rPr>
              <w:t>、本次限价编制，</w:t>
            </w:r>
            <w:r>
              <w:rPr>
                <w:rFonts w:ascii="仿宋_GB2312" w:hAnsi="仿宋_GB2312" w:cs="仿宋_GB2312" w:eastAsia="仿宋_GB2312"/>
                <w:sz w:val="20"/>
              </w:rPr>
              <w:t>费用模板类别以人工费按差价取费计入；</w:t>
            </w:r>
          </w:p>
          <w:p>
            <w:pPr>
              <w:pStyle w:val="null3"/>
            </w:pPr>
            <w:r>
              <w:rPr>
                <w:rFonts w:ascii="仿宋_GB2312" w:hAnsi="仿宋_GB2312" w:cs="仿宋_GB2312" w:eastAsia="仿宋_GB2312"/>
                <w:sz w:val="20"/>
              </w:rPr>
              <w:t>9</w:t>
            </w:r>
            <w:r>
              <w:rPr>
                <w:rFonts w:ascii="仿宋_GB2312" w:hAnsi="仿宋_GB2312" w:cs="仿宋_GB2312" w:eastAsia="仿宋_GB2312"/>
                <w:sz w:val="20"/>
              </w:rPr>
              <w:t>、本次编制，软件采用广联达云计价平台GCCP7.0（7.5000.23.2）版本。</w:t>
            </w:r>
            <w:r>
              <w:rPr>
                <w:rFonts w:ascii="仿宋_GB2312" w:hAnsi="仿宋_GB2312" w:cs="仿宋_GB2312" w:eastAsia="仿宋_GB2312"/>
                <w:sz w:val="20"/>
              </w:rPr>
              <w:t>另附工程量清单及图纸（附件）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三</w:t>
            </w:r>
            <w:r>
              <w:rPr>
                <w:rFonts w:ascii="仿宋_GB2312" w:hAnsi="仿宋_GB2312" w:cs="仿宋_GB2312" w:eastAsia="仿宋_GB2312"/>
                <w:sz w:val="20"/>
              </w:rPr>
              <w:t>、其他要求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）付款方式：1.</w:t>
            </w:r>
            <w:r>
              <w:rPr>
                <w:rFonts w:ascii="仿宋_GB2312" w:hAnsi="仿宋_GB2312" w:cs="仿宋_GB2312" w:eastAsia="仿宋_GB2312"/>
                <w:sz w:val="20"/>
              </w:rPr>
              <w:t>施工合同签订后预付合同总金额的40%工程款；2.设备主材进场后付款20%，工程竣工验收合格后</w:t>
            </w:r>
            <w:r>
              <w:rPr>
                <w:rFonts w:ascii="仿宋_GB2312" w:hAnsi="仿宋_GB2312" w:cs="仿宋_GB2312" w:eastAsia="仿宋_GB2312"/>
                <w:sz w:val="20"/>
              </w:rPr>
              <w:t>，根据财政局资金情况，</w:t>
            </w:r>
            <w:r>
              <w:rPr>
                <w:rFonts w:ascii="仿宋_GB2312" w:hAnsi="仿宋_GB2312" w:cs="仿宋_GB2312" w:eastAsia="仿宋_GB2312"/>
                <w:sz w:val="20"/>
              </w:rPr>
              <w:t>支付至合同总价款的80%；3.</w:t>
            </w:r>
            <w:r>
              <w:rPr>
                <w:rFonts w:ascii="仿宋_GB2312" w:hAnsi="仿宋_GB2312" w:cs="仿宋_GB2312" w:eastAsia="仿宋_GB2312"/>
                <w:sz w:val="20"/>
              </w:rPr>
              <w:t>工程全部结算审计完毕后，并达到当地相关部门的验收要求后，并处置解决此项目重大火灾隐患的相关问题后，根据财政局资金状况，</w:t>
            </w:r>
            <w:r>
              <w:rPr>
                <w:rFonts w:ascii="仿宋_GB2312" w:hAnsi="仿宋_GB2312" w:cs="仿宋_GB2312" w:eastAsia="仿宋_GB2312"/>
                <w:sz w:val="20"/>
              </w:rPr>
              <w:t>正式审计报告出具后支付至审定造价的97%；4.一年后无问题支付剩余3%尾款。</w:t>
            </w:r>
            <w:r>
              <w:rPr>
                <w:rFonts w:ascii="仿宋_GB2312" w:hAnsi="仿宋_GB2312" w:cs="仿宋_GB2312" w:eastAsia="仿宋_GB2312"/>
                <w:sz w:val="20"/>
              </w:rPr>
              <w:t>5.</w:t>
            </w:r>
            <w:r>
              <w:rPr>
                <w:rFonts w:ascii="仿宋_GB2312" w:hAnsi="仿宋_GB2312" w:cs="仿宋_GB2312" w:eastAsia="仿宋_GB2312"/>
                <w:sz w:val="20"/>
              </w:rPr>
              <w:t>以转账的形式支付到合同约定的施工单位。</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）工期：</w:t>
            </w:r>
            <w:r>
              <w:rPr>
                <w:rFonts w:ascii="仿宋_GB2312" w:hAnsi="仿宋_GB2312" w:cs="仿宋_GB2312" w:eastAsia="仿宋_GB2312"/>
                <w:sz w:val="20"/>
              </w:rPr>
              <w:t>7</w:t>
            </w:r>
            <w:r>
              <w:rPr>
                <w:rFonts w:ascii="仿宋_GB2312" w:hAnsi="仿宋_GB2312" w:cs="仿宋_GB2312" w:eastAsia="仿宋_GB2312"/>
                <w:sz w:val="20"/>
              </w:rPr>
              <w:t>0</w:t>
            </w:r>
            <w:r>
              <w:rPr>
                <w:rFonts w:ascii="仿宋_GB2312" w:hAnsi="仿宋_GB2312" w:cs="仿宋_GB2312" w:eastAsia="仿宋_GB2312"/>
                <w:sz w:val="20"/>
              </w:rPr>
              <w:t>天</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）质量要求：符合工程质量验收标准规定，验收合格。</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质量保修期：按照国家保修规定</w:t>
            </w:r>
            <w:r>
              <w:rPr>
                <w:rFonts w:ascii="仿宋_GB2312" w:hAnsi="仿宋_GB2312" w:cs="仿宋_GB2312" w:eastAsia="仿宋_GB2312"/>
                <w:sz w:val="20"/>
              </w:rPr>
              <w:t>1</w:t>
            </w:r>
            <w:r>
              <w:rPr>
                <w:rFonts w:ascii="仿宋_GB2312" w:hAnsi="仿宋_GB2312" w:cs="仿宋_GB2312" w:eastAsia="仿宋_GB2312"/>
                <w:sz w:val="20"/>
              </w:rPr>
              <w:t>年时间执行。</w:t>
            </w:r>
          </w:p>
          <w:p>
            <w:pPr>
              <w:pStyle w:val="null3"/>
            </w:pPr>
            <w:r>
              <w:rPr>
                <w:rFonts w:ascii="仿宋_GB2312" w:hAnsi="仿宋_GB2312" w:cs="仿宋_GB2312" w:eastAsia="仿宋_GB2312"/>
                <w:sz w:val="21"/>
              </w:rPr>
              <w:t>（4）项目完工后，应确保当地所属消防救援大队验收合格，并处置解决此项目重大火灾隐患的相关问题。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（1）依据设计文件的要求，本招标工程项目的材料、设备、施工须达到所涉及到的现行中华人民共和国以及省、自治区、直辖市或行业的工程建设标准、规范的要求。 （2）根据工程设计要求，该项工程项目的材料、设备、施工除必须达到上述第一条标准外，还应满足设计要求和业主在招标文件中的有关要求。 （3）该工程项目的主材、设备、施工如无上述第1、2条的标准，在材料、设备的定货采购和施工安装时，应出具生产厂家或施工安装企业在技术监督部门已备案企业标准，并经监理和业主批准后方可实施。</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1.合同单价以磋商最终报价与一次报价的下浮比例，对所有单价进行同比例下浮，以下浮后的价格作为合同执行单价。 2.成交供应商在领取成交通知书时提供3套纸质投标文件（1正2副），纸质版投标文件应与线上电子投标文件保持一致并加盖公章。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提供拟派项目经理具备机电工程专业贰级以上（含贰级）建造师证书，具备有效的安全生产考核合格证，在本单位注册且无在建工程（承诺书）。</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其他资料.docx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供应商参加政府采购活动承诺书.docx 已标价工程量清单 拒绝政府采购领域商业贿赂承诺书.docx 报价函 标的清单 磋商报价表.docx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报价函 技术服务合同条款及其他商务要求应答表 磋商报价表.docx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 已标价工程量清单 中小企业声明函 报价函 标的清单 技术服务合同条款及其他商务要求应答表 磋商报价表.docx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技术服务合同条款及其他商务要求应答表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投标报价未超预算或最高限价，或缺漏项</w:t>
            </w:r>
          </w:p>
        </w:tc>
        <w:tc>
          <w:tcPr>
            <w:tcW w:type="dxa" w:w="1661"/>
          </w:tcPr>
          <w:p>
            <w:pPr>
              <w:pStyle w:val="null3"/>
            </w:pPr>
            <w:r>
              <w:rPr>
                <w:rFonts w:ascii="仿宋_GB2312" w:hAnsi="仿宋_GB2312" w:cs="仿宋_GB2312" w:eastAsia="仿宋_GB2312"/>
              </w:rPr>
              <w:t>已标价工程量清单 报价函 标的清单 磋商报价表.docx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根据工程概况、关键施工技术及要求、重点难点分析，提供总体施工方案及主要分项工程施工方案。 内容完整详尽、科学合理，针对性强，完全满足采购需求得5-10分； 内容基本完整、较合理可行，得1-5分；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提供全面的进度安排，分析关键节点，编制施工进度表或施工网络图。 进度安排完整详尽，科学合理，可操作性强得2-5分； 进度安排基本完整，较合理可行得0-2分。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提供项目经理部岗位、专业、分工、专职安全管理人员、作业人员等。 人员配置合理，针对性强，满足施工要求得3-6分； 人员配置较合理得0-3分。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提供详细具体的劳动力安排计划。 劳动力安排计划方案科学合理，满足施工要求得3-6分； 劳动力安排计划及劳务分包方案较合理，满足施工要求得0-3分。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施工机械设备配备和材料投入计划</w:t>
            </w:r>
          </w:p>
        </w:tc>
        <w:tc>
          <w:tcPr>
            <w:tcW w:type="dxa" w:w="2492"/>
          </w:tcPr>
          <w:p>
            <w:pPr>
              <w:pStyle w:val="null3"/>
            </w:pPr>
            <w:r>
              <w:rPr>
                <w:rFonts w:ascii="仿宋_GB2312" w:hAnsi="仿宋_GB2312" w:cs="仿宋_GB2312" w:eastAsia="仿宋_GB2312"/>
              </w:rPr>
              <w:t>提供详细具体的施工机械配备和材料投入计划。 施工机械设备配备齐全，材料投入计划满足施工要求得3-6分； 施工机械设备基本齐备，材料投入计划基本满足施工要求得0-3。</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制定切实可行的质量管理方案及控制措施，能有效地在保证施工质量中得以运用，确保施工质量满足采购需求。 内容完备，科学合理，针对性强，满足施工要求得3-6分； 内容基本完备，较合理可行得0-3分。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施工工期保证措施</w:t>
            </w:r>
          </w:p>
        </w:tc>
        <w:tc>
          <w:tcPr>
            <w:tcW w:type="dxa" w:w="2492"/>
          </w:tcPr>
          <w:p>
            <w:pPr>
              <w:pStyle w:val="null3"/>
            </w:pPr>
            <w:r>
              <w:rPr>
                <w:rFonts w:ascii="仿宋_GB2312" w:hAnsi="仿宋_GB2312" w:cs="仿宋_GB2312" w:eastAsia="仿宋_GB2312"/>
              </w:rPr>
              <w:t>制定切实可行的施工工期控制措施，保证施工进度按计划进行。 内容完整详尽，措施合理可行，针对性强，满足施工要求得3-6分； 内容基本完整，措施较合理可行得0-3分。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安全生产的技术组织措施</w:t>
            </w:r>
          </w:p>
        </w:tc>
        <w:tc>
          <w:tcPr>
            <w:tcW w:type="dxa" w:w="2492"/>
          </w:tcPr>
          <w:p>
            <w:pPr>
              <w:pStyle w:val="null3"/>
            </w:pPr>
            <w:r>
              <w:rPr>
                <w:rFonts w:ascii="仿宋_GB2312" w:hAnsi="仿宋_GB2312" w:cs="仿宋_GB2312" w:eastAsia="仿宋_GB2312"/>
              </w:rPr>
              <w:t>结合工程特点、工程环境分析安全隐患，给出有针对性的安全施工措施及管理制度。 内容完整详尽，措施合理可行，针对性强，满足施工要求得3-6分； 内容基本完整，措施较合理可行，得0-3分。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结合工程环境、工程特点，给出文明施工的技术组织措施。 措施科学合理，切合实际，针对性强，满足施工要求得2-5分； 措施较合理可行得0-2分。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确保文明施工的环境保护措施</w:t>
            </w:r>
          </w:p>
        </w:tc>
        <w:tc>
          <w:tcPr>
            <w:tcW w:type="dxa" w:w="2492"/>
          </w:tcPr>
          <w:p>
            <w:pPr>
              <w:pStyle w:val="null3"/>
            </w:pPr>
            <w:r>
              <w:rPr>
                <w:rFonts w:ascii="仿宋_GB2312" w:hAnsi="仿宋_GB2312" w:cs="仿宋_GB2312" w:eastAsia="仿宋_GB2312"/>
              </w:rPr>
              <w:t>结合工程环境、工程特点，给出详细具体的文明施工环境保护措施。 措施科学合理，切合实际得2-5分； 措施较合理得0-2分。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应急预案的承诺情况，以及合理化建议，确保当地所属消防相关部门验收合格，并处置解决此项目重大火灾隐患的相关问题的承诺。方案科学，承诺详细，合理可行，针对性强，满足施工要求得2-5分； 方案较合理可行，承诺完整针对性较强得0-2分。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2023年1月1日至今同类项目的业绩，提供合同复印件并加盖公章，每个业绩得1分，共4分，未提供的不得分。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（1）报价总价得分（30分） ①本项目设采购预算价，投标报价大于或等于采购预算价做无效投标处理； ②满足磋商文件要求且最终投标报价最低的报价为评审基准价，其价格分为满分30分。 投标报价得分=（评审基准价/投标报价）*价格分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详见附件：技术标响应方案.docx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