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18ED6">
      <w:pPr>
        <w:pStyle w:val="5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8"/>
          <w:szCs w:val="28"/>
          <w:lang w:eastAsia="zh-CN"/>
        </w:rPr>
        <w:t>磋商方案说明书</w:t>
      </w:r>
    </w:p>
    <w:p w14:paraId="12E336C4">
      <w:pPr>
        <w:rPr>
          <w:rFonts w:ascii="宋体" w:hAnsi="宋体" w:eastAsia="宋体" w:cs="宋体"/>
        </w:rPr>
      </w:pPr>
    </w:p>
    <w:p w14:paraId="58926C59">
      <w:pPr>
        <w:rPr>
          <w:rFonts w:ascii="宋体" w:hAnsi="宋体" w:eastAsia="宋体" w:cs="宋体"/>
        </w:rPr>
      </w:pPr>
    </w:p>
    <w:p w14:paraId="3C0BBF18">
      <w:pPr>
        <w:rPr>
          <w:rFonts w:ascii="宋体" w:hAnsi="宋体" w:eastAsia="宋体" w:cs="宋体"/>
        </w:rPr>
      </w:pPr>
    </w:p>
    <w:p w14:paraId="1EDF5813">
      <w:pPr>
        <w:rPr>
          <w:rFonts w:ascii="宋体" w:hAnsi="宋体" w:eastAsia="宋体" w:cs="宋体"/>
        </w:rPr>
      </w:pPr>
    </w:p>
    <w:p w14:paraId="4761795D">
      <w:pPr>
        <w:rPr>
          <w:rFonts w:ascii="宋体" w:hAnsi="宋体" w:eastAsia="宋体" w:cs="宋体"/>
        </w:rPr>
      </w:pPr>
    </w:p>
    <w:p w14:paraId="77D400FE">
      <w:pPr>
        <w:rPr>
          <w:rFonts w:ascii="宋体" w:hAnsi="宋体" w:eastAsia="宋体" w:cs="宋体"/>
        </w:rPr>
      </w:pPr>
    </w:p>
    <w:p w14:paraId="35B8E5B5">
      <w:pPr>
        <w:rPr>
          <w:rFonts w:ascii="宋体" w:hAnsi="宋体" w:eastAsia="宋体" w:cs="宋体"/>
        </w:rPr>
      </w:pPr>
    </w:p>
    <w:p w14:paraId="40766050">
      <w:pPr>
        <w:pStyle w:val="5"/>
        <w:spacing w:line="360" w:lineRule="auto"/>
        <w:jc w:val="center"/>
        <w:rPr>
          <w:rFonts w:hint="default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  <w:sz w:val="24"/>
          <w:szCs w:val="24"/>
        </w:rPr>
        <w:t>（参照磋商文件和评审办法的内容进行编写，格式自拟）</w:t>
      </w:r>
    </w:p>
    <w:p w14:paraId="38DAC799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7ED8C0D6">
      <w:pPr>
        <w:spacing w:line="52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附表1</w:t>
      </w:r>
    </w:p>
    <w:p w14:paraId="18A9D15E">
      <w:pPr>
        <w:spacing w:after="120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技术规格响应表</w:t>
      </w:r>
    </w:p>
    <w:p w14:paraId="75DB64F0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7BFD8C7E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0A8E3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ACC6F8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66F6F674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vAlign w:val="center"/>
          </w:tcPr>
          <w:p w14:paraId="74D9D231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规格 ☆1</w:t>
            </w:r>
          </w:p>
        </w:tc>
        <w:tc>
          <w:tcPr>
            <w:tcW w:w="1420" w:type="pct"/>
            <w:tcBorders>
              <w:bottom w:val="nil"/>
            </w:tcBorders>
            <w:vAlign w:val="center"/>
          </w:tcPr>
          <w:p w14:paraId="0CC5A3A6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</w:rPr>
              <w:t>规格 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3A7CDCBD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409C5080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9B1F3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11C3428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961AFE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72BFC3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077EBB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33B84C8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5247D282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5FDD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90A613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199C35B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</w:tcPr>
          <w:p w14:paraId="7E95284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20" w:type="pct"/>
            <w:tcBorders>
              <w:top w:val="nil"/>
            </w:tcBorders>
          </w:tcPr>
          <w:p w14:paraId="6B08C0D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6C6AA6E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19F2FBCA">
            <w:pPr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ADA35E1">
      <w:pPr>
        <w:rPr>
          <w:rFonts w:ascii="宋体" w:hAnsi="宋体" w:eastAsia="宋体" w:cs="宋体"/>
          <w:sz w:val="24"/>
        </w:rPr>
      </w:pPr>
    </w:p>
    <w:p w14:paraId="3B894E01">
      <w:pPr>
        <w:rPr>
          <w:rFonts w:ascii="宋体" w:hAnsi="宋体" w:eastAsia="宋体" w:cs="宋体"/>
          <w:sz w:val="24"/>
        </w:rPr>
      </w:pPr>
    </w:p>
    <w:p w14:paraId="4B594F57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2CE78B5A">
      <w:pPr>
        <w:spacing w:line="360" w:lineRule="auto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04BD250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日</w:t>
      </w:r>
    </w:p>
    <w:p w14:paraId="4681ED73">
      <w:pPr>
        <w:pStyle w:val="6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注：1.☆1指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文件中的技术规格（参数）,供应商应按照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文件中的内容逐项响应。</w:t>
      </w:r>
    </w:p>
    <w:p w14:paraId="5EF00C19">
      <w:pPr>
        <w:pStyle w:val="6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2.☆2指供应商拟提供的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产品的功能及技术规格（参数）,供应商应逐条如实填写并提供相应的具备文件。</w:t>
      </w:r>
    </w:p>
    <w:p w14:paraId="538130F9">
      <w:pPr>
        <w:pStyle w:val="6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3.偏离说明填写：优于、满足或低于。</w:t>
      </w:r>
    </w:p>
    <w:p w14:paraId="2DB9CA8C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附表2</w:t>
      </w:r>
    </w:p>
    <w:p w14:paraId="537189FC">
      <w:pPr>
        <w:spacing w:after="120"/>
        <w:jc w:val="center"/>
        <w:rPr>
          <w:rFonts w:ascii="宋体" w:hAnsi="宋体" w:eastAsia="宋体" w:cs="宋体"/>
          <w:sz w:val="24"/>
        </w:rPr>
      </w:pPr>
      <w:bookmarkStart w:id="0" w:name="_Toc5616"/>
      <w:r>
        <w:rPr>
          <w:rFonts w:hint="eastAsia" w:ascii="宋体" w:hAnsi="宋体" w:eastAsia="宋体" w:cs="宋体"/>
          <w:b/>
          <w:sz w:val="28"/>
          <w:szCs w:val="28"/>
        </w:rPr>
        <w:t>供货内容一览表</w:t>
      </w:r>
      <w:bookmarkEnd w:id="0"/>
    </w:p>
    <w:p w14:paraId="6F0D1B22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73C86C18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098A6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vAlign w:val="center"/>
          </w:tcPr>
          <w:p w14:paraId="418E6043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1" w:name="_Toc927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  <w:bookmarkEnd w:id="1"/>
          </w:p>
        </w:tc>
        <w:tc>
          <w:tcPr>
            <w:tcW w:w="713" w:type="pct"/>
            <w:vAlign w:val="center"/>
          </w:tcPr>
          <w:p w14:paraId="077DE58A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" w:name="_Toc26346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vAlign w:val="center"/>
          </w:tcPr>
          <w:p w14:paraId="31AF3E59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3" w:name="_Toc21435"/>
            <w:bookmarkStart w:id="4" w:name="_Toc31763"/>
            <w:bookmarkStart w:id="5" w:name="_Toc7805"/>
            <w:bookmarkStart w:id="6" w:name="_Toc10685"/>
            <w:bookmarkStart w:id="7" w:name="_Toc7838"/>
            <w:bookmarkStart w:id="8" w:name="_Toc26713"/>
            <w:bookmarkStart w:id="9" w:name="_Toc19859"/>
            <w:bookmarkStart w:id="10" w:name="_Toc16014"/>
            <w:bookmarkStart w:id="11" w:name="_Toc25325"/>
            <w:bookmarkStart w:id="12" w:name="_Toc888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vAlign w:val="center"/>
          </w:tcPr>
          <w:p w14:paraId="5CC31D7C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13" w:name="_Toc14434"/>
            <w:bookmarkStart w:id="14" w:name="_Toc5821"/>
            <w:bookmarkStart w:id="15" w:name="_Toc15459"/>
            <w:bookmarkStart w:id="16" w:name="_Toc21192"/>
            <w:bookmarkStart w:id="17" w:name="_Toc16801"/>
            <w:bookmarkStart w:id="18" w:name="_Toc24182"/>
            <w:bookmarkStart w:id="19" w:name="_Toc14520"/>
            <w:bookmarkStart w:id="20" w:name="_Toc14042"/>
            <w:bookmarkStart w:id="21" w:name="_Toc26610"/>
            <w:bookmarkStart w:id="22" w:name="_Toc15232"/>
            <w:bookmarkStart w:id="23" w:name="_Toc426457706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原产地及</w:t>
            </w:r>
            <w:bookmarkEnd w:id="13"/>
          </w:p>
          <w:p w14:paraId="5C3789E1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4" w:name="_Toc31631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vAlign w:val="center"/>
          </w:tcPr>
          <w:p w14:paraId="61EC2282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5" w:name="_Toc10836"/>
            <w:bookmarkStart w:id="26" w:name="_Toc17569"/>
            <w:bookmarkStart w:id="27" w:name="_Toc14024"/>
            <w:bookmarkStart w:id="28" w:name="_Toc5153"/>
            <w:bookmarkStart w:id="29" w:name="_Toc11657"/>
            <w:bookmarkStart w:id="30" w:name="_Toc20278"/>
            <w:bookmarkStart w:id="31" w:name="_Toc32025"/>
            <w:bookmarkStart w:id="32" w:name="_Toc12954"/>
            <w:bookmarkStart w:id="33" w:name="_Toc18257"/>
            <w:bookmarkStart w:id="34" w:name="_Toc21461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vAlign w:val="center"/>
          </w:tcPr>
          <w:p w14:paraId="25DA47FB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35" w:name="_Toc28041"/>
            <w:bookmarkStart w:id="36" w:name="_Toc10784"/>
            <w:bookmarkStart w:id="37" w:name="_Toc3931"/>
            <w:bookmarkStart w:id="38" w:name="_Toc32578"/>
            <w:bookmarkStart w:id="39" w:name="_Toc7014"/>
            <w:bookmarkStart w:id="40" w:name="_Toc31843"/>
            <w:bookmarkStart w:id="41" w:name="_Toc13156"/>
            <w:bookmarkStart w:id="42" w:name="_Toc5200"/>
            <w:bookmarkStart w:id="43" w:name="_Toc4479"/>
            <w:bookmarkStart w:id="44" w:name="_Toc30869"/>
            <w:bookmarkStart w:id="45" w:name="_Toc426457707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vAlign w:val="center"/>
          </w:tcPr>
          <w:p w14:paraId="2A9F76DF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46" w:name="_Toc16584"/>
            <w:bookmarkStart w:id="47" w:name="_Toc1062"/>
            <w:bookmarkStart w:id="48" w:name="_Toc20318"/>
            <w:bookmarkStart w:id="49" w:name="_Toc426457708"/>
            <w:bookmarkStart w:id="50" w:name="_Toc18183"/>
            <w:bookmarkStart w:id="51" w:name="_Toc11230"/>
            <w:bookmarkStart w:id="52" w:name="_Toc29165"/>
            <w:bookmarkStart w:id="53" w:name="_Toc15091"/>
            <w:bookmarkStart w:id="54" w:name="_Toc13810"/>
            <w:bookmarkStart w:id="55" w:name="_Toc23968"/>
            <w:bookmarkStart w:id="56" w:name="_Toc26872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vAlign w:val="center"/>
          </w:tcPr>
          <w:p w14:paraId="38596C10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57" w:name="_Toc20728"/>
            <w:bookmarkStart w:id="58" w:name="_Toc12512"/>
            <w:bookmarkStart w:id="59" w:name="_Toc10031"/>
            <w:bookmarkStart w:id="60" w:name="_Toc8834"/>
            <w:bookmarkStart w:id="61" w:name="_Toc17352"/>
            <w:bookmarkStart w:id="62" w:name="_Toc14877"/>
            <w:bookmarkStart w:id="63" w:name="_Toc426457709"/>
            <w:bookmarkStart w:id="64" w:name="_Toc25797"/>
            <w:bookmarkStart w:id="65" w:name="_Toc14698"/>
            <w:bookmarkStart w:id="66" w:name="_Toc24247"/>
            <w:bookmarkStart w:id="67" w:name="_Toc30480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1710BB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9B08BF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495AB64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548510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B505F0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65F6417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124F3EB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3076ADE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00E45D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EF8B7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4B2078A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33372A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79C8DC5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B6303A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578CA8A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FA33F3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7BCF694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FA6A86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F784F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0DE647D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393BF7F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5D11E4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3BA1DF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2F4DDFF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2922EA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FAE606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75B5F7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2B8D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537637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F63BE1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288FF0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2DBD67C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90CDCC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5EC23E1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7ED5F66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1AE228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A7D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5F828BA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0ABA0FE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1C9DF9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19BBF4A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39FF7EE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BAC79B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40FF43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2A9905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B03E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9DC897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4A85AFC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3C43C75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1A3BECA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7085288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00FE54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697117D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8F7CF5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226D6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2E8C3A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46F3A1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7E1C97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3627E4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11C9B81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B8ECB1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249316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4AB47B2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CB84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490B155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78EBEA3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DEA9C6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6FAC27A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097B508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4DB990A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578BF0B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3612BC2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BBDD1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0318B6D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694E9C1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4D99DB4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2DEE2D0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10A0247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77DC853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596E193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223164C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17DB7383">
      <w:pPr>
        <w:pStyle w:val="7"/>
        <w:tabs>
          <w:tab w:val="left" w:pos="2040"/>
        </w:tabs>
        <w:spacing w:beforeLines="0" w:line="360" w:lineRule="auto"/>
        <w:ind w:left="0" w:firstLine="0" w:firstLineChars="0"/>
        <w:rPr>
          <w:rFonts w:ascii="宋体" w:hAnsi="宋体" w:eastAsia="宋体" w:cs="宋体"/>
          <w:bCs w:val="0"/>
          <w:color w:val="auto"/>
          <w:sz w:val="24"/>
        </w:rPr>
      </w:pPr>
      <w:r>
        <w:rPr>
          <w:rFonts w:hint="eastAsia" w:ascii="宋体" w:hAnsi="宋体" w:eastAsia="宋体" w:cs="宋体"/>
          <w:bCs w:val="0"/>
          <w:color w:val="auto"/>
          <w:sz w:val="24"/>
        </w:rPr>
        <w:t>备注：供应商可适当调整该表格式，但不得减少信息内容。</w:t>
      </w:r>
    </w:p>
    <w:p w14:paraId="3275D94D">
      <w:pPr>
        <w:spacing w:line="360" w:lineRule="auto"/>
        <w:rPr>
          <w:rFonts w:ascii="宋体" w:hAnsi="宋体" w:eastAsia="宋体" w:cs="宋体"/>
          <w:sz w:val="24"/>
        </w:rPr>
      </w:pPr>
    </w:p>
    <w:p w14:paraId="6C9563A4">
      <w:pPr>
        <w:spacing w:line="360" w:lineRule="auto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24282C6C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6368C55D">
      <w:pPr>
        <w:spacing w:line="360" w:lineRule="auto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60C5C6E8">
      <w:r>
        <w:rPr>
          <w:rFonts w:ascii="宋体" w:hAnsi="宋体" w:eastAsia="宋体" w:cs="宋体"/>
          <w:sz w:val="24"/>
          <w:szCs w:val="24"/>
        </w:rPr>
        <w:t>日期：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662AD"/>
    <w:rsid w:val="67F6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2026-01-30T10:19:00Z</dcterms:created>
  <dc:creator>苍白假面</dc:creator>
  <cp:lastModifiedBy>苍白假面</cp:lastModifiedBy>
  <dcterms:modified xsi:type="dcterms:W3CDTF">2026-01-30T10:20:06Z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CF85A2E0E439430DA104AD7D7EEA16D0_11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