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版本号：SXZAHD-CS-2026020520260211001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新城区区管市政道路、桥涵病害治理项目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SXZAHD-CS-20260205</w:t>
      </w:r>
      <w:r>
        <w:br/>
      </w:r>
      <w:r>
        <w:br/>
      </w:r>
      <w:r>
        <w:br/>
      </w:r>
    </w:p>
    <w:p>
      <w:pPr>
        <w:pStyle w:val="null3"/>
        <w:jc w:val="center"/>
        <w:outlineLvl w:val="2"/>
      </w:pPr>
      <w:r>
        <w:rPr>
          <w:rFonts w:ascii="仿宋_GB2312" w:hAnsi="仿宋_GB2312" w:cs="仿宋_GB2312" w:eastAsia="仿宋_GB2312"/>
          <w:sz w:val="28"/>
          <w:b/>
        </w:rPr>
        <w:t>西安市新城区城市管理和综合执法局</w:t>
      </w:r>
    </w:p>
    <w:p>
      <w:pPr>
        <w:pStyle w:val="null3"/>
        <w:jc w:val="center"/>
        <w:outlineLvl w:val="2"/>
      </w:pPr>
      <w:r>
        <w:rPr>
          <w:rFonts w:ascii="仿宋_GB2312" w:hAnsi="仿宋_GB2312" w:cs="仿宋_GB2312" w:eastAsia="仿宋_GB2312"/>
          <w:sz w:val="28"/>
          <w:b/>
        </w:rPr>
        <w:t>陕西中安汇达项目管理有限公司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陕西中安汇达项目管理有限公司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西安市新城区城市管理和综合执法局</w:t>
      </w:r>
      <w:r>
        <w:rPr>
          <w:rFonts w:ascii="仿宋_GB2312" w:hAnsi="仿宋_GB2312" w:cs="仿宋_GB2312" w:eastAsia="仿宋_GB2312"/>
        </w:rPr>
        <w:t>委托，拟对</w:t>
      </w:r>
      <w:r>
        <w:rPr>
          <w:rFonts w:ascii="仿宋_GB2312" w:hAnsi="仿宋_GB2312" w:cs="仿宋_GB2312" w:eastAsia="仿宋_GB2312"/>
        </w:rPr>
        <w:t>新城区区管市政道路、桥涵病害治理项目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SXZAHD-CS-20260205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新城区区管市政道路、桥涵病害治理项目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包括本工程建设地点位于西安市新城区，编制内容包含长兴路（公园南路至复聪路）车行道铣刨、铺油、标记标线、垃圾外运等，西北医院人行天桥、北新街人行天桥、中兴路人行天桥、勤工路人行天桥、黄河实验小学人行天桥、八十三中人行天桥的面层拆除及修复，栏杆修复等工程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完整的财务报告（成立时间至提交响应文件截止时间不足一年的可提供成立后任意时段的资产负债表），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1月至今任意一个月的纳税证明或完税证明（提供增值税、企业所得税至少一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4、履约能力承诺：供应商须提供具有履行合同所必需的设备和专业技术能力的承诺；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2025年1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6、无重大违法记录声明：出具参加本次政府采购活动前三年内在经营活动中没有重大违法记录的书面声明；</w:t>
      </w:r>
    </w:p>
    <w:p>
      <w:pPr>
        <w:pStyle w:val="null3"/>
      </w:pPr>
      <w:r>
        <w:rPr>
          <w:rFonts w:ascii="仿宋_GB2312" w:hAnsi="仿宋_GB2312" w:cs="仿宋_GB2312" w:eastAsia="仿宋_GB2312"/>
        </w:rPr>
        <w:t>7、企业资质：供应商须具备建设行政主管部门颁发的市政公用工程施工总承包三级及以上资质；且具备合格有效的安全生产许可证；</w:t>
      </w:r>
    </w:p>
    <w:p>
      <w:pPr>
        <w:pStyle w:val="null3"/>
      </w:pPr>
      <w:r>
        <w:rPr>
          <w:rFonts w:ascii="仿宋_GB2312" w:hAnsi="仿宋_GB2312" w:cs="仿宋_GB2312" w:eastAsia="仿宋_GB2312"/>
        </w:rPr>
        <w:t>8、项目经理要求：拟派项目经理具备市政公用工程专业注册建造师二级及以上执业资格及其本人具有有效的安全生产考核合格证（建安B证），在本单位注册且无在建工程；</w:t>
      </w:r>
    </w:p>
    <w:p>
      <w:pPr>
        <w:pStyle w:val="null3"/>
      </w:pPr>
      <w:r>
        <w:rPr>
          <w:rFonts w:ascii="仿宋_GB2312" w:hAnsi="仿宋_GB2312" w:cs="仿宋_GB2312" w:eastAsia="仿宋_GB2312"/>
        </w:rPr>
        <w:t>9、不接受联合体磋商：本项目不接受联合体磋商（提供书面声明材料）。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西安市新城区东五路83号民安大厦B座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刘绍东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87312632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陕西中安汇达项目管理有限公司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陕西省西安市经济技术开发区凤城六路以北未央路以东旺景国际大厦10613室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姬鹏举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15399456357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采购包1：1,113,010.20元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西安市新城区城市管理和综合执法局</w:t>
      </w:r>
      <w:r>
        <w:rPr>
          <w:rFonts w:ascii="仿宋_GB2312" w:hAnsi="仿宋_GB2312" w:cs="仿宋_GB2312" w:eastAsia="仿宋_GB2312"/>
        </w:rPr>
        <w:t>和</w:t>
      </w:r>
      <w:r>
        <w:rPr>
          <w:rFonts w:ascii="仿宋_GB2312" w:hAnsi="仿宋_GB2312" w:cs="仿宋_GB2312" w:eastAsia="仿宋_GB2312"/>
        </w:rPr>
        <w:t>陕西中安汇达项目管理有限公司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陕西中安汇达项目管理有限公司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陕西中安汇达项目管理有限公司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一、成交供应商符合国家现行有关规范“合格”要求。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联系人：姬鹏举</w:t>
      </w:r>
    </w:p>
    <w:p>
      <w:pPr>
        <w:pStyle w:val="null3"/>
      </w:pPr>
      <w:r>
        <w:rPr>
          <w:rFonts w:ascii="仿宋_GB2312" w:hAnsi="仿宋_GB2312" w:cs="仿宋_GB2312" w:eastAsia="仿宋_GB2312"/>
        </w:rPr>
        <w:t>联系电话：15399456357</w:t>
      </w:r>
    </w:p>
    <w:p>
      <w:pPr>
        <w:pStyle w:val="null3"/>
      </w:pPr>
      <w:r>
        <w:rPr>
          <w:rFonts w:ascii="仿宋_GB2312" w:hAnsi="仿宋_GB2312" w:cs="仿宋_GB2312" w:eastAsia="仿宋_GB2312"/>
        </w:rPr>
        <w:t>地址：陕西省西安市经济技术开发区凤城六路以北未央路以东旺景国际大厦10613室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1,113,010.20</w:t>
      </w:r>
    </w:p>
    <w:p>
      <w:pPr>
        <w:pStyle w:val="null3"/>
      </w:pPr>
      <w:r>
        <w:rPr>
          <w:rFonts w:ascii="仿宋_GB2312" w:hAnsi="仿宋_GB2312" w:cs="仿宋_GB2312" w:eastAsia="仿宋_GB2312"/>
        </w:rPr>
        <w:t>采购包最高限价（元）: 1,113,010.20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新城区区管市政道路桥涵病害治理项目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1,113,010.20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标的名称：新城区区管市政道路桥涵病害治理项目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1、工程内容：</w:t>
            </w:r>
            <w:r>
              <w:rPr>
                <w:rFonts w:ascii="仿宋_GB2312" w:hAnsi="仿宋_GB2312" w:cs="仿宋_GB2312" w:eastAsia="仿宋_GB2312"/>
              </w:rPr>
              <w:t>包含长兴路（公园南路至复聪路）车行道铣刨、铺油、标记标线、垃圾外运等，西北医院人行天桥、北新街人行天桥、中兴路人行天桥、勤工路人行天桥、黄河实验小学人行天桥、八十三中人行天桥的面层拆除及修复，栏杆修复</w:t>
            </w:r>
            <w:r>
              <w:rPr>
                <w:rFonts w:ascii="仿宋_GB2312" w:hAnsi="仿宋_GB2312" w:cs="仿宋_GB2312" w:eastAsia="仿宋_GB2312"/>
              </w:rPr>
              <w:t>等内容。</w:t>
            </w:r>
          </w:p>
          <w:p>
            <w:pPr>
              <w:pStyle w:val="null3"/>
            </w:pPr>
            <w:r>
              <w:rPr>
                <w:rFonts w:ascii="仿宋_GB2312" w:hAnsi="仿宋_GB2312" w:cs="仿宋_GB2312" w:eastAsia="仿宋_GB2312"/>
              </w:rPr>
              <w:t>2、工程地点：</w:t>
            </w:r>
            <w:r>
              <w:rPr>
                <w:rFonts w:ascii="仿宋_GB2312" w:hAnsi="仿宋_GB2312" w:cs="仿宋_GB2312" w:eastAsia="仿宋_GB2312"/>
              </w:rPr>
              <w:t>西安市新城区</w:t>
            </w:r>
            <w:r>
              <w:rPr>
                <w:rFonts w:ascii="仿宋_GB2312" w:hAnsi="仿宋_GB2312" w:cs="仿宋_GB2312" w:eastAsia="仿宋_GB2312"/>
              </w:rPr>
              <w:t>。</w:t>
            </w:r>
          </w:p>
          <w:p>
            <w:pPr>
              <w:pStyle w:val="null3"/>
            </w:pPr>
            <w:r>
              <w:rPr>
                <w:rFonts w:ascii="仿宋_GB2312" w:hAnsi="仿宋_GB2312" w:cs="仿宋_GB2312" w:eastAsia="仿宋_GB2312"/>
              </w:rPr>
              <w:t>3、计划工期：自合同签订之日起</w:t>
            </w:r>
            <w:r>
              <w:rPr>
                <w:rFonts w:ascii="仿宋_GB2312" w:hAnsi="仿宋_GB2312" w:cs="仿宋_GB2312" w:eastAsia="仿宋_GB2312"/>
              </w:rPr>
              <w:t>40</w:t>
            </w:r>
            <w:r>
              <w:rPr>
                <w:rFonts w:ascii="仿宋_GB2312" w:hAnsi="仿宋_GB2312" w:cs="仿宋_GB2312" w:eastAsia="仿宋_GB2312"/>
              </w:rPr>
              <w:t>日历日。</w:t>
            </w:r>
          </w:p>
          <w:p>
            <w:pPr>
              <w:pStyle w:val="null3"/>
            </w:pPr>
            <w:r>
              <w:rPr>
                <w:rFonts w:ascii="仿宋_GB2312" w:hAnsi="仿宋_GB2312" w:cs="仿宋_GB2312" w:eastAsia="仿宋_GB2312"/>
              </w:rPr>
              <w:t>4、质量保修期：项目整体验收合格后两年。</w:t>
            </w:r>
          </w:p>
          <w:p>
            <w:pPr>
              <w:pStyle w:val="null3"/>
            </w:pPr>
            <w:r>
              <w:rPr>
                <w:rFonts w:ascii="仿宋_GB2312" w:hAnsi="仿宋_GB2312" w:cs="仿宋_GB2312" w:eastAsia="仿宋_GB2312"/>
              </w:rPr>
              <w:t>二</w:t>
            </w:r>
            <w:r>
              <w:rPr>
                <w:rFonts w:ascii="仿宋_GB2312" w:hAnsi="仿宋_GB2312" w:cs="仿宋_GB2312" w:eastAsia="仿宋_GB2312"/>
              </w:rPr>
              <w:t>、工程量清单编制</w:t>
            </w:r>
            <w:r>
              <w:rPr>
                <w:rFonts w:ascii="仿宋_GB2312" w:hAnsi="仿宋_GB2312" w:cs="仿宋_GB2312" w:eastAsia="仿宋_GB2312"/>
              </w:rPr>
              <w:t>依据</w:t>
            </w:r>
          </w:p>
          <w:p>
            <w:pPr>
              <w:pStyle w:val="null3"/>
            </w:pPr>
            <w:r>
              <w:rPr>
                <w:rFonts w:ascii="仿宋_GB2312" w:hAnsi="仿宋_GB2312" w:cs="仿宋_GB2312" w:eastAsia="仿宋_GB2312"/>
              </w:rPr>
              <w:t>1.现场实际踏勘测量；</w:t>
            </w:r>
          </w:p>
          <w:p>
            <w:pPr>
              <w:pStyle w:val="null3"/>
            </w:pPr>
            <w:r>
              <w:rPr>
                <w:rFonts w:ascii="仿宋_GB2312" w:hAnsi="仿宋_GB2312" w:cs="仿宋_GB2312" w:eastAsia="仿宋_GB2312"/>
              </w:rPr>
              <w:t>2.《陕西省建设工程工程量清单计价标准》（2025）及《陕西省建设工程费用规则》（2025）；</w:t>
            </w:r>
          </w:p>
          <w:p>
            <w:pPr>
              <w:pStyle w:val="null3"/>
            </w:pPr>
            <w:r>
              <w:rPr>
                <w:rFonts w:ascii="仿宋_GB2312" w:hAnsi="仿宋_GB2312" w:cs="仿宋_GB2312" w:eastAsia="仿宋_GB2312"/>
              </w:rPr>
              <w:t>3.《陕西省房屋建筑与装饰工程工程量计算标准》（2025）、《陕西省市政工程工程量计算标准》（2025）、《陕西省通用安装工程工程量计算标准》（2025）、《陕西省园林绿化工程工程量计算标准》（2025）；</w:t>
            </w:r>
          </w:p>
          <w:p>
            <w:pPr>
              <w:pStyle w:val="null3"/>
            </w:pPr>
            <w:r>
              <w:rPr>
                <w:rFonts w:ascii="仿宋_GB2312" w:hAnsi="仿宋_GB2312" w:cs="仿宋_GB2312" w:eastAsia="仿宋_GB2312"/>
              </w:rPr>
              <w:t>4.《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w:t>
            </w:r>
          </w:p>
          <w:p>
            <w:pPr>
              <w:pStyle w:val="null3"/>
            </w:pPr>
            <w:r>
              <w:rPr>
                <w:rFonts w:ascii="仿宋_GB2312" w:hAnsi="仿宋_GB2312" w:cs="仿宋_GB2312" w:eastAsia="仿宋_GB2312"/>
              </w:rPr>
              <w:t>5.《陕西省建设工程施工机械台班费用定额（2025）》、《陕西省建设工程施工仪器仪表台班费用定额（2025）》；</w:t>
            </w:r>
          </w:p>
          <w:p>
            <w:pPr>
              <w:pStyle w:val="null3"/>
            </w:pPr>
            <w:r>
              <w:rPr>
                <w:rFonts w:ascii="仿宋_GB2312" w:hAnsi="仿宋_GB2312" w:cs="仿宋_GB2312" w:eastAsia="仿宋_GB2312"/>
              </w:rPr>
              <w:t>6.与建设工程项目有关的标准、规范、图集、技术资料；</w:t>
            </w:r>
          </w:p>
          <w:p>
            <w:pPr>
              <w:pStyle w:val="null3"/>
            </w:pPr>
            <w:r>
              <w:rPr>
                <w:rFonts w:ascii="仿宋_GB2312" w:hAnsi="仿宋_GB2312" w:cs="仿宋_GB2312" w:eastAsia="仿宋_GB2312"/>
              </w:rPr>
              <w:t>7.结合施工现场情况、工程特点参照常规的施工方案；</w:t>
            </w:r>
          </w:p>
          <w:p>
            <w:pPr>
              <w:pStyle w:val="null3"/>
            </w:pPr>
            <w:r>
              <w:rPr>
                <w:rFonts w:ascii="仿宋_GB2312" w:hAnsi="仿宋_GB2312" w:cs="仿宋_GB2312" w:eastAsia="仿宋_GB2312"/>
              </w:rPr>
              <w:t>8.其他相关资料</w:t>
            </w:r>
            <w:r>
              <w:rPr>
                <w:rFonts w:ascii="仿宋_GB2312" w:hAnsi="仿宋_GB2312" w:cs="仿宋_GB2312" w:eastAsia="仿宋_GB2312"/>
              </w:rPr>
              <w:t>。</w:t>
            </w:r>
          </w:p>
          <w:p>
            <w:pPr>
              <w:pStyle w:val="null3"/>
            </w:pPr>
            <w:r>
              <w:rPr>
                <w:rFonts w:ascii="仿宋_GB2312" w:hAnsi="仿宋_GB2312" w:cs="仿宋_GB2312" w:eastAsia="仿宋_GB2312"/>
              </w:rPr>
              <w:t>9.编制</w:t>
            </w:r>
            <w:r>
              <w:rPr>
                <w:rFonts w:ascii="仿宋_GB2312" w:hAnsi="仿宋_GB2312" w:cs="仿宋_GB2312" w:eastAsia="仿宋_GB2312"/>
              </w:rPr>
              <w:t>说明</w:t>
            </w:r>
            <w:r>
              <w:rPr>
                <w:rFonts w:ascii="仿宋_GB2312" w:hAnsi="仿宋_GB2312" w:cs="仿宋_GB2312" w:eastAsia="仿宋_GB2312"/>
              </w:rPr>
              <w:t>：</w:t>
            </w:r>
            <w:r>
              <w:rPr>
                <w:rFonts w:ascii="仿宋_GB2312" w:hAnsi="仿宋_GB2312" w:cs="仿宋_GB2312" w:eastAsia="仿宋_GB2312"/>
              </w:rPr>
              <w:t>本工程工程量清单仅描述主要特征，描述不完整的视为已包含在总价中，结算时不予调整。</w:t>
            </w:r>
          </w:p>
          <w:p>
            <w:pPr>
              <w:pStyle w:val="null3"/>
            </w:pPr>
            <w:r>
              <w:rPr>
                <w:rFonts w:ascii="仿宋_GB2312" w:hAnsi="仿宋_GB2312" w:cs="仿宋_GB2312" w:eastAsia="仿宋_GB2312"/>
              </w:rPr>
              <w:t>10.其他说明：</w:t>
            </w:r>
          </w:p>
          <w:p>
            <w:pPr>
              <w:pStyle w:val="null3"/>
            </w:pPr>
            <w:r>
              <w:rPr>
                <w:rFonts w:ascii="仿宋_GB2312" w:hAnsi="仿宋_GB2312" w:cs="仿宋_GB2312" w:eastAsia="仿宋_GB2312"/>
              </w:rPr>
              <w:t>①道路基层回填面积暂按800㎡计入，平均厚度暂按100mm计入；</w:t>
            </w:r>
          </w:p>
          <w:p>
            <w:pPr>
              <w:pStyle w:val="null3"/>
            </w:pPr>
            <w:r>
              <w:rPr>
                <w:rFonts w:ascii="仿宋_GB2312" w:hAnsi="仿宋_GB2312" w:cs="仿宋_GB2312" w:eastAsia="仿宋_GB2312"/>
              </w:rPr>
              <w:t>②道路标记及表现工程量暂按现状计入；</w:t>
            </w:r>
          </w:p>
          <w:p>
            <w:pPr>
              <w:pStyle w:val="null3"/>
            </w:pPr>
            <w:r>
              <w:rPr>
                <w:rFonts w:ascii="仿宋_GB2312" w:hAnsi="仿宋_GB2312" w:cs="仿宋_GB2312" w:eastAsia="仿宋_GB2312"/>
              </w:rPr>
              <w:t>③人行天桥修复工程为现场测量工程量；</w:t>
            </w:r>
          </w:p>
          <w:p>
            <w:pPr>
              <w:pStyle w:val="null3"/>
              <w:ind w:left="600"/>
            </w:pPr>
            <w:r>
              <w:rPr>
                <w:rFonts w:ascii="仿宋_GB2312" w:hAnsi="仿宋_GB2312" w:cs="仿宋_GB2312" w:eastAsia="仿宋_GB2312"/>
              </w:rPr>
              <w:t>④采用广联达计价软件版本</w:t>
            </w:r>
            <w:r>
              <w:rPr>
                <w:rFonts w:ascii="仿宋_GB2312" w:hAnsi="仿宋_GB2312" w:cs="仿宋_GB2312" w:eastAsia="仿宋_GB2312"/>
                <w:b/>
              </w:rPr>
              <w:t>7.5000.23.2</w:t>
            </w:r>
          </w:p>
          <w:p>
            <w:pPr>
              <w:pStyle w:val="null3"/>
            </w:pPr>
            <w:r>
              <w:rPr>
                <w:rFonts w:ascii="仿宋_GB2312" w:hAnsi="仿宋_GB2312" w:cs="仿宋_GB2312" w:eastAsia="仿宋_GB2312"/>
              </w:rPr>
              <w:t>三</w:t>
            </w:r>
            <w:r>
              <w:rPr>
                <w:rFonts w:ascii="仿宋_GB2312" w:hAnsi="仿宋_GB2312" w:cs="仿宋_GB2312" w:eastAsia="仿宋_GB2312"/>
              </w:rPr>
              <w:t>、施工要求</w:t>
            </w:r>
          </w:p>
          <w:p>
            <w:pPr>
              <w:pStyle w:val="null3"/>
            </w:pPr>
            <w:r>
              <w:rPr>
                <w:rFonts w:ascii="仿宋_GB2312" w:hAnsi="仿宋_GB2312" w:cs="仿宋_GB2312" w:eastAsia="仿宋_GB2312"/>
              </w:rPr>
              <w:t>1、严格执行国家现行规范、标准，严格按照设计要求组织施工。</w:t>
            </w:r>
          </w:p>
          <w:p>
            <w:pPr>
              <w:pStyle w:val="null3"/>
            </w:pPr>
            <w:r>
              <w:rPr>
                <w:rFonts w:ascii="仿宋_GB2312" w:hAnsi="仿宋_GB2312" w:cs="仿宋_GB2312" w:eastAsia="仿宋_GB2312"/>
              </w:rPr>
              <w:t>2、明确职责，严格岗位责任，齐心协力做好工作。确保工程按计划进行。</w:t>
            </w:r>
          </w:p>
          <w:p>
            <w:pPr>
              <w:pStyle w:val="null3"/>
            </w:pPr>
            <w:r>
              <w:rPr>
                <w:rFonts w:ascii="仿宋_GB2312" w:hAnsi="仿宋_GB2312" w:cs="仿宋_GB2312" w:eastAsia="仿宋_GB2312"/>
              </w:rPr>
              <w:t>3、加强管理，确保施工中的人员安全。</w:t>
            </w:r>
          </w:p>
          <w:p>
            <w:pPr>
              <w:pStyle w:val="null3"/>
            </w:pPr>
            <w:r>
              <w:rPr>
                <w:rFonts w:ascii="仿宋_GB2312" w:hAnsi="仿宋_GB2312" w:cs="仿宋_GB2312" w:eastAsia="仿宋_GB2312"/>
              </w:rPr>
              <w:t>四</w:t>
            </w:r>
            <w:r>
              <w:rPr>
                <w:rFonts w:ascii="仿宋_GB2312" w:hAnsi="仿宋_GB2312" w:cs="仿宋_GB2312" w:eastAsia="仿宋_GB2312"/>
              </w:rPr>
              <w:t>、商务要求</w:t>
            </w:r>
          </w:p>
          <w:p>
            <w:pPr>
              <w:pStyle w:val="null3"/>
            </w:pPr>
            <w:r>
              <w:rPr>
                <w:rFonts w:ascii="仿宋_GB2312" w:hAnsi="仿宋_GB2312" w:cs="仿宋_GB2312" w:eastAsia="仿宋_GB2312"/>
              </w:rPr>
              <w:t>款项结算：</w:t>
            </w:r>
            <w:r>
              <w:rPr>
                <w:rFonts w:ascii="仿宋_GB2312" w:hAnsi="仿宋_GB2312" w:cs="仿宋_GB2312" w:eastAsia="仿宋_GB2312"/>
              </w:rPr>
              <w:t>1、付款条件说明:签订合同后，达到付款条件起30日内，支付合同总金额的40.00%。2、付款条件说明:施工完毕验收合格后，达到付款条件起30日内，支付</w:t>
            </w:r>
            <w:r>
              <w:rPr>
                <w:rFonts w:ascii="仿宋_GB2312" w:hAnsi="仿宋_GB2312" w:cs="仿宋_GB2312" w:eastAsia="仿宋_GB2312"/>
              </w:rPr>
              <w:t>至</w:t>
            </w:r>
            <w:r>
              <w:rPr>
                <w:rFonts w:ascii="仿宋_GB2312" w:hAnsi="仿宋_GB2312" w:cs="仿宋_GB2312" w:eastAsia="仿宋_GB2312"/>
              </w:rPr>
              <w:t>合同总金额的</w:t>
            </w:r>
            <w:r>
              <w:rPr>
                <w:rFonts w:ascii="仿宋_GB2312" w:hAnsi="仿宋_GB2312" w:cs="仿宋_GB2312" w:eastAsia="仿宋_GB2312"/>
              </w:rPr>
              <w:t>8</w:t>
            </w:r>
            <w:r>
              <w:rPr>
                <w:rFonts w:ascii="仿宋_GB2312" w:hAnsi="仿宋_GB2312" w:cs="仿宋_GB2312" w:eastAsia="仿宋_GB2312"/>
              </w:rPr>
              <w:t>0.00%。</w:t>
            </w:r>
            <w:r>
              <w:rPr>
                <w:rFonts w:ascii="仿宋_GB2312" w:hAnsi="仿宋_GB2312" w:cs="仿宋_GB2312" w:eastAsia="仿宋_GB2312"/>
              </w:rPr>
              <w:t>3</w:t>
            </w:r>
            <w:r>
              <w:rPr>
                <w:rFonts w:ascii="仿宋_GB2312" w:hAnsi="仿宋_GB2312" w:cs="仿宋_GB2312" w:eastAsia="仿宋_GB2312"/>
              </w:rPr>
              <w:t>、付款条件说明</w:t>
            </w:r>
            <w:r>
              <w:rPr>
                <w:rFonts w:ascii="仿宋_GB2312" w:hAnsi="仿宋_GB2312" w:cs="仿宋_GB2312" w:eastAsia="仿宋_GB2312"/>
              </w:rPr>
              <w:t>:竣工结算审计完成后，达到付款条件起30日内，支付</w:t>
            </w:r>
            <w:r>
              <w:rPr>
                <w:rFonts w:ascii="仿宋_GB2312" w:hAnsi="仿宋_GB2312" w:cs="仿宋_GB2312" w:eastAsia="仿宋_GB2312"/>
              </w:rPr>
              <w:t>至</w:t>
            </w:r>
            <w:r>
              <w:rPr>
                <w:rFonts w:ascii="仿宋_GB2312" w:hAnsi="仿宋_GB2312" w:cs="仿宋_GB2312" w:eastAsia="仿宋_GB2312"/>
              </w:rPr>
              <w:t>合同总金额的</w:t>
            </w:r>
            <w:r>
              <w:rPr>
                <w:rFonts w:ascii="仿宋_GB2312" w:hAnsi="仿宋_GB2312" w:cs="仿宋_GB2312" w:eastAsia="仿宋_GB2312"/>
              </w:rPr>
              <w:t>9</w:t>
            </w:r>
            <w:r>
              <w:rPr>
                <w:rFonts w:ascii="仿宋_GB2312" w:hAnsi="仿宋_GB2312" w:cs="仿宋_GB2312" w:eastAsia="仿宋_GB2312"/>
              </w:rPr>
              <w:t>7.00%。</w:t>
            </w:r>
            <w:r>
              <w:rPr>
                <w:rFonts w:ascii="仿宋_GB2312" w:hAnsi="仿宋_GB2312" w:cs="仿宋_GB2312" w:eastAsia="仿宋_GB2312"/>
              </w:rPr>
              <w:t>4</w:t>
            </w:r>
            <w:r>
              <w:rPr>
                <w:rFonts w:ascii="仿宋_GB2312" w:hAnsi="仿宋_GB2312" w:cs="仿宋_GB2312" w:eastAsia="仿宋_GB2312"/>
              </w:rPr>
              <w:t>、付款条件说明</w:t>
            </w:r>
            <w:r>
              <w:rPr>
                <w:rFonts w:ascii="仿宋_GB2312" w:hAnsi="仿宋_GB2312" w:cs="仿宋_GB2312" w:eastAsia="仿宋_GB2312"/>
              </w:rPr>
              <w:t>:质保期结束后，达到付款条件起30日内，支付合同总金额的3.00%。</w:t>
            </w:r>
          </w:p>
          <w:p>
            <w:pPr>
              <w:pStyle w:val="null3"/>
            </w:pPr>
            <w:r>
              <w:rPr>
                <w:rFonts w:ascii="仿宋_GB2312" w:hAnsi="仿宋_GB2312" w:cs="仿宋_GB2312" w:eastAsia="仿宋_GB2312"/>
              </w:rPr>
              <w:t>六、其他</w:t>
            </w:r>
          </w:p>
          <w:p>
            <w:pPr>
              <w:pStyle w:val="null3"/>
            </w:pPr>
            <w:r>
              <w:rPr>
                <w:rFonts w:ascii="仿宋_GB2312" w:hAnsi="仿宋_GB2312" w:cs="仿宋_GB2312" w:eastAsia="仿宋_GB2312"/>
              </w:rPr>
              <w:t>1、质量验收标准或规范</w:t>
            </w:r>
          </w:p>
          <w:p>
            <w:pPr>
              <w:pStyle w:val="null3"/>
            </w:pPr>
            <w:r>
              <w:rPr>
                <w:rFonts w:ascii="仿宋_GB2312" w:hAnsi="仿宋_GB2312" w:cs="仿宋_GB2312" w:eastAsia="仿宋_GB2312"/>
              </w:rPr>
              <w:t>质量标准：达到国家规定的</w:t>
            </w:r>
            <w:r>
              <w:rPr>
                <w:rFonts w:ascii="仿宋_GB2312" w:hAnsi="仿宋_GB2312" w:cs="仿宋_GB2312" w:eastAsia="仿宋_GB2312"/>
              </w:rPr>
              <w:t>“合格”标准</w:t>
            </w:r>
          </w:p>
          <w:p>
            <w:pPr>
              <w:pStyle w:val="null3"/>
            </w:pPr>
            <w:r>
              <w:rPr>
                <w:rFonts w:ascii="仿宋_GB2312" w:hAnsi="仿宋_GB2312" w:cs="仿宋_GB2312" w:eastAsia="仿宋_GB2312"/>
              </w:rPr>
              <w:t>验收标准或规范：达到国家标准，行业标准及采购人要求。</w:t>
            </w:r>
          </w:p>
          <w:p>
            <w:pPr>
              <w:pStyle w:val="null3"/>
            </w:pPr>
            <w:r>
              <w:rPr>
                <w:rFonts w:ascii="仿宋_GB2312" w:hAnsi="仿宋_GB2312" w:cs="仿宋_GB2312" w:eastAsia="仿宋_GB2312"/>
              </w:rPr>
              <w:t>2、违约责任</w:t>
            </w:r>
          </w:p>
          <w:p>
            <w:pPr>
              <w:pStyle w:val="null3"/>
            </w:pPr>
            <w:r>
              <w:rPr>
                <w:rFonts w:ascii="仿宋_GB2312" w:hAnsi="仿宋_GB2312" w:cs="仿宋_GB2312" w:eastAsia="仿宋_GB2312"/>
              </w:rPr>
              <w:t>（</w:t>
            </w:r>
            <w:r>
              <w:rPr>
                <w:rFonts w:ascii="仿宋_GB2312" w:hAnsi="仿宋_GB2312" w:cs="仿宋_GB2312" w:eastAsia="仿宋_GB2312"/>
              </w:rPr>
              <w:t>1）《民法典》第五百八十五条的规定；</w:t>
            </w:r>
          </w:p>
          <w:p>
            <w:pPr>
              <w:pStyle w:val="null3"/>
            </w:pPr>
            <w:r>
              <w:rPr>
                <w:rFonts w:ascii="仿宋_GB2312" w:hAnsi="仿宋_GB2312" w:cs="仿宋_GB2312" w:eastAsia="仿宋_GB2312"/>
              </w:rPr>
              <w:t>（</w:t>
            </w:r>
            <w:r>
              <w:rPr>
                <w:rFonts w:ascii="仿宋_GB2312" w:hAnsi="仿宋_GB2312" w:cs="仿宋_GB2312" w:eastAsia="仿宋_GB2312"/>
              </w:rPr>
              <w:t>2）《陕西省建设工程工程量清单计价规则》(2009年)；</w:t>
            </w:r>
          </w:p>
          <w:p>
            <w:pPr>
              <w:pStyle w:val="null3"/>
            </w:pPr>
            <w:r>
              <w:rPr>
                <w:rFonts w:ascii="仿宋_GB2312" w:hAnsi="仿宋_GB2312" w:cs="仿宋_GB2312" w:eastAsia="仿宋_GB2312"/>
              </w:rPr>
              <w:t>（</w:t>
            </w:r>
            <w:r>
              <w:rPr>
                <w:rFonts w:ascii="仿宋_GB2312" w:hAnsi="仿宋_GB2312" w:cs="仿宋_GB2312" w:eastAsia="仿宋_GB2312"/>
              </w:rPr>
              <w:t>3）《建设工程施工合同》；</w:t>
            </w:r>
          </w:p>
          <w:p>
            <w:pPr>
              <w:pStyle w:val="null3"/>
            </w:pPr>
            <w:r>
              <w:rPr>
                <w:rFonts w:ascii="仿宋_GB2312" w:hAnsi="仿宋_GB2312" w:cs="仿宋_GB2312" w:eastAsia="仿宋_GB2312"/>
              </w:rPr>
              <w:t>（</w:t>
            </w:r>
            <w:r>
              <w:rPr>
                <w:rFonts w:ascii="仿宋_GB2312" w:hAnsi="仿宋_GB2312" w:cs="仿宋_GB2312" w:eastAsia="仿宋_GB2312"/>
              </w:rPr>
              <w:t>4）其他相关法律规定。未按合同要求提供服务，发包方会同监督机构有权终止合同，对承包方违约行为进行追究，同时按政府采购法的有关规定进行相应的处罚。</w:t>
            </w:r>
          </w:p>
          <w:p>
            <w:pPr>
              <w:pStyle w:val="null3"/>
            </w:pPr>
            <w:r>
              <w:rPr>
                <w:rFonts w:ascii="仿宋_GB2312" w:hAnsi="仿宋_GB2312" w:cs="仿宋_GB2312" w:eastAsia="仿宋_GB2312"/>
              </w:rPr>
              <w:t>3、与本工程相关的特别说明</w:t>
            </w:r>
          </w:p>
          <w:p>
            <w:pPr>
              <w:pStyle w:val="null3"/>
            </w:pPr>
            <w:r>
              <w:rPr>
                <w:rFonts w:ascii="仿宋_GB2312" w:hAnsi="仿宋_GB2312" w:cs="仿宋_GB2312" w:eastAsia="仿宋_GB2312"/>
                <w:sz w:val="21"/>
              </w:rPr>
              <w:t>工程量清单（以电子招标书为准）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在施工期间，中标供应商必须严格按照治污减霾相关要求施工，并加强安全措施，并对施工人员进行安全教育，施工人员必须持证上岗。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合同价款应是采购范围内全部工作内容的价格体现。包括人工费、材料费、机械费、设备费、安装费、管理费、社保费、成交代理服务费、税金等其他一切相关费用。供应商所报的价格应考虑到可能发生的所有与完成本项目相关服务及履行合同义务有关的一切费用。任何有选择的报价将不予接受，按无效磋商处理。 2、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3、履约验收：涉及履约验收的，验收费用由采购人支付。 4、《3.1技术、服务标准和要求：（招单价的）供应商报价不允许超过标的单价》此款不做要求。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月至今任意一个月的纳税证明或完税证明（提供增值税、企业所得税至少一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1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拟派项目经理具备市政公用工程专业注册建造师二级及以上执业资格及其本人具有有效的安全生产考核合格证（建安B证），在本单位注册且无在建工程；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响应文件封面 项目管理机构组成表 残疾人福利性单位声明函 报价函 标的清单 供应商类似项目业绩一览表 响应函 法定代表人授权委托书.docx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供应商提供的响应文件内容无实质性遗漏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响应文件封面 项目管理机构组成表 残疾人福利性单位声明函 报价函 标的清单 供应商类似项目业绩一览表 响应函 法定代表人授权委托书.docx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响应函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1、本项目总体施工方案内容全面、完整、详细，进度合理，准备充分，有完善的规划、部署和实施措施，得8分； 2、本项目总体施工方案基本明确、细节简单，内容描述基本完善，得5分； 3、本项目总体施工方案描述符合磋商文件要求，内容简单，得3分； 4、本项目总体施工方案缺失、不完善，内容不具操作性的，得1分；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1、工程质量的技术组织措施详尽、合理、可行性度高，得6分； 2、工程质量的技术组织措施基本完善、较为合理，得4分； 3、工程质量的技术组织措施笼统简单，得2分； 4、工程质量的技术组织措施缺失、不完善，内容不具操作性的，得1分；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1、安全生产的技术组织措施详尽、合理、可行性度高，得6分； 2、安全生产的技术组织措施基本完善、较为合理，得4分； 3、安全生产的技术组织措施笼统简单，得2分； 4、安全生产的技术组织措施缺失、不完善，内容不具操作性的，得1分；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1、文明施工的技术组织措施详尽、合理、可行性度高，得6分； 2、文明施工的技术组织措施基本完善、较为合理，得4分； 3、文明施工的技术组织措施笼统简单，得2分； 4、文明施工的技术组织措施缺失、不完善，内容不具操作性的，得1分；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1、环境保护的技术组织措施详尽、合理、可行性度高，得6分； 2、环境保护的技术组织措施基本完善、较为合理，得4分； 3、环境保护的技术组织措施笼统简单，得2分； 4、环境保护的技术组织措施缺失、不完善，内容不具操作性的，得1分；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1、工期的技术组织措施详尽、合理、可行性度高，得6分； 2、工期的技术组织措施基本完善、较为合理，得4分； 3、工期的技术组织措施笼统简单，得2分； 4、工期的技术组织措施缺失、不完善，内容不具操作性的，得1分；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施工组织、项目管理机构与劳动力安排计划</w:t>
            </w:r>
          </w:p>
        </w:tc>
        <w:tc>
          <w:tcPr>
            <w:tcW w:type="dxa" w:w="2492"/>
          </w:tcPr>
          <w:p>
            <w:pPr>
              <w:pStyle w:val="null3"/>
            </w:pPr>
            <w:r>
              <w:rPr>
                <w:rFonts w:ascii="仿宋_GB2312" w:hAnsi="仿宋_GB2312" w:cs="仿宋_GB2312" w:eastAsia="仿宋_GB2312"/>
              </w:rPr>
              <w:t>1、施工组织和项目管理机构合理、完善、详尽，完全满足项目的要求且可行性强的，得6分； 2、施工组织和项目管理机构基本合理满足项目的要求且有一定可行性的得4分； 3、施工组织和项目管理机构基本合理满足项目的要求但可行性较差的得2分； 4、施工组织和项目管理机构缺失、不完善，得1分；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新技术、新产品、新工艺、新材料应用、施工现场扬尘预防措施</w:t>
            </w:r>
          </w:p>
        </w:tc>
        <w:tc>
          <w:tcPr>
            <w:tcW w:type="dxa" w:w="2492"/>
          </w:tcPr>
          <w:p>
            <w:pPr>
              <w:pStyle w:val="null3"/>
            </w:pPr>
            <w:r>
              <w:rPr>
                <w:rFonts w:ascii="仿宋_GB2312" w:hAnsi="仿宋_GB2312" w:cs="仿宋_GB2312" w:eastAsia="仿宋_GB2312"/>
              </w:rPr>
              <w:t>1、按施工方案提供的措施详尽、合理、可行性度高，得6分； 2、措施基本完善、较为合理，得4分； 3、措施笼统简单，得2分； 4、措施缺失、不完善，内容不具操作性的，得1分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1、根据供应商提供的施工总平面布置合理完整、可行性度高、且能针对性满足项目，得6分； 2、施工总平面布置较完整，简单，有一定可行性，得4分； 3、施工总平面布置笼统简单，得2分；4、内容缺失、不完善，不具操作性的，得1分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1、施工机械配备合理和材料环保性好，得6分； 2、施工机械配备和材料投入计划基本合理、可行，得4分； 3、施工机械配备和材料投入计划基本满足实际需求，得2分； 4、施工机械配备和材料投入缺失、不完善，不具操作性的，得1分5、未提供不得分。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1、维修及保修承诺详尽、合理、可行性度高，得5分； 2、维修及保修承诺基本完善、较为合理，得3分； 3、维修及保修承诺笼统简单，得1分；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提供2023年01月01日至今类似项目（以施工合同复印件加盖公章为准）每个计1分，最高得3分。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（1）本项目设最高限价。供应商的磋商总报价超过最高限价的视为无效标，不再参与下一步评审。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