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81CCB8">
      <w:pPr>
        <w:pStyle w:val="2"/>
        <w:spacing w:line="350" w:lineRule="auto"/>
        <w:jc w:val="center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合同条款及格式</w:t>
      </w:r>
    </w:p>
    <w:p w14:paraId="651E7F90">
      <w:pPr>
        <w:autoSpaceDE w:val="0"/>
        <w:autoSpaceDN w:val="0"/>
        <w:adjustRightInd w:val="0"/>
        <w:spacing w:line="360" w:lineRule="auto"/>
        <w:jc w:val="center"/>
        <w:rPr>
          <w:rFonts w:hint="default" w:ascii="宋体" w:hAnsi="宋体" w:eastAsia="宋体" w:cs="宋体"/>
          <w:b/>
          <w:bCs w:val="0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4"/>
          <w:lang w:val="en-US" w:eastAsia="zh-CN"/>
        </w:rPr>
        <w:t>供参考具体以实际签订合同为准</w:t>
      </w:r>
    </w:p>
    <w:p w14:paraId="369789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rPr>
          <w:rFonts w:hint="eastAsia" w:ascii="宋体" w:hAnsi="宋体" w:eastAsia="宋体" w:cs="宋体"/>
          <w:bCs/>
          <w:sz w:val="24"/>
          <w:u w:val="single"/>
        </w:rPr>
      </w:pPr>
      <w:r>
        <w:rPr>
          <w:rFonts w:hint="eastAsia" w:ascii="宋体" w:hAnsi="宋体" w:eastAsia="宋体" w:cs="宋体"/>
          <w:bCs/>
          <w:sz w:val="24"/>
        </w:rPr>
        <w:t>甲方（采购人）：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bCs/>
          <w:sz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       </w:t>
      </w:r>
    </w:p>
    <w:p w14:paraId="6E8600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乙方（中标人）：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bCs/>
          <w:sz w:val="24"/>
        </w:rPr>
        <w:t xml:space="preserve"> </w:t>
      </w:r>
    </w:p>
    <w:p w14:paraId="25BDEF2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36" w:lineRule="auto"/>
        <w:ind w:firstLine="480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  <w:u w:val="single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</w:rPr>
        <w:t>竞争性磋商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项目</w:t>
      </w:r>
      <w:r>
        <w:rPr>
          <w:rFonts w:hint="eastAsia" w:ascii="宋体" w:hAnsi="宋体" w:eastAsia="宋体" w:cs="宋体"/>
          <w:bCs/>
          <w:sz w:val="24"/>
        </w:rPr>
        <w:t>，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</w:rPr>
        <w:t>(以下简称“甲方”</w:t>
      </w:r>
      <w:r>
        <w:rPr>
          <w:rFonts w:hint="eastAsia" w:ascii="宋体" w:hAnsi="宋体" w:eastAsia="宋体" w:cs="宋体"/>
          <w:bCs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Cs/>
          <w:sz w:val="24"/>
        </w:rPr>
        <w:t>)确定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bCs/>
          <w:sz w:val="24"/>
        </w:rPr>
        <w:t>（以下简称“乙方”</w:t>
      </w:r>
      <w:r>
        <w:rPr>
          <w:rFonts w:hint="eastAsia" w:ascii="宋体" w:hAnsi="宋体" w:eastAsia="宋体" w:cs="宋体"/>
          <w:bCs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Cs/>
          <w:sz w:val="24"/>
        </w:rPr>
        <w:t>）为本项目的成交单位。</w:t>
      </w:r>
    </w:p>
    <w:p w14:paraId="028BCC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依据《中华人民共和国民法典》和《中华人民共和国政府采购法》，经双方协商按下述条款和条件签署本合同。</w:t>
      </w:r>
    </w:p>
    <w:p w14:paraId="48326D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2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/>
          <w:sz w:val="24"/>
        </w:rPr>
        <w:t>一、合同价款</w:t>
      </w:r>
    </w:p>
    <w:p w14:paraId="51AB16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（一）合同总价款：大写：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            </w:t>
      </w:r>
      <w:r>
        <w:rPr>
          <w:rFonts w:hint="eastAsia" w:ascii="宋体" w:hAnsi="宋体" w:eastAsia="宋体" w:cs="宋体"/>
          <w:bCs/>
          <w:sz w:val="24"/>
        </w:rPr>
        <w:t>（¥：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bCs/>
          <w:sz w:val="24"/>
        </w:rPr>
        <w:t>元）。</w:t>
      </w:r>
    </w:p>
    <w:p w14:paraId="2B9028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（二）合同总价包括：工程量清单的全部内容，不受市场价变化或实际工作量变化的影响。合同价格为含税价。</w:t>
      </w:r>
    </w:p>
    <w:p w14:paraId="546BED29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rPr>
          <w:rFonts w:hint="eastAsia" w:eastAsia="宋体"/>
          <w:color w:val="0000FF"/>
        </w:rPr>
      </w:pPr>
      <w:r>
        <w:rPr>
          <w:rFonts w:hint="eastAsia" w:ascii="宋体" w:eastAsia="宋体" w:cs="宋体"/>
          <w:bCs/>
          <w:sz w:val="24"/>
        </w:rPr>
        <w:t xml:space="preserve">    （三）</w:t>
      </w:r>
      <w:r>
        <w:rPr>
          <w:rFonts w:hint="eastAsia" w:ascii="宋体" w:hAnsi="宋体" w:eastAsia="宋体" w:cs="宋体"/>
          <w:bCs/>
          <w:color w:val="auto"/>
          <w:kern w:val="2"/>
          <w:sz w:val="24"/>
          <w:szCs w:val="24"/>
          <w:lang w:val="en-US" w:eastAsia="zh-CN" w:bidi="ar-SA"/>
          <w14:ligatures w14:val="none"/>
        </w:rPr>
        <w:t>工作内容：本项目主要</w:t>
      </w:r>
      <w:r>
        <w:rPr>
          <w:rFonts w:hint="eastAsia" w:ascii="宋体" w:eastAsia="宋体" w:cs="宋体"/>
          <w:bCs/>
          <w:color w:val="auto"/>
          <w:kern w:val="2"/>
          <w:sz w:val="24"/>
          <w:szCs w:val="24"/>
          <w:lang w:val="en-US" w:eastAsia="zh-CN" w:bidi="ar-SA"/>
          <w14:ligatures w14:val="none"/>
        </w:rPr>
        <w:t>对</w:t>
      </w:r>
      <w:r>
        <w:rPr>
          <w:rFonts w:hint="eastAsia" w:ascii="宋体" w:hAnsi="宋体" w:eastAsia="宋体" w:cs="宋体"/>
          <w:bCs/>
          <w:color w:val="auto"/>
          <w:kern w:val="2"/>
          <w:sz w:val="24"/>
          <w:szCs w:val="24"/>
          <w:lang w:val="en-US" w:eastAsia="zh-CN" w:bidi="ar-SA"/>
          <w14:ligatures w14:val="none"/>
        </w:rPr>
        <w:t>新办公场所局部改造，强弱电综合布线，影音视频设备移机，空调移机，安装防盗门窗；办公家具、设备拆装搬运及档案资料等搬运。</w:t>
      </w:r>
    </w:p>
    <w:p w14:paraId="4B761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2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/>
          <w:sz w:val="24"/>
        </w:rPr>
        <w:t>二、支付方式及约定</w:t>
      </w:r>
    </w:p>
    <w:p w14:paraId="726F7992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bidi w:val="0"/>
        <w:spacing w:line="336" w:lineRule="auto"/>
        <w:ind w:firstLine="480" w:firstLineChars="200"/>
        <w:jc w:val="left"/>
        <w:rPr>
          <w:rFonts w:hint="eastAsia" w:ascii="宋体" w:hAnsi="宋体" w:eastAsia="宋体" w:cs="宋体"/>
          <w:kern w:val="0"/>
          <w:lang w:bidi="ar"/>
        </w:rPr>
      </w:pPr>
      <w:r>
        <w:rPr>
          <w:rFonts w:hint="eastAsia" w:ascii="宋体" w:hAnsi="宋体" w:eastAsia="宋体" w:cs="宋体"/>
          <w:kern w:val="0"/>
          <w:lang w:bidi="ar"/>
        </w:rPr>
        <w:t>（一）支付方式：</w:t>
      </w:r>
    </w:p>
    <w:p w14:paraId="51A3F22C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bidi w:val="0"/>
        <w:spacing w:line="336" w:lineRule="auto"/>
        <w:ind w:firstLine="480" w:firstLineChars="200"/>
        <w:jc w:val="left"/>
        <w:rPr>
          <w:rFonts w:hint="eastAsia" w:ascii="宋体" w:hAnsi="宋体" w:eastAsia="宋体" w:cs="宋体"/>
          <w:kern w:val="0"/>
          <w:lang w:bidi="ar"/>
        </w:rPr>
      </w:pPr>
      <w:r>
        <w:rPr>
          <w:rFonts w:hint="eastAsia" w:ascii="宋体" w:hAnsi="宋体" w:eastAsia="宋体" w:cs="宋体"/>
          <w:kern w:val="0"/>
          <w:lang w:bidi="ar"/>
        </w:rPr>
        <w:t>（二）支付约定：</w:t>
      </w:r>
    </w:p>
    <w:p w14:paraId="67491B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2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/>
          <w:sz w:val="24"/>
        </w:rPr>
        <w:t>三、实施地点及期限：</w:t>
      </w:r>
    </w:p>
    <w:p w14:paraId="1562B1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rPr>
          <w:rFonts w:hint="default" w:ascii="宋体" w:hAnsi="宋体" w:eastAsia="宋体" w:cs="宋体"/>
          <w:bCs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（一）实施地点：</w:t>
      </w:r>
      <w:r>
        <w:rPr>
          <w:rFonts w:hint="eastAsia" w:ascii="宋体" w:hAnsi="宋体" w:eastAsia="宋体" w:cs="宋体"/>
          <w:bCs/>
          <w:color w:val="auto"/>
          <w:sz w:val="24"/>
          <w:lang w:val="en-US" w:eastAsia="zh-CN"/>
        </w:rPr>
        <w:t>采购人指定地点</w:t>
      </w:r>
    </w:p>
    <w:p w14:paraId="300D17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rPr>
          <w:rFonts w:hint="eastAsia" w:ascii="宋体" w:hAnsi="宋体" w:eastAsia="宋体" w:cs="宋体"/>
          <w:bCs/>
          <w:color w:val="auto"/>
          <w:sz w:val="24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（二）工期：</w:t>
      </w:r>
    </w:p>
    <w:p w14:paraId="7979E607"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left="0" w:leftChars="0" w:firstLine="480" w:firstLineChars="200"/>
        <w:rPr>
          <w:rFonts w:hint="eastAsia"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（三）质量期：</w:t>
      </w:r>
    </w:p>
    <w:p w14:paraId="69AD1230"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left="0" w:leftChars="0" w:firstLine="480" w:firstLineChars="200"/>
        <w:rPr>
          <w:rFonts w:hint="eastAsia"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  <w:lang w:eastAsia="zh-CN"/>
        </w:rPr>
        <w:t>（</w:t>
      </w:r>
      <w:r>
        <w:rPr>
          <w:rFonts w:hint="eastAsia" w:ascii="宋体" w:hAnsi="宋体" w:eastAsia="宋体" w:cs="宋体"/>
          <w:bCs/>
          <w:lang w:val="en-US" w:eastAsia="zh-CN"/>
        </w:rPr>
        <w:t>四</w:t>
      </w:r>
      <w:r>
        <w:rPr>
          <w:rFonts w:hint="eastAsia" w:ascii="宋体" w:hAnsi="宋体" w:eastAsia="宋体" w:cs="宋体"/>
          <w:bCs/>
          <w:lang w:eastAsia="zh-CN"/>
        </w:rPr>
        <w:t>）</w:t>
      </w:r>
      <w:r>
        <w:rPr>
          <w:rFonts w:hint="eastAsia" w:ascii="宋体" w:hAnsi="宋体" w:eastAsia="宋体" w:cs="宋体"/>
          <w:bCs/>
        </w:rPr>
        <w:t>缺陷责任期：</w:t>
      </w:r>
    </w:p>
    <w:p w14:paraId="47DA9BD8">
      <w:pPr>
        <w:ind w:firstLine="480" w:firstLineChars="200"/>
        <w:rPr>
          <w:rFonts w:hint="default" w:ascii="宋体" w:hAnsi="宋体" w:eastAsia="宋体" w:cs="宋体"/>
          <w:bCs/>
          <w:kern w:val="2"/>
          <w:sz w:val="24"/>
          <w:szCs w:val="24"/>
          <w:lang w:val="en-US" w:eastAsia="zh-CN" w:bidi="ar-SA"/>
          <w14:ligatures w14:val="none"/>
        </w:rPr>
      </w:pPr>
      <w:bookmarkStart w:id="1" w:name="_GoBack"/>
      <w:bookmarkEnd w:id="1"/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  <w14:ligatures w14:val="none"/>
        </w:rPr>
        <w:t>（五）质量标准：</w:t>
      </w:r>
    </w:p>
    <w:p w14:paraId="7B34AF38"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left="0" w:leftChars="0" w:firstLine="482" w:firstLineChars="200"/>
        <w:rPr>
          <w:rFonts w:hint="eastAsia" w:ascii="宋体" w:hAnsi="宋体" w:eastAsia="宋体" w:cs="宋体"/>
          <w:b/>
          <w:lang w:val="zh-CN"/>
        </w:rPr>
      </w:pPr>
      <w:r>
        <w:rPr>
          <w:rFonts w:hint="eastAsia" w:ascii="宋体" w:hAnsi="宋体" w:eastAsia="宋体" w:cs="宋体"/>
          <w:b/>
          <w:lang w:val="zh-CN"/>
        </w:rPr>
        <w:t>四、质量保证</w:t>
      </w:r>
    </w:p>
    <w:p w14:paraId="2F32ED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</w:rPr>
        <w:t>（一）</w:t>
      </w:r>
      <w:r>
        <w:rPr>
          <w:rFonts w:hint="eastAsia" w:ascii="宋体" w:hAnsi="宋体" w:eastAsia="宋体" w:cs="宋体"/>
          <w:sz w:val="24"/>
          <w:lang w:val="zh-CN"/>
        </w:rPr>
        <w:t>所选材料必须保证质量可靠、进货渠道正常，符合国家环保等相关标准，满足施工要求。</w:t>
      </w:r>
    </w:p>
    <w:p w14:paraId="4FC2D9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</w:rPr>
        <w:t>（二）</w:t>
      </w:r>
      <w:r>
        <w:rPr>
          <w:rFonts w:hint="eastAsia" w:ascii="宋体" w:hAnsi="宋体" w:eastAsia="宋体" w:cs="宋体"/>
          <w:sz w:val="24"/>
          <w:lang w:val="zh-CN"/>
        </w:rPr>
        <w:t>工程质量符合国家有关规范，确保达到合格。</w:t>
      </w:r>
    </w:p>
    <w:p w14:paraId="011D10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</w:rPr>
        <w:t>（三）</w:t>
      </w:r>
      <w:r>
        <w:rPr>
          <w:rFonts w:hint="eastAsia" w:ascii="宋体" w:hAnsi="宋体" w:eastAsia="宋体" w:cs="宋体"/>
          <w:sz w:val="24"/>
          <w:lang w:val="zh-CN"/>
        </w:rPr>
        <w:t>该工程项目质量保修期按有关文件规定执行。</w:t>
      </w:r>
    </w:p>
    <w:p w14:paraId="53189F3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2" w:firstLineChars="200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五、双方责任</w:t>
      </w:r>
    </w:p>
    <w:p w14:paraId="72A1F34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sz w:val="24"/>
        </w:rPr>
        <w:t>（一）甲方责任：</w:t>
      </w:r>
    </w:p>
    <w:p w14:paraId="23F767E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jc w:val="lef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1、甲方负责施工场地、施工环境的提供，排除施工障碍的协调。</w:t>
      </w:r>
    </w:p>
    <w:p w14:paraId="6558B99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jc w:val="lef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2、组织设计、设计变更及现场签证，工程结算的审定等工作。</w:t>
      </w:r>
    </w:p>
    <w:p w14:paraId="17D4BF0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3、对工程进度、质量进行监督检查。</w:t>
      </w:r>
    </w:p>
    <w:p w14:paraId="57B256D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4、组织工程竣工验收。</w:t>
      </w:r>
    </w:p>
    <w:p w14:paraId="6FB9B53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jc w:val="lef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5、按合同约定支付工程款。</w:t>
      </w:r>
    </w:p>
    <w:p w14:paraId="7D32344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jc w:val="lef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（二）乙方责任：</w:t>
      </w:r>
    </w:p>
    <w:p w14:paraId="75B4D3B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1、遵守国家相关法律、法规，遵守国家相关技术规范；</w:t>
      </w:r>
    </w:p>
    <w:p w14:paraId="352BC87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2、所选材料必须保证质量可靠、进货渠道正常，符合国家环保等相关标准，满足施工要求；</w:t>
      </w:r>
    </w:p>
    <w:p w14:paraId="6BB71A2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3、工程质量符合国家有关规范，确保达到合格；</w:t>
      </w:r>
    </w:p>
    <w:p w14:paraId="6A744E7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4、该工程项目质量保修期按有关文件规定执行；</w:t>
      </w:r>
    </w:p>
    <w:p w14:paraId="0AF24F7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5、遵守有关施工规范和安全操作规程，采取有效的安全保障措施，确保施工安全，包括悬挂警示标牌、装设围栏、配备安全人员等，并承担事故的全部费用和责任；</w:t>
      </w:r>
    </w:p>
    <w:p w14:paraId="0CDE8EB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6、施工单位必须服从当地对治安、卫生、环保等工程建设的统一管理，并按有关规定交纳费用以及因违反相关规定而造成的罚款；</w:t>
      </w:r>
    </w:p>
    <w:p w14:paraId="51152B0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7、本工程不允许转包；</w:t>
      </w:r>
    </w:p>
    <w:p w14:paraId="700E69F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jc w:val="left"/>
        <w:rPr>
          <w:rFonts w:ascii="宋体" w:hAnsi="宋体" w:eastAsia="宋体" w:cs="宋体"/>
          <w:sz w:val="24"/>
          <w:lang w:val="zh-CN"/>
        </w:rPr>
      </w:pPr>
      <w:r>
        <w:rPr>
          <w:rFonts w:ascii="宋体" w:hAnsi="宋体" w:eastAsia="宋体" w:cs="宋体"/>
          <w:sz w:val="24"/>
        </w:rPr>
        <w:t>8</w:t>
      </w:r>
      <w:r>
        <w:rPr>
          <w:rFonts w:hint="eastAsia" w:ascii="宋体" w:hAnsi="宋体" w:eastAsia="宋体" w:cs="宋体"/>
          <w:sz w:val="24"/>
        </w:rPr>
        <w:t>、供应商自行办理垃圾清理手续，遵守当地政府垃圾分类处理有关规定，承担自行处置不当导致的全部费用和责任。</w:t>
      </w:r>
    </w:p>
    <w:p w14:paraId="62E0CFA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2" w:firstLineChars="200"/>
        <w:jc w:val="left"/>
        <w:textAlignment w:val="baseline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六、组成合同的文件</w:t>
      </w:r>
    </w:p>
    <w:p w14:paraId="3F8BB0C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1．组成本合同的文件包括：</w:t>
      </w:r>
    </w:p>
    <w:p w14:paraId="6D08881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(1)本合同</w:t>
      </w:r>
      <w:bookmarkStart w:id="0" w:name="OLE_LINK2"/>
      <w:r>
        <w:rPr>
          <w:rFonts w:hint="eastAsia" w:ascii="宋体" w:hAnsi="宋体" w:eastAsia="宋体" w:cs="宋体"/>
          <w:sz w:val="24"/>
        </w:rPr>
        <w:t>书</w:t>
      </w:r>
    </w:p>
    <w:p w14:paraId="7B59F27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(2)成交通知书</w:t>
      </w:r>
    </w:p>
    <w:p w14:paraId="44B7688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(3)磋商文件及其附件</w:t>
      </w:r>
    </w:p>
    <w:p w14:paraId="4B316D1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(4)工程量清单报价表</w:t>
      </w:r>
    </w:p>
    <w:p w14:paraId="4232DCB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2．双方有关工程的</w:t>
      </w:r>
      <w:bookmarkEnd w:id="0"/>
      <w:r>
        <w:rPr>
          <w:rFonts w:hint="eastAsia" w:ascii="宋体" w:hAnsi="宋体" w:eastAsia="宋体" w:cs="宋体"/>
          <w:sz w:val="24"/>
        </w:rPr>
        <w:t>洽商、变更等书面协议或文件、补充协议书均视为本合同的组成部分。</w:t>
      </w:r>
    </w:p>
    <w:p w14:paraId="0900AC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2" w:firstLineChars="200"/>
        <w:rPr>
          <w:rFonts w:hint="eastAsia" w:ascii="宋体" w:hAnsi="宋体" w:eastAsia="宋体" w:cs="宋体"/>
          <w:b/>
          <w:sz w:val="24"/>
          <w:lang w:val="zh-CN"/>
        </w:rPr>
      </w:pPr>
      <w:r>
        <w:rPr>
          <w:rFonts w:hint="eastAsia" w:ascii="宋体" w:hAnsi="宋体" w:eastAsia="宋体" w:cs="宋体"/>
          <w:b/>
          <w:sz w:val="24"/>
          <w:lang w:val="zh-CN"/>
        </w:rPr>
        <w:t>七、验收</w:t>
      </w:r>
    </w:p>
    <w:p w14:paraId="285979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rPr>
          <w:rFonts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</w:rPr>
        <w:t>（一）</w:t>
      </w:r>
      <w:r>
        <w:rPr>
          <w:rFonts w:hint="eastAsia" w:ascii="宋体" w:hAnsi="宋体" w:eastAsia="宋体" w:cs="宋体"/>
          <w:sz w:val="24"/>
          <w:lang w:val="zh-CN"/>
        </w:rPr>
        <w:t>乙方工程完工后，进行自检，合格后准备验收文件，并书面通知甲方。</w:t>
      </w:r>
    </w:p>
    <w:p w14:paraId="0BA353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rPr>
          <w:rFonts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</w:rPr>
        <w:t>（二）</w:t>
      </w:r>
      <w:r>
        <w:rPr>
          <w:rFonts w:hint="eastAsia" w:ascii="宋体" w:hAnsi="宋体" w:eastAsia="宋体" w:cs="宋体"/>
          <w:sz w:val="24"/>
          <w:lang w:val="zh-CN"/>
        </w:rPr>
        <w:t>甲方确认乙方的自检内容，验收合格作为工程的最终认可。</w:t>
      </w:r>
    </w:p>
    <w:p w14:paraId="13D538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rPr>
          <w:rFonts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</w:rPr>
        <w:t>（三）质量验收标准或规范</w:t>
      </w:r>
      <w:r>
        <w:rPr>
          <w:rFonts w:hint="eastAsia" w:ascii="宋体" w:hAnsi="宋体" w:eastAsia="宋体" w:cs="宋体"/>
          <w:sz w:val="24"/>
          <w:lang w:val="zh-CN"/>
        </w:rPr>
        <w:t>：</w:t>
      </w:r>
    </w:p>
    <w:p w14:paraId="75EC14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1、国家现行有关法律、法规、环保和技术指标；</w:t>
      </w:r>
    </w:p>
    <w:p w14:paraId="7CCFA9B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2、本项目施工合同；</w:t>
      </w:r>
    </w:p>
    <w:p w14:paraId="45AEAC8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3、经批准的设计文件及工程变更文件；</w:t>
      </w:r>
    </w:p>
    <w:p w14:paraId="56DAD49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4、有关部政府部门的规定。</w:t>
      </w:r>
    </w:p>
    <w:p w14:paraId="16A8669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2" w:firstLineChars="200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八、争议的解决方式</w:t>
      </w:r>
    </w:p>
    <w:p w14:paraId="5574E6A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合同执行过程中如发生争议，双方应及时协商解决，协商不成，双方均可向西安仲裁委员会提出仲裁。</w:t>
      </w:r>
    </w:p>
    <w:p w14:paraId="00C1842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2" w:firstLineChars="200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九、其他</w:t>
      </w:r>
    </w:p>
    <w:p w14:paraId="1E9C566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本合同未定事宜，双方可根据具体情况结合有关规定另行签订补充协议，补充协议与本合同具有同等法律效力。</w:t>
      </w:r>
    </w:p>
    <w:p w14:paraId="36C5D55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2" w:firstLineChars="200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十、附则</w:t>
      </w:r>
    </w:p>
    <w:p w14:paraId="5E968A3D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bidi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（一）本合同一式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份，正本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份，甲、乙方各执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份，副本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份，甲方执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份，乙方执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份。</w:t>
      </w:r>
    </w:p>
    <w:p w14:paraId="40219D1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（二）合同经双方盖章后生效，各条款执行完毕后终止。</w:t>
      </w:r>
    </w:p>
    <w:p w14:paraId="72A8F5F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tbl>
      <w:tblPr>
        <w:tblStyle w:val="19"/>
        <w:tblW w:w="840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1"/>
        <w:gridCol w:w="4202"/>
      </w:tblGrid>
      <w:tr w14:paraId="25B1DE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exact"/>
          <w:jc w:val="center"/>
        </w:trPr>
        <w:tc>
          <w:tcPr>
            <w:tcW w:w="4201" w:type="dxa"/>
            <w:noWrap/>
            <w:vAlign w:val="center"/>
          </w:tcPr>
          <w:p w14:paraId="169E3179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甲  方</w:t>
            </w:r>
          </w:p>
        </w:tc>
        <w:tc>
          <w:tcPr>
            <w:tcW w:w="4202" w:type="dxa"/>
            <w:noWrap/>
            <w:vAlign w:val="center"/>
          </w:tcPr>
          <w:p w14:paraId="4DDCABA6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乙  方</w:t>
            </w:r>
          </w:p>
        </w:tc>
      </w:tr>
      <w:tr w14:paraId="13770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/>
            <w:vAlign w:val="center"/>
          </w:tcPr>
          <w:p w14:paraId="33A1E994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（盖章）</w:t>
            </w:r>
          </w:p>
        </w:tc>
        <w:tc>
          <w:tcPr>
            <w:tcW w:w="4202" w:type="dxa"/>
            <w:noWrap/>
            <w:vAlign w:val="center"/>
          </w:tcPr>
          <w:p w14:paraId="658AA8B5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（盖章）</w:t>
            </w:r>
          </w:p>
        </w:tc>
      </w:tr>
      <w:tr w14:paraId="6231D7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/>
            <w:vAlign w:val="center"/>
          </w:tcPr>
          <w:p w14:paraId="597BFF42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地址： </w:t>
            </w:r>
          </w:p>
        </w:tc>
        <w:tc>
          <w:tcPr>
            <w:tcW w:w="4202" w:type="dxa"/>
            <w:noWrap/>
            <w:vAlign w:val="center"/>
          </w:tcPr>
          <w:p w14:paraId="04FC6816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地址：</w:t>
            </w:r>
          </w:p>
        </w:tc>
      </w:tr>
      <w:tr w14:paraId="76F523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/>
            <w:vAlign w:val="center"/>
          </w:tcPr>
          <w:p w14:paraId="1FE86C6C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法定代表人： </w:t>
            </w:r>
          </w:p>
        </w:tc>
        <w:tc>
          <w:tcPr>
            <w:tcW w:w="4202" w:type="dxa"/>
            <w:noWrap/>
            <w:vAlign w:val="center"/>
          </w:tcPr>
          <w:p w14:paraId="32941BA4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法定代表人：</w:t>
            </w:r>
          </w:p>
        </w:tc>
      </w:tr>
      <w:tr w14:paraId="359A1D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/>
            <w:vAlign w:val="center"/>
          </w:tcPr>
          <w:p w14:paraId="35501242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被授权代表：</w:t>
            </w:r>
          </w:p>
        </w:tc>
        <w:tc>
          <w:tcPr>
            <w:tcW w:w="4202" w:type="dxa"/>
            <w:noWrap/>
            <w:vAlign w:val="center"/>
          </w:tcPr>
          <w:p w14:paraId="5BD92CD7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被授权代表：</w:t>
            </w:r>
          </w:p>
        </w:tc>
      </w:tr>
      <w:tr w14:paraId="310E2A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/>
            <w:vAlign w:val="center"/>
          </w:tcPr>
          <w:p w14:paraId="745D5454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电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话：</w:t>
            </w:r>
          </w:p>
        </w:tc>
        <w:tc>
          <w:tcPr>
            <w:tcW w:w="4202" w:type="dxa"/>
            <w:noWrap/>
            <w:vAlign w:val="center"/>
          </w:tcPr>
          <w:p w14:paraId="3B7921B0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电话：</w:t>
            </w:r>
          </w:p>
        </w:tc>
      </w:tr>
      <w:tr w14:paraId="32CFF8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/>
            <w:vAlign w:val="center"/>
          </w:tcPr>
          <w:p w14:paraId="0A4F1FA7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开户银行：</w:t>
            </w:r>
          </w:p>
        </w:tc>
        <w:tc>
          <w:tcPr>
            <w:tcW w:w="4202" w:type="dxa"/>
            <w:noWrap/>
            <w:vAlign w:val="center"/>
          </w:tcPr>
          <w:p w14:paraId="187DF295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开户银行：</w:t>
            </w:r>
          </w:p>
        </w:tc>
      </w:tr>
      <w:tr w14:paraId="58933D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4201" w:type="dxa"/>
            <w:noWrap/>
            <w:vAlign w:val="center"/>
          </w:tcPr>
          <w:p w14:paraId="6F774D57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日期：</w:t>
            </w:r>
          </w:p>
        </w:tc>
        <w:tc>
          <w:tcPr>
            <w:tcW w:w="4202" w:type="dxa"/>
            <w:noWrap/>
            <w:vAlign w:val="center"/>
          </w:tcPr>
          <w:p w14:paraId="4EDEE8BB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日期：</w:t>
            </w:r>
          </w:p>
        </w:tc>
      </w:tr>
    </w:tbl>
    <w:p w14:paraId="07CD8D86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6ED"/>
    <w:rsid w:val="002759D0"/>
    <w:rsid w:val="004876ED"/>
    <w:rsid w:val="00734726"/>
    <w:rsid w:val="00826B5D"/>
    <w:rsid w:val="00CD3CB9"/>
    <w:rsid w:val="02C2689F"/>
    <w:rsid w:val="0465672E"/>
    <w:rsid w:val="0DC344BD"/>
    <w:rsid w:val="152C1539"/>
    <w:rsid w:val="1DE65064"/>
    <w:rsid w:val="24EF00CB"/>
    <w:rsid w:val="255B6B75"/>
    <w:rsid w:val="3D5F689F"/>
    <w:rsid w:val="3D7547B0"/>
    <w:rsid w:val="45CA7A30"/>
    <w:rsid w:val="45E139CD"/>
    <w:rsid w:val="46EA1E72"/>
    <w:rsid w:val="4EA86321"/>
    <w:rsid w:val="563F34C7"/>
    <w:rsid w:val="58C675A2"/>
    <w:rsid w:val="591D7CF8"/>
    <w:rsid w:val="592710A0"/>
    <w:rsid w:val="650820A5"/>
    <w:rsid w:val="6D8C0B84"/>
    <w:rsid w:val="72DA64D4"/>
    <w:rsid w:val="7FC121FA"/>
    <w:rsid w:val="7FC16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nhideWhenUsed="0" w:uiPriority="99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104862" w:themeColor="accent1" w:themeShade="BF"/>
      <w:sz w:val="22"/>
      <w14:ligatures w14:val="standardContextual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"/>
    <w:basedOn w:val="1"/>
    <w:link w:val="41"/>
    <w:semiHidden/>
    <w:unhideWhenUsed/>
    <w:qFormat/>
    <w:uiPriority w:val="99"/>
    <w:pPr>
      <w:spacing w:after="120"/>
      <w:ind w:left="420" w:leftChars="200"/>
    </w:pPr>
  </w:style>
  <w:style w:type="paragraph" w:styleId="12">
    <w:name w:val="Block Text"/>
    <w:basedOn w:val="1"/>
    <w:qFormat/>
    <w:uiPriority w:val="99"/>
    <w:pPr>
      <w:ind w:left="2" w:right="25" w:rightChars="12" w:hanging="2"/>
    </w:pPr>
    <w:rPr>
      <w:rFonts w:ascii="楷体_GB2312" w:hAnsi="宋体" w:eastAsia="楷体_GB2312"/>
    </w:rPr>
  </w:style>
  <w:style w:type="paragraph" w:styleId="13">
    <w:name w:val="footer"/>
    <w:basedOn w:val="1"/>
    <w:link w:val="40"/>
    <w:unhideWhenUsed/>
    <w:qFormat/>
    <w:uiPriority w:val="99"/>
    <w:pPr>
      <w:tabs>
        <w:tab w:val="center" w:pos="4153"/>
        <w:tab w:val="right" w:pos="8306"/>
      </w:tabs>
      <w:snapToGrid w:val="0"/>
      <w:spacing w:after="160"/>
      <w:jc w:val="left"/>
    </w:pPr>
    <w:rPr>
      <w:sz w:val="18"/>
      <w:szCs w:val="18"/>
      <w14:ligatures w14:val="standardContextual"/>
    </w:rPr>
  </w:style>
  <w:style w:type="paragraph" w:styleId="14">
    <w:name w:val="head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spacing w:after="160"/>
      <w:jc w:val="center"/>
    </w:pPr>
    <w:rPr>
      <w:sz w:val="18"/>
      <w:szCs w:val="18"/>
      <w14:ligatures w14:val="standardContextual"/>
    </w:rPr>
  </w:style>
  <w:style w:type="paragraph" w:styleId="15">
    <w:name w:val="Subtitle"/>
    <w:basedOn w:val="1"/>
    <w:next w:val="1"/>
    <w:link w:val="31"/>
    <w:qFormat/>
    <w:uiPriority w:val="11"/>
    <w:pPr>
      <w:spacing w:after="160" w:line="278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6">
    <w:name w:val="Normal (Web)"/>
    <w:basedOn w:val="1"/>
    <w:qFormat/>
    <w:uiPriority w:val="0"/>
    <w:rPr>
      <w:sz w:val="24"/>
    </w:rPr>
  </w:style>
  <w:style w:type="paragraph" w:styleId="17">
    <w:name w:val="Title"/>
    <w:basedOn w:val="1"/>
    <w:next w:val="1"/>
    <w:link w:val="30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paragraph" w:styleId="18">
    <w:name w:val="Body Text First Indent 2"/>
    <w:basedOn w:val="11"/>
    <w:next w:val="1"/>
    <w:link w:val="42"/>
    <w:qFormat/>
    <w:uiPriority w:val="0"/>
    <w:pPr>
      <w:spacing w:after="0" w:line="360" w:lineRule="auto"/>
      <w:ind w:left="424" w:leftChars="202" w:firstLine="420" w:firstLineChars="200"/>
    </w:pPr>
    <w:rPr>
      <w:sz w:val="24"/>
    </w:rPr>
  </w:style>
  <w:style w:type="character" w:customStyle="1" w:styleId="21">
    <w:name w:val="标题 1 字符"/>
    <w:basedOn w:val="20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2">
    <w:name w:val="标题 2 字符"/>
    <w:basedOn w:val="20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3">
    <w:name w:val="标题 3 字符"/>
    <w:basedOn w:val="20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4">
    <w:name w:val="标题 4 字符"/>
    <w:basedOn w:val="20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5">
    <w:name w:val="标题 5 字符"/>
    <w:basedOn w:val="20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6">
    <w:name w:val="标题 6 字符"/>
    <w:basedOn w:val="20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7">
    <w:name w:val="标题 7 字符"/>
    <w:basedOn w:val="20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8 字符"/>
    <w:basedOn w:val="20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9 字符"/>
    <w:basedOn w:val="20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">
    <w:name w:val="标题 字符"/>
    <w:basedOn w:val="20"/>
    <w:link w:val="17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1">
    <w:name w:val="副标题 字符"/>
    <w:basedOn w:val="20"/>
    <w:link w:val="15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2">
    <w:name w:val="Quote"/>
    <w:basedOn w:val="1"/>
    <w:next w:val="1"/>
    <w:link w:val="33"/>
    <w:qFormat/>
    <w:uiPriority w:val="29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3">
    <w:name w:val="引用 字符"/>
    <w:basedOn w:val="20"/>
    <w:link w:val="32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4">
    <w:name w:val="List Paragraph"/>
    <w:basedOn w:val="1"/>
    <w:qFormat/>
    <w:uiPriority w:val="34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customStyle="1" w:styleId="35">
    <w:name w:val="Intense Emphasis"/>
    <w:basedOn w:val="20"/>
    <w:qFormat/>
    <w:uiPriority w:val="21"/>
    <w:rPr>
      <w:i/>
      <w:iCs/>
      <w:color w:val="104862" w:themeColor="accent1" w:themeShade="BF"/>
    </w:rPr>
  </w:style>
  <w:style w:type="paragraph" w:styleId="36">
    <w:name w:val="Intense Quote"/>
    <w:basedOn w:val="1"/>
    <w:next w:val="1"/>
    <w:link w:val="37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78" w:lineRule="auto"/>
      <w:ind w:left="864" w:right="864"/>
      <w:jc w:val="center"/>
    </w:pPr>
    <w:rPr>
      <w:i/>
      <w:iCs/>
      <w:color w:val="104862" w:themeColor="accent1" w:themeShade="BF"/>
      <w:sz w:val="22"/>
      <w14:ligatures w14:val="standardContextual"/>
    </w:rPr>
  </w:style>
  <w:style w:type="character" w:customStyle="1" w:styleId="37">
    <w:name w:val="明显引用 字符"/>
    <w:basedOn w:val="20"/>
    <w:link w:val="36"/>
    <w:qFormat/>
    <w:uiPriority w:val="30"/>
    <w:rPr>
      <w:i/>
      <w:iCs/>
      <w:color w:val="104862" w:themeColor="accent1" w:themeShade="BF"/>
    </w:rPr>
  </w:style>
  <w:style w:type="character" w:customStyle="1" w:styleId="38">
    <w:name w:val="Intense Reference"/>
    <w:basedOn w:val="20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9">
    <w:name w:val="页眉 字符"/>
    <w:basedOn w:val="20"/>
    <w:link w:val="14"/>
    <w:qFormat/>
    <w:uiPriority w:val="99"/>
    <w:rPr>
      <w:sz w:val="18"/>
      <w:szCs w:val="18"/>
    </w:rPr>
  </w:style>
  <w:style w:type="character" w:customStyle="1" w:styleId="40">
    <w:name w:val="页脚 字符"/>
    <w:basedOn w:val="20"/>
    <w:link w:val="13"/>
    <w:qFormat/>
    <w:uiPriority w:val="99"/>
    <w:rPr>
      <w:sz w:val="18"/>
      <w:szCs w:val="18"/>
    </w:rPr>
  </w:style>
  <w:style w:type="character" w:customStyle="1" w:styleId="41">
    <w:name w:val="正文文本缩进 字符"/>
    <w:basedOn w:val="20"/>
    <w:link w:val="11"/>
    <w:semiHidden/>
    <w:qFormat/>
    <w:uiPriority w:val="99"/>
    <w:rPr>
      <w:sz w:val="21"/>
      <w14:ligatures w14:val="none"/>
    </w:rPr>
  </w:style>
  <w:style w:type="character" w:customStyle="1" w:styleId="42">
    <w:name w:val="正文文本首行缩进 2 字符"/>
    <w:basedOn w:val="41"/>
    <w:link w:val="18"/>
    <w:qFormat/>
    <w:uiPriority w:val="0"/>
    <w:rPr>
      <w:sz w:val="24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1500</Words>
  <Characters>1526</Characters>
  <Lines>12</Lines>
  <Paragraphs>3</Paragraphs>
  <TotalTime>1</TotalTime>
  <ScaleCrop>false</ScaleCrop>
  <LinksUpToDate>false</LinksUpToDate>
  <CharactersWithSpaces>1694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2025-08-20T07:46:00Z</dcterms:created>
  <dc:creator>Administrator</dc:creator>
  <cp:lastModifiedBy>Administrator</cp:lastModifiedBy>
  <dcterms:modified xsi:type="dcterms:W3CDTF">2026-02-27T07:29:53Z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eyJoZGlkIjoiZGM2MGFiMzk0YTMyYTg1NTdmZDljYzdiMzE2MGY3NGUifQ==</vt:lpwstr>
  </property>
  <property fmtid="{D5CDD505-2E9C-101B-9397-08002B2CF9AE}" pid="3" name="KSOProductBuildVer">
    <vt:lpwstr>2052-12.1.0.19302</vt:lpwstr>
  </property>
  <property fmtid="{D5CDD505-2E9C-101B-9397-08002B2CF9AE}" pid="4" name="ICV">
    <vt:lpwstr>E17C33F4FD7D4CDC8FF99F52505AAEA6_12</vt:lpwstr>
  </property>
</Properties>
</file>