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版本号：LZBE2026-17020260309001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室外活动场地及教学楼外立面、室内提升改造项目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LZBE2026-170</w:t>
      </w:r>
      <w:r>
        <w:br/>
      </w:r>
      <w:r>
        <w:br/>
      </w:r>
      <w:r>
        <w:br/>
      </w:r>
    </w:p>
    <w:p>
      <w:pPr>
        <w:pStyle w:val="null3"/>
        <w:jc w:val="center"/>
        <w:outlineLvl w:val="2"/>
      </w:pPr>
      <w:r>
        <w:rPr>
          <w:rFonts w:ascii="仿宋_GB2312" w:hAnsi="仿宋_GB2312" w:cs="仿宋_GB2312" w:eastAsia="仿宋_GB2312"/>
          <w:sz w:val="28"/>
          <w:b/>
        </w:rPr>
        <w:t>西安市新城区华山幼儿园</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西安市新城区华山幼儿园</w:t>
      </w:r>
      <w:r>
        <w:rPr>
          <w:rFonts w:ascii="仿宋_GB2312" w:hAnsi="仿宋_GB2312" w:cs="仿宋_GB2312" w:eastAsia="仿宋_GB2312"/>
        </w:rPr>
        <w:t>委托，拟对</w:t>
      </w:r>
      <w:r>
        <w:rPr>
          <w:rFonts w:ascii="仿宋_GB2312" w:hAnsi="仿宋_GB2312" w:cs="仿宋_GB2312" w:eastAsia="仿宋_GB2312"/>
        </w:rPr>
        <w:t>室外活动场地及教学楼外立面、室内提升改造项目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LZBE2026-170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室外活动场地及教学楼外立面、室内提升改造项目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西安市新城区华山幼儿园室外活动场地及教学楼外立面、室内提升改造项目，施工内容详见工程量清单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采购包1（室外活动场地及教学楼外立面、室内提升改造项目）：属于专门面向中小企业采购。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7、供应商资质要求：供应商须具有建筑工程施工总承包三级及以上资质及有效的安全生产许可证，供应商需在项目电子化交易系统中按要求上传相应证明文件并进行电子签章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证书：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p>
      <w:pPr>
        <w:pStyle w:val="null3"/>
      </w:pPr>
      <w:r>
        <w:rPr>
          <w:rFonts w:ascii="仿宋_GB2312" w:hAnsi="仿宋_GB2312" w:cs="仿宋_GB2312" w:eastAsia="仿宋_GB2312"/>
        </w:rPr>
        <w:t>9、其他要求：单位负责人为同一人或者存在直接控股、管理关系的不同供应商不得参加同一合同项下的政府采购活动；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西安市新城区华山幼儿园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西安市新城区幸福中路121号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029-82478942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029-88228899-653、657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采购包1：2,417,195.44元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代理服务费收费标准：1、本项目采购代理服务费以成交价作为收费基数，参照计价格[2002]1980号、发改价格[2011]534号、发改办价格〔2003〕857号中工程类执行。 2、成交单位在领取成交通知书之前，须向采购代理机构支付招标代理服务费。招标代理服务费以转账或现金形式缴纳至以下账户：开户名称：龙寰项目管理咨询有限公司；开户银行：平安银行西安高新路支行；账号：30201278018272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西安市新城区华山幼儿园</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西安市新城区华山幼儿园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西安市新城区华山幼儿园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联系电话：029-88228899-653、657</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2,417,195.44</w:t>
      </w:r>
    </w:p>
    <w:p>
      <w:pPr>
        <w:pStyle w:val="null3"/>
      </w:pPr>
      <w:r>
        <w:rPr>
          <w:rFonts w:ascii="仿宋_GB2312" w:hAnsi="仿宋_GB2312" w:cs="仿宋_GB2312" w:eastAsia="仿宋_GB2312"/>
        </w:rPr>
        <w:t>采购包最高限价（元）: 2,417,195.44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室外活动场地及教学楼外立面及室内提升改造项目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2,417,195.44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标的名称：室外活动场地及教学楼外立面及室内提升改造项目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jc w:val="both"/>
            </w:pPr>
            <w:r>
              <w:rPr>
                <w:rFonts w:ascii="仿宋_GB2312" w:hAnsi="仿宋_GB2312" w:cs="仿宋_GB2312" w:eastAsia="仿宋_GB2312"/>
              </w:rPr>
              <w:t>工程概况：西安市新城区华山幼儿园室外活动场地及教学楼外立面、室内提升改造项目，本项目位于西安市新城区华山幼儿园，具体改造内容</w:t>
            </w:r>
            <w:r>
              <w:rPr>
                <w:rFonts w:ascii="仿宋_GB2312" w:hAnsi="仿宋_GB2312" w:cs="仿宋_GB2312" w:eastAsia="仿宋_GB2312"/>
              </w:rPr>
              <w:t>详见工程量清单。</w:t>
            </w:r>
          </w:p>
          <w:p>
            <w:pPr>
              <w:pStyle w:val="null3"/>
              <w:jc w:val="both"/>
            </w:pPr>
            <w:r>
              <w:rPr>
                <w:rFonts w:ascii="仿宋_GB2312" w:hAnsi="仿宋_GB2312" w:cs="仿宋_GB2312" w:eastAsia="仿宋_GB2312"/>
              </w:rPr>
              <w:t>二、编制范围</w:t>
            </w:r>
          </w:p>
          <w:p>
            <w:pPr>
              <w:pStyle w:val="null3"/>
              <w:jc w:val="both"/>
            </w:pPr>
            <w:r>
              <w:rPr>
                <w:rFonts w:ascii="仿宋_GB2312" w:hAnsi="仿宋_GB2312" w:cs="仿宋_GB2312" w:eastAsia="仿宋_GB2312"/>
              </w:rPr>
              <w:t>1、本工程的施工图设计包括建筑、装修、电气、给排水、景观等专业。</w:t>
            </w:r>
          </w:p>
          <w:p>
            <w:pPr>
              <w:pStyle w:val="null3"/>
              <w:jc w:val="both"/>
            </w:pPr>
            <w:r>
              <w:rPr>
                <w:rFonts w:ascii="仿宋_GB2312" w:hAnsi="仿宋_GB2312" w:cs="仿宋_GB2312" w:eastAsia="仿宋_GB2312"/>
              </w:rPr>
              <w:t>三、编制依据</w:t>
            </w:r>
          </w:p>
          <w:p>
            <w:pPr>
              <w:pStyle w:val="null3"/>
              <w:jc w:val="both"/>
            </w:pPr>
            <w:r>
              <w:rPr>
                <w:rFonts w:ascii="仿宋_GB2312" w:hAnsi="仿宋_GB2312" w:cs="仿宋_GB2312" w:eastAsia="仿宋_GB2312"/>
              </w:rPr>
              <w:t>1、西安市新城区华山幼儿园室外活动场地及教学楼外立面、室内提升改造项目图纸及相关标准图。</w:t>
            </w:r>
          </w:p>
          <w:p>
            <w:pPr>
              <w:pStyle w:val="null3"/>
              <w:jc w:val="both"/>
            </w:pPr>
            <w:r>
              <w:rPr>
                <w:rFonts w:ascii="仿宋_GB2312" w:hAnsi="仿宋_GB2312" w:cs="仿宋_GB2312" w:eastAsia="仿宋_GB2312"/>
              </w:rPr>
              <w:t>2、清单规则及定额</w:t>
            </w:r>
          </w:p>
          <w:p>
            <w:pPr>
              <w:pStyle w:val="null3"/>
              <w:jc w:val="both"/>
            </w:pPr>
            <w:r>
              <w:rPr>
                <w:rFonts w:ascii="仿宋_GB2312" w:hAnsi="仿宋_GB2312" w:cs="仿宋_GB2312" w:eastAsia="仿宋_GB2312"/>
              </w:rPr>
              <w:t>《陕西省建设工程工程费用规则》（</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《陕西省房屋建筑与装饰工程基价表》（</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《陕西省通用安装工程基价表》（</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《陕西省市政工程基价表》（</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《陕西省房屋建筑与装饰工程消耗量定额》（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《陕西省通用安装工程消耗量定额》（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《陕西省市政工程消耗量定额》（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《陕西省建设工程施工机械台班费用定额》（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《陕西省建设工程施工仪器仪表台班费用定额》（</w:t>
            </w:r>
            <w:r>
              <w:rPr>
                <w:rFonts w:ascii="仿宋_GB2312" w:hAnsi="仿宋_GB2312" w:cs="仿宋_GB2312" w:eastAsia="仿宋_GB2312"/>
              </w:rPr>
              <w:t>2025年）；</w:t>
            </w:r>
          </w:p>
          <w:p>
            <w:pPr>
              <w:pStyle w:val="null3"/>
              <w:jc w:val="both"/>
            </w:pPr>
            <w:r>
              <w:rPr>
                <w:rFonts w:ascii="仿宋_GB2312" w:hAnsi="仿宋_GB2312" w:cs="仿宋_GB2312" w:eastAsia="仿宋_GB2312"/>
              </w:rPr>
              <w:t>3、相关规程：</w:t>
            </w:r>
          </w:p>
          <w:p>
            <w:pPr>
              <w:pStyle w:val="null3"/>
              <w:jc w:val="both"/>
            </w:pPr>
            <w:r>
              <w:rPr>
                <w:rFonts w:ascii="仿宋_GB2312" w:hAnsi="仿宋_GB2312" w:cs="仿宋_GB2312" w:eastAsia="仿宋_GB2312"/>
              </w:rPr>
              <w:t>《建设工程招标控制价编审程序（</w:t>
            </w:r>
            <w:r>
              <w:rPr>
                <w:rFonts w:ascii="仿宋_GB2312" w:hAnsi="仿宋_GB2312" w:cs="仿宋_GB2312" w:eastAsia="仿宋_GB2312"/>
              </w:rPr>
              <w:t>CECA/GC6-2011）》</w:t>
            </w:r>
          </w:p>
          <w:p>
            <w:pPr>
              <w:pStyle w:val="null3"/>
              <w:jc w:val="both"/>
            </w:pPr>
            <w:r>
              <w:rPr>
                <w:rFonts w:ascii="仿宋_GB2312" w:hAnsi="仿宋_GB2312" w:cs="仿宋_GB2312" w:eastAsia="仿宋_GB2312"/>
              </w:rPr>
              <w:t>4、质量标准：合格工程，满足施工规范及验收规范要求。</w:t>
            </w:r>
          </w:p>
          <w:p>
            <w:pPr>
              <w:pStyle w:val="null3"/>
              <w:jc w:val="both"/>
            </w:pPr>
            <w:r>
              <w:rPr>
                <w:rFonts w:ascii="仿宋_GB2312" w:hAnsi="仿宋_GB2312" w:cs="仿宋_GB2312" w:eastAsia="仿宋_GB2312"/>
              </w:rPr>
              <w:t>5、人工费：人工费按照市场变化进行调整，当前人工费按照定额人工费执行。</w:t>
            </w:r>
          </w:p>
          <w:p>
            <w:pPr>
              <w:pStyle w:val="null3"/>
              <w:jc w:val="both"/>
            </w:pPr>
            <w:r>
              <w:rPr>
                <w:rFonts w:ascii="仿宋_GB2312" w:hAnsi="仿宋_GB2312" w:cs="仿宋_GB2312" w:eastAsia="仿宋_GB2312"/>
              </w:rPr>
              <w:t>6、材料价格：</w:t>
            </w:r>
          </w:p>
          <w:p>
            <w:pPr>
              <w:pStyle w:val="null3"/>
              <w:jc w:val="both"/>
            </w:pPr>
            <w:r>
              <w:rPr>
                <w:rFonts w:ascii="仿宋_GB2312" w:hAnsi="仿宋_GB2312" w:cs="仿宋_GB2312" w:eastAsia="仿宋_GB2312"/>
              </w:rPr>
              <w:t>参考《陕西工程造价信息》</w:t>
            </w:r>
            <w:r>
              <w:rPr>
                <w:rFonts w:ascii="仿宋_GB2312" w:hAnsi="仿宋_GB2312" w:cs="仿宋_GB2312" w:eastAsia="仿宋_GB2312"/>
              </w:rPr>
              <w:t>2025年第8期；</w:t>
            </w:r>
          </w:p>
          <w:p>
            <w:pPr>
              <w:pStyle w:val="null3"/>
              <w:jc w:val="both"/>
            </w:pPr>
            <w:r>
              <w:rPr>
                <w:rFonts w:ascii="仿宋_GB2312" w:hAnsi="仿宋_GB2312" w:cs="仿宋_GB2312" w:eastAsia="仿宋_GB2312"/>
              </w:rPr>
              <w:t>7、税金：增值税应按国家规定的增值税税率计算。</w:t>
            </w:r>
          </w:p>
          <w:p>
            <w:pPr>
              <w:pStyle w:val="null3"/>
              <w:jc w:val="both"/>
            </w:pPr>
            <w:r>
              <w:rPr>
                <w:rFonts w:ascii="仿宋_GB2312" w:hAnsi="仿宋_GB2312" w:cs="仿宋_GB2312" w:eastAsia="仿宋_GB2312"/>
              </w:rPr>
              <w:t>8、关于建筑施工安全生产责任保险费用执行陕建发〔2020〕1097号文。</w:t>
            </w:r>
          </w:p>
          <w:p>
            <w:pPr>
              <w:pStyle w:val="null3"/>
              <w:jc w:val="both"/>
            </w:pPr>
            <w:r>
              <w:rPr>
                <w:rFonts w:ascii="仿宋_GB2312" w:hAnsi="仿宋_GB2312" w:cs="仿宋_GB2312" w:eastAsia="仿宋_GB2312"/>
              </w:rPr>
              <w:t>10、其他：</w:t>
            </w:r>
          </w:p>
          <w:p>
            <w:pPr>
              <w:pStyle w:val="null3"/>
              <w:jc w:val="both"/>
            </w:pPr>
            <w:r>
              <w:rPr>
                <w:rFonts w:ascii="仿宋_GB2312" w:hAnsi="仿宋_GB2312" w:cs="仿宋_GB2312" w:eastAsia="仿宋_GB2312"/>
              </w:rPr>
              <w:t>（</w:t>
            </w:r>
            <w:r>
              <w:rPr>
                <w:rFonts w:ascii="仿宋_GB2312" w:hAnsi="仿宋_GB2312" w:cs="仿宋_GB2312" w:eastAsia="仿宋_GB2312"/>
              </w:rPr>
              <w:t>1）本工程按商品混凝土、预拌干混砂浆、熟石灰进行计价。</w:t>
            </w:r>
          </w:p>
          <w:p>
            <w:pPr>
              <w:pStyle w:val="null3"/>
              <w:jc w:val="both"/>
            </w:pPr>
            <w:r>
              <w:rPr>
                <w:rFonts w:ascii="仿宋_GB2312" w:hAnsi="仿宋_GB2312" w:cs="仿宋_GB2312" w:eastAsia="仿宋_GB2312"/>
              </w:rPr>
              <w:t>四、计价软件</w:t>
            </w:r>
          </w:p>
          <w:p>
            <w:pPr>
              <w:pStyle w:val="null3"/>
              <w:jc w:val="both"/>
            </w:pPr>
            <w:r>
              <w:rPr>
                <w:rFonts w:ascii="仿宋_GB2312" w:hAnsi="仿宋_GB2312" w:cs="仿宋_GB2312" w:eastAsia="仿宋_GB2312"/>
              </w:rPr>
              <w:t>1、计价软件采用广联达云计价平台GCCP7.0，版本号7.5000.23.1。</w:t>
            </w:r>
          </w:p>
          <w:p>
            <w:pPr>
              <w:pStyle w:val="null3"/>
              <w:jc w:val="both"/>
            </w:pPr>
            <w:r>
              <w:rPr>
                <w:rFonts w:ascii="仿宋_GB2312" w:hAnsi="仿宋_GB2312" w:cs="仿宋_GB2312" w:eastAsia="仿宋_GB2312"/>
              </w:rPr>
              <w:t>五、其他</w:t>
            </w:r>
          </w:p>
          <w:p>
            <w:pPr>
              <w:pStyle w:val="null3"/>
              <w:jc w:val="both"/>
            </w:pPr>
            <w:r>
              <w:rPr>
                <w:rFonts w:ascii="仿宋_GB2312" w:hAnsi="仿宋_GB2312" w:cs="仿宋_GB2312" w:eastAsia="仿宋_GB2312"/>
              </w:rPr>
              <w:t>1、甲供材料、设备：无。</w:t>
            </w:r>
          </w:p>
          <w:p>
            <w:pPr>
              <w:pStyle w:val="null3"/>
              <w:jc w:val="both"/>
            </w:pPr>
            <w:r>
              <w:rPr>
                <w:rFonts w:ascii="仿宋_GB2312" w:hAnsi="仿宋_GB2312" w:cs="仿宋_GB2312" w:eastAsia="仿宋_GB2312"/>
              </w:rPr>
              <w:t>2、专业工程暂估价：无。</w:t>
            </w:r>
          </w:p>
          <w:p>
            <w:pPr>
              <w:pStyle w:val="null3"/>
              <w:jc w:val="both"/>
            </w:pPr>
            <w:r>
              <w:rPr>
                <w:rFonts w:ascii="仿宋_GB2312" w:hAnsi="仿宋_GB2312" w:cs="仿宋_GB2312" w:eastAsia="仿宋_GB2312"/>
              </w:rPr>
              <w:t>3、计日工：不列项。</w:t>
            </w:r>
          </w:p>
          <w:p>
            <w:pPr>
              <w:pStyle w:val="null3"/>
              <w:jc w:val="both"/>
            </w:pPr>
            <w:r>
              <w:rPr>
                <w:rFonts w:ascii="仿宋_GB2312" w:hAnsi="仿宋_GB2312" w:cs="仿宋_GB2312" w:eastAsia="仿宋_GB2312"/>
              </w:rPr>
              <w:t>4、总承包服务费：不列项。</w:t>
            </w:r>
          </w:p>
          <w:p>
            <w:pPr>
              <w:pStyle w:val="null3"/>
              <w:jc w:val="both"/>
            </w:pPr>
            <w:r>
              <w:rPr>
                <w:rFonts w:ascii="仿宋_GB2312" w:hAnsi="仿宋_GB2312" w:cs="仿宋_GB2312" w:eastAsia="仿宋_GB2312"/>
              </w:rPr>
              <w:t>六、具体工程量详见工程量清单</w:t>
            </w:r>
          </w:p>
          <w:p>
            <w:pPr>
              <w:pStyle w:val="null3"/>
            </w:pPr>
            <w:r>
              <w:rPr>
                <w:rFonts w:ascii="仿宋_GB2312" w:hAnsi="仿宋_GB2312" w:cs="仿宋_GB2312" w:eastAsia="仿宋_GB2312"/>
                <w:sz w:val="21"/>
              </w:rPr>
              <w:t>七</w:t>
            </w:r>
            <w:r>
              <w:rPr>
                <w:rFonts w:ascii="仿宋_GB2312" w:hAnsi="仿宋_GB2312" w:cs="仿宋_GB2312" w:eastAsia="仿宋_GB2312"/>
                <w:sz w:val="21"/>
              </w:rPr>
              <w:t>、本项目施工工期：</w:t>
            </w:r>
            <w:r>
              <w:rPr>
                <w:rFonts w:ascii="仿宋_GB2312" w:hAnsi="仿宋_GB2312" w:cs="仿宋_GB2312" w:eastAsia="仿宋_GB2312"/>
                <w:sz w:val="21"/>
              </w:rPr>
              <w:t>60</w:t>
            </w:r>
            <w:r>
              <w:rPr>
                <w:rFonts w:ascii="仿宋_GB2312" w:hAnsi="仿宋_GB2312" w:cs="仿宋_GB2312" w:eastAsia="仿宋_GB2312"/>
                <w:sz w:val="21"/>
              </w:rPr>
              <w:t>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合格工程，满足施工规范及验收规范要求。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供应商需要在线提交所有通过电子化交易平台实施的政府采购项目的响应文件，同时，线下提交纸质响应文件壹份，具体要求详见磋商公告。3、由于系统原因，本项目最后报价、确定供应商及签订合同分别按以下执行：（1）在进行最后报价时，须以附件形式提供本项目报价组成证明材料。（2）采购代理机构在评审结束之日起1个工作日内将磋商报告送交采购人。采购人在收到磋商报告后4个工作日内，在磋商报告推荐的成交候选供应商名单中按顺序确定成交供应商。成交候选供应商并列的，由采购人采取随机抽取的方式确定成交供应商。采购代理机构应当自成交供应商确定之日起1个工作日内，发出成交通知书，并在省级以上人民政府财政部门指定的媒体上公告成交结果，采购文件随成交结果同时公告。（3）采购人应在成交通知书发出之日起二十五日内与成交供应商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5、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供应商须具有建筑工程施工总承包三级及以上资质及有效的安全生产许可证，供应商需在项目电子化交易系统中按要求上传相应证明文件并进行电子签章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拟派项目经理证书</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磋商第一次报价表.docx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已标价工程量清单 报价函 标的清单 磋商第一次报价表.docx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标的清单 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报价函 技术商务偏离表.docx 标的清单 承诺书.docx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技术商务偏离表.docx 承诺书.docx 资格证明文件.docx 强制优先采购产品承诺函 响应文件封面 残疾人福利性单位声明函 报价函 标的清单 磋商第一次报价表.docx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网络图或进度表内容详尽、安排合理且实施性较强计4分； 提供网络图或进度表内容、安排基本合理实施性缺乏计3分； 提供网络图或进度表，内容不够全面，实施性不强计2分； 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应用的技术、产品、工艺、材料等先进科学、可行性高计5分； 应用的技术、产品、工艺、材料等先进科学、可行性较高计4分； 应用的技术、产品、工艺、材料等科学性、可行性缺乏计3分； 应用的技术、产品、工艺、材料等科学性描述脱离实际计2分； 其他情形计1分。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2023年1月1日以来承接过类似项目的合同证明（以合同的签订日期为准）（每提供一个得1分，满分5分）（合同内容须清晰可辨认，无涂改，否则视为无效合同）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