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24"/>
          <w:szCs w:val="24"/>
        </w:rPr>
        <w:t>附件：餐饮服务考核表</w:t>
      </w:r>
      <w:bookmarkStart w:id="0" w:name="_GoBack"/>
      <w:bookmarkEnd w:id="0"/>
    </w:p>
    <w:tbl>
      <w:tblPr>
        <w:tblStyle w:val="4"/>
        <w:tblW w:w="14073" w:type="dxa"/>
        <w:jc w:val="center"/>
        <w:tblInd w:w="-40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663"/>
        <w:gridCol w:w="411"/>
        <w:gridCol w:w="7834"/>
        <w:gridCol w:w="863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shd w:val="clear" w:color="auto" w:fill="E6E6E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663" w:type="dxa"/>
            <w:shd w:val="clear" w:color="auto" w:fill="E6E6E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项目</w:t>
            </w:r>
          </w:p>
        </w:tc>
        <w:tc>
          <w:tcPr>
            <w:tcW w:w="8245" w:type="dxa"/>
            <w:gridSpan w:val="2"/>
            <w:shd w:val="clear" w:color="auto" w:fill="E6E6E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考核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内容</w:t>
            </w:r>
          </w:p>
        </w:tc>
        <w:tc>
          <w:tcPr>
            <w:tcW w:w="863" w:type="dxa"/>
            <w:shd w:val="clear" w:color="auto" w:fill="E6E6E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202" w:type="dxa"/>
            <w:shd w:val="clear" w:color="auto" w:fill="E6E6E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-1" w:leftChars="-36" w:hanging="75" w:hangingChars="31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26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left="-1" w:leftChars="-36" w:hanging="75" w:hangingChars="31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制度措施情况</w:t>
            </w:r>
          </w:p>
          <w:p>
            <w:pPr>
              <w:widowControl/>
              <w:adjustRightInd w:val="0"/>
              <w:snapToGrid w:val="0"/>
              <w:spacing w:line="240" w:lineRule="auto"/>
              <w:ind w:left="-1" w:leftChars="-36" w:hanging="75" w:hangingChars="31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（10分）</w:t>
            </w: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制度措施完善，修订、修改制度及时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制度措施落实到位。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</w:t>
            </w:r>
          </w:p>
        </w:tc>
        <w:tc>
          <w:tcPr>
            <w:tcW w:w="266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left="-1" w:leftChars="-36" w:hanging="75" w:hangingChars="31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食品卫生安全情况</w:t>
            </w:r>
          </w:p>
          <w:p>
            <w:pPr>
              <w:widowControl/>
              <w:adjustRightInd w:val="0"/>
              <w:snapToGrid w:val="0"/>
              <w:spacing w:line="240" w:lineRule="auto"/>
              <w:ind w:left="-1" w:leftChars="-36" w:hanging="75" w:hangingChars="31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0分）</w:t>
            </w: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禁止购买熟食，违反《食品安全法》，造成伤害和食物中毒的，由中标人负责全部医疗费用，并承担由此造成的民事、刑事责任及经济赔偿责任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leftChars="-57" w:hanging="120" w:hangingChars="5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食材新鲜，不得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使用腐烂、变质、过保质期食材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食品加工环节、制作环节、售饭环节卫生、规范、安全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，禁止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使用违禁食品添加剂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leftChars="-57" w:hanging="120" w:hangingChars="5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餐具要提前洗净和消毒,必须符合食品卫生安全要求。有热度、无水珠，无异味、霉斑。餐具消毒记录完整、规范。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leftChars="-57" w:hanging="120" w:hangingChars="5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后厨荤类池和疏菜池要分开清洗，不允许洗其他物品。水池保持干净卫生。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leftChars="-57" w:hanging="120" w:hangingChars="5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下班后食品加盖保存、检查安全事项、填写检查记录、物品摆放整齐。生熟分开、生熟食品盛装器皿分开、生熟冰箱分开、食品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不得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混放。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leftChars="-57" w:hanging="120" w:hangingChars="5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员工个人服装干净整齐、要勤剪指甲、男员工头发要勤剪、女员上班时不许配戴戒指、项链。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leftChars="-57" w:hanging="120" w:hangingChars="5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饭菜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不允许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出现夹生、焦味、异味，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不允许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发现异物如沙子、虫、烟头、草绳、碎玻璃等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leftChars="-57" w:hanging="120" w:hangingChars="5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饭菜按规范留样(每个品种100克),留样记录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完整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</w:t>
            </w:r>
          </w:p>
        </w:tc>
        <w:tc>
          <w:tcPr>
            <w:tcW w:w="266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left="-1" w:leftChars="-36" w:hanging="75" w:hangingChars="31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设施设备运转情况</w:t>
            </w:r>
          </w:p>
          <w:p>
            <w:pPr>
              <w:widowControl/>
              <w:adjustRightInd w:val="0"/>
              <w:snapToGrid w:val="0"/>
              <w:spacing w:line="240" w:lineRule="auto"/>
              <w:ind w:leftChars="-100" w:hanging="210" w:hangingChars="87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（10分）</w:t>
            </w: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设备设施及时维护检查，操作按规范进行，要保持干净。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用水后及时关闭开关，用电后要及时关闭电源，用气后要及时关闭气源及总阀。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燃气管道、水管、电路有问题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及时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报告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</w:t>
            </w:r>
          </w:p>
        </w:tc>
        <w:tc>
          <w:tcPr>
            <w:tcW w:w="266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left="-1" w:leftChars="-36" w:hanging="75" w:hangingChars="31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日常管理工作</w:t>
            </w:r>
          </w:p>
          <w:p>
            <w:pPr>
              <w:widowControl/>
              <w:adjustRightInd w:val="0"/>
              <w:snapToGrid w:val="0"/>
              <w:spacing w:line="240" w:lineRule="auto"/>
              <w:ind w:left="-1" w:leftChars="-36" w:hanging="75" w:hangingChars="31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0分）</w:t>
            </w: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人员配备符合要求，不能少于规定人数。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按时开饭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，严格按照人员分批进餐要求控制各单位人员就餐时间。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按周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制定菜谱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菜品搭配合理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口味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不得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过咸、过酸、过辣。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服从管理、听从指挥，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不允许出现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吵架、打架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事件，对所提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意见和建议及时整改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4分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</w:rPr>
              <w:t>操作间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  <w:lang w:eastAsia="zh-CN"/>
              </w:rPr>
              <w:t>不得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</w:rPr>
              <w:t>存放有毒有害危险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  <w:lang w:eastAsia="zh-CN"/>
              </w:rPr>
              <w:t>物品，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</w:rPr>
              <w:t>操作间内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  <w:lang w:eastAsia="zh-CN"/>
              </w:rPr>
              <w:t>禁止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</w:rPr>
              <w:t>吸烟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  <w:lang w:eastAsia="zh-CN"/>
              </w:rPr>
              <w:t>，闲杂人员禁止进入操作间。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公共设施及用品按照要求清洗消毒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</w:rPr>
              <w:t>餐厅、餐具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  <w:lang w:eastAsia="zh-CN"/>
              </w:rPr>
              <w:t>物品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</w:rPr>
              <w:t>摆放整齐、擦拭干净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灭蝇灯、消毒灯做到专人定时开启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0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245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pacing w:val="-14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工作人员要会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使用灭火毯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消防设施器材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，要有事故防范的基本技能。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71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得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7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其它</w:t>
            </w:r>
          </w:p>
        </w:tc>
        <w:tc>
          <w:tcPr>
            <w:tcW w:w="989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凡造成食物中毒事故，乙方除承担一切刑事、民事（含经济赔偿）责任外，还将被处以10万元人民币的罚款，并终止合同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73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注：月考核分值≥95分为合格，按月考核结果据实支付服务费；90-95分（含90）扣除当月500元服务费；90分以下扣除当月1000元服务费。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firstLine="482" w:firstLineChars="200"/>
        <w:textAlignment w:val="auto"/>
        <w:rPr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eastAsia="zh-CN"/>
        </w:rPr>
        <w:t>考核人签字：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D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adjustRightInd w:val="0"/>
      <w:spacing w:after="80"/>
      <w:textAlignment w:val="baseline"/>
    </w:pPr>
    <w:rPr>
      <w:rFonts w:ascii="宋体" w:hAnsi="宋体"/>
      <w:color w:val="000000"/>
      <w:kern w:val="0"/>
      <w:szCs w:val="20"/>
    </w:rPr>
  </w:style>
  <w:style w:type="paragraph" w:styleId="3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2026-03-23T06:39:14Z</dcterms:created>
  <dc:creator>Administrator</dc:creator>
  <cp:lastModifiedBy>WPS_1666489015</cp:lastModifiedBy>
  <dcterms:modified xsi:type="dcterms:W3CDTF">2026-03-23T06:45:02Z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