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0EF41">
      <w:pPr>
        <w:spacing w:before="330" w:line="224" w:lineRule="auto"/>
        <w:ind w:left="139"/>
        <w:jc w:val="right"/>
        <w:rPr>
          <w:rFonts w:hint="eastAsia" w:ascii="宋体" w:hAnsi="宋体" w:eastAsia="宋体" w:cs="宋体"/>
          <w:sz w:val="24"/>
          <w:szCs w:val="24"/>
          <w:highlight w:val="none"/>
        </w:rPr>
      </w:pPr>
      <w:r>
        <w:rPr>
          <w:rFonts w:hint="eastAsia"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7D019E28">
      <w:pPr>
        <w:pStyle w:val="3"/>
        <w:spacing w:line="251" w:lineRule="auto"/>
        <w:rPr>
          <w:rFonts w:hint="eastAsia" w:ascii="宋体" w:hAnsi="宋体" w:eastAsia="宋体" w:cs="宋体"/>
          <w:highlight w:val="none"/>
        </w:rPr>
      </w:pPr>
    </w:p>
    <w:p w14:paraId="781F4812">
      <w:pPr>
        <w:pStyle w:val="3"/>
        <w:spacing w:line="251" w:lineRule="auto"/>
        <w:rPr>
          <w:rFonts w:hint="eastAsia" w:ascii="宋体" w:hAnsi="宋体" w:eastAsia="宋体" w:cs="宋体"/>
          <w:highlight w:val="none"/>
        </w:rPr>
      </w:pPr>
    </w:p>
    <w:p w14:paraId="0B9DAF2D">
      <w:pPr>
        <w:pStyle w:val="3"/>
        <w:spacing w:line="251" w:lineRule="auto"/>
        <w:rPr>
          <w:rFonts w:hint="eastAsia" w:ascii="宋体" w:hAnsi="宋体" w:eastAsia="宋体" w:cs="宋体"/>
          <w:highlight w:val="none"/>
        </w:rPr>
      </w:pPr>
    </w:p>
    <w:p w14:paraId="52BEED74">
      <w:pPr>
        <w:pStyle w:val="3"/>
        <w:spacing w:line="251" w:lineRule="auto"/>
        <w:rPr>
          <w:rFonts w:hint="eastAsia" w:ascii="宋体" w:hAnsi="宋体" w:eastAsia="宋体" w:cs="宋体"/>
          <w:highlight w:val="none"/>
        </w:rPr>
      </w:pPr>
    </w:p>
    <w:p w14:paraId="67917870">
      <w:pPr>
        <w:pStyle w:val="3"/>
        <w:spacing w:line="251" w:lineRule="auto"/>
        <w:rPr>
          <w:rFonts w:hint="eastAsia" w:ascii="宋体" w:hAnsi="宋体" w:eastAsia="宋体" w:cs="宋体"/>
          <w:highlight w:val="none"/>
        </w:rPr>
      </w:pPr>
    </w:p>
    <w:p w14:paraId="727A58EC">
      <w:pPr>
        <w:pStyle w:val="3"/>
        <w:spacing w:line="251" w:lineRule="auto"/>
        <w:rPr>
          <w:rFonts w:hint="eastAsia" w:ascii="宋体" w:hAnsi="宋体" w:eastAsia="宋体" w:cs="宋体"/>
          <w:highlight w:val="none"/>
        </w:rPr>
      </w:pPr>
    </w:p>
    <w:p w14:paraId="4814ABE9">
      <w:pPr>
        <w:spacing w:before="179" w:line="223" w:lineRule="auto"/>
        <w:ind w:left="101"/>
        <w:jc w:val="center"/>
        <w:rPr>
          <w:rFonts w:hint="eastAsia" w:ascii="宋体" w:hAnsi="宋体" w:eastAsia="宋体" w:cs="宋体"/>
          <w:sz w:val="44"/>
          <w:szCs w:val="44"/>
          <w:highlight w:val="none"/>
          <w:lang w:eastAsia="zh-CN"/>
        </w:rPr>
      </w:pPr>
      <w:bookmarkStart w:id="0" w:name="bookmark8"/>
      <w:bookmarkEnd w:id="0"/>
      <w:r>
        <w:rPr>
          <w:rFonts w:hint="eastAsia" w:cs="宋体"/>
          <w:spacing w:val="7"/>
          <w:sz w:val="44"/>
          <w:szCs w:val="44"/>
          <w:highlight w:val="none"/>
          <w:lang w:eastAsia="zh-CN"/>
        </w:rPr>
        <w:t>新城区政府机关食堂业务委托项目</w:t>
      </w:r>
    </w:p>
    <w:p w14:paraId="0F696D59">
      <w:pPr>
        <w:pStyle w:val="3"/>
        <w:spacing w:line="259" w:lineRule="auto"/>
        <w:rPr>
          <w:rFonts w:hint="eastAsia" w:ascii="宋体" w:hAnsi="宋体" w:eastAsia="宋体" w:cs="宋体"/>
          <w:highlight w:val="none"/>
        </w:rPr>
      </w:pPr>
    </w:p>
    <w:p w14:paraId="0B15C419">
      <w:pPr>
        <w:pStyle w:val="3"/>
        <w:spacing w:line="259" w:lineRule="auto"/>
        <w:rPr>
          <w:rFonts w:hint="eastAsia" w:ascii="宋体" w:hAnsi="宋体" w:eastAsia="宋体" w:cs="宋体"/>
          <w:highlight w:val="none"/>
        </w:rPr>
      </w:pPr>
    </w:p>
    <w:p w14:paraId="098E86DE">
      <w:pPr>
        <w:rPr>
          <w:rFonts w:hint="eastAsia"/>
          <w:highlight w:val="none"/>
        </w:rPr>
      </w:pPr>
    </w:p>
    <w:p w14:paraId="116920BD">
      <w:pPr>
        <w:pStyle w:val="3"/>
        <w:spacing w:line="259" w:lineRule="auto"/>
        <w:rPr>
          <w:rFonts w:hint="eastAsia" w:ascii="宋体" w:hAnsi="宋体" w:eastAsia="宋体" w:cs="宋体"/>
          <w:highlight w:val="none"/>
        </w:rPr>
      </w:pPr>
    </w:p>
    <w:p w14:paraId="39AA9BB9">
      <w:pP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3DFDC2E6">
      <w:pPr>
        <w:pStyle w:val="3"/>
        <w:spacing w:line="242" w:lineRule="auto"/>
        <w:rPr>
          <w:rFonts w:hint="eastAsia" w:ascii="宋体" w:hAnsi="宋体" w:eastAsia="宋体" w:cs="宋体"/>
          <w:highlight w:val="none"/>
        </w:rPr>
      </w:pPr>
    </w:p>
    <w:p w14:paraId="76E0A96C">
      <w:pPr>
        <w:pStyle w:val="3"/>
        <w:spacing w:line="242" w:lineRule="auto"/>
        <w:rPr>
          <w:rFonts w:hint="eastAsia" w:ascii="宋体" w:hAnsi="宋体" w:eastAsia="宋体" w:cs="宋体"/>
          <w:highlight w:val="none"/>
        </w:rPr>
      </w:pPr>
    </w:p>
    <w:p w14:paraId="6C81B26B">
      <w:pPr>
        <w:pStyle w:val="3"/>
        <w:spacing w:line="242" w:lineRule="auto"/>
        <w:rPr>
          <w:rFonts w:hint="eastAsia" w:ascii="宋体" w:hAnsi="宋体" w:eastAsia="宋体" w:cs="宋体"/>
          <w:highlight w:val="none"/>
        </w:rPr>
      </w:pPr>
    </w:p>
    <w:p w14:paraId="6864AC58">
      <w:pPr>
        <w:pStyle w:val="3"/>
        <w:spacing w:line="242" w:lineRule="auto"/>
        <w:rPr>
          <w:rFonts w:hint="eastAsia" w:ascii="宋体" w:hAnsi="宋体" w:eastAsia="宋体" w:cs="宋体"/>
          <w:highlight w:val="none"/>
        </w:rPr>
      </w:pPr>
    </w:p>
    <w:p w14:paraId="49C803FE">
      <w:pPr>
        <w:pStyle w:val="3"/>
        <w:spacing w:line="242" w:lineRule="auto"/>
        <w:rPr>
          <w:rFonts w:hint="eastAsia" w:ascii="宋体" w:hAnsi="宋体" w:eastAsia="宋体" w:cs="宋体"/>
          <w:highlight w:val="none"/>
        </w:rPr>
      </w:pPr>
    </w:p>
    <w:p w14:paraId="1ED798D2">
      <w:pPr>
        <w:pStyle w:val="3"/>
        <w:spacing w:line="242" w:lineRule="auto"/>
        <w:rPr>
          <w:rFonts w:hint="eastAsia" w:ascii="宋体" w:hAnsi="宋体" w:eastAsia="宋体" w:cs="宋体"/>
          <w:highlight w:val="none"/>
        </w:rPr>
      </w:pPr>
    </w:p>
    <w:p w14:paraId="60D0EB4E">
      <w:pPr>
        <w:pStyle w:val="3"/>
        <w:spacing w:line="242" w:lineRule="auto"/>
        <w:rPr>
          <w:rFonts w:hint="eastAsia" w:ascii="宋体" w:hAnsi="宋体" w:eastAsia="宋体" w:cs="宋体"/>
          <w:highlight w:val="none"/>
        </w:rPr>
      </w:pPr>
    </w:p>
    <w:p w14:paraId="38098DC9">
      <w:pPr>
        <w:pStyle w:val="3"/>
        <w:spacing w:line="242" w:lineRule="auto"/>
        <w:rPr>
          <w:rFonts w:hint="eastAsia" w:ascii="宋体" w:hAnsi="宋体" w:eastAsia="宋体" w:cs="宋体"/>
          <w:highlight w:val="none"/>
        </w:rPr>
      </w:pPr>
    </w:p>
    <w:p w14:paraId="4FD37121">
      <w:pPr>
        <w:pStyle w:val="6"/>
        <w:keepNext w:val="0"/>
        <w:keepLines w:val="0"/>
        <w:pageBreakBefore w:val="0"/>
        <w:shd w:val="clear"/>
        <w:kinsoku/>
        <w:wordWrap/>
        <w:overflowPunct/>
        <w:topLinePunct w:val="0"/>
        <w:autoSpaceDE/>
        <w:autoSpaceDN/>
        <w:bidi w:val="0"/>
        <w:spacing w:line="360" w:lineRule="auto"/>
        <w:ind w:left="0" w:leftChars="0" w:firstLine="0" w:firstLineChars="0"/>
        <w:jc w:val="center"/>
        <w:textAlignment w:val="auto"/>
        <w:rPr>
          <w:rFonts w:hint="eastAsia" w:ascii="宋体" w:hAnsi="宋体" w:eastAsia="宋体" w:cs="宋体"/>
          <w:color w:val="auto"/>
          <w:sz w:val="30"/>
          <w:szCs w:val="30"/>
          <w:highlight w:val="none"/>
        </w:rPr>
      </w:pPr>
      <w:bookmarkStart w:id="1" w:name="_Toc20701"/>
      <w:r>
        <w:rPr>
          <w:rFonts w:hint="eastAsia" w:ascii="宋体" w:hAnsi="宋体" w:eastAsia="宋体" w:cs="宋体"/>
          <w:b/>
          <w:color w:val="auto"/>
          <w:sz w:val="36"/>
          <w:szCs w:val="36"/>
          <w:highlight w:val="none"/>
        </w:rPr>
        <w:t>（示范文本）</w:t>
      </w:r>
      <w:bookmarkEnd w:id="1"/>
    </w:p>
    <w:p w14:paraId="717E7027">
      <w:pPr>
        <w:pStyle w:val="6"/>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5D44B1DA">
      <w:pPr>
        <w:pStyle w:val="3"/>
        <w:spacing w:line="242" w:lineRule="auto"/>
        <w:jc w:val="center"/>
        <w:rPr>
          <w:rFonts w:hint="eastAsia" w:ascii="宋体" w:hAnsi="宋体" w:eastAsia="宋体" w:cs="宋体"/>
          <w:highlight w:val="none"/>
        </w:rPr>
      </w:pPr>
      <w:r>
        <w:rPr>
          <w:rFonts w:hint="eastAsia" w:ascii="宋体" w:hAnsi="宋体" w:eastAsia="宋体" w:cs="宋体"/>
          <w:b/>
          <w:spacing w:val="23"/>
          <w:sz w:val="32"/>
          <w:szCs w:val="32"/>
          <w:highlight w:val="none"/>
          <w:lang w:val="en-US" w:eastAsia="zh-CN"/>
        </w:rPr>
        <w:t>本合同为第</w:t>
      </w:r>
      <w:r>
        <w:rPr>
          <w:rFonts w:hint="eastAsia" w:ascii="宋体" w:hAnsi="宋体" w:eastAsia="宋体" w:cs="宋体"/>
          <w:b/>
          <w:spacing w:val="23"/>
          <w:sz w:val="32"/>
          <w:szCs w:val="32"/>
          <w:highlight w:val="none"/>
          <w:u w:val="single"/>
          <w:lang w:val="en-US" w:eastAsia="zh-CN"/>
        </w:rPr>
        <w:t xml:space="preserve">    </w:t>
      </w:r>
      <w:r>
        <w:rPr>
          <w:rFonts w:hint="eastAsia" w:ascii="宋体" w:hAnsi="宋体" w:eastAsia="宋体" w:cs="宋体"/>
          <w:b/>
          <w:spacing w:val="23"/>
          <w:sz w:val="32"/>
          <w:szCs w:val="32"/>
          <w:highlight w:val="none"/>
          <w:lang w:val="en-US" w:eastAsia="zh-CN"/>
        </w:rPr>
        <w:t>年度合同</w:t>
      </w:r>
    </w:p>
    <w:p w14:paraId="537CF46C">
      <w:pPr>
        <w:pStyle w:val="3"/>
        <w:spacing w:line="242" w:lineRule="auto"/>
        <w:rPr>
          <w:rFonts w:hint="eastAsia" w:ascii="宋体" w:hAnsi="宋体" w:eastAsia="宋体" w:cs="宋体"/>
          <w:highlight w:val="none"/>
        </w:rPr>
      </w:pPr>
    </w:p>
    <w:p w14:paraId="44FDD70F">
      <w:pPr>
        <w:pStyle w:val="3"/>
        <w:spacing w:line="242" w:lineRule="auto"/>
        <w:rPr>
          <w:rFonts w:hint="eastAsia" w:ascii="宋体" w:hAnsi="宋体" w:eastAsia="宋体" w:cs="宋体"/>
          <w:highlight w:val="none"/>
        </w:rPr>
      </w:pPr>
    </w:p>
    <w:p w14:paraId="03AA5992">
      <w:pPr>
        <w:pStyle w:val="3"/>
        <w:spacing w:line="242" w:lineRule="auto"/>
        <w:rPr>
          <w:rFonts w:hint="eastAsia" w:ascii="宋体" w:hAnsi="宋体" w:eastAsia="宋体" w:cs="宋体"/>
          <w:highlight w:val="none"/>
        </w:rPr>
      </w:pPr>
    </w:p>
    <w:p w14:paraId="56D89030">
      <w:pPr>
        <w:pStyle w:val="3"/>
        <w:spacing w:line="242" w:lineRule="auto"/>
        <w:rPr>
          <w:rFonts w:hint="eastAsia" w:ascii="宋体" w:hAnsi="宋体" w:eastAsia="宋体" w:cs="宋体"/>
          <w:highlight w:val="none"/>
        </w:rPr>
      </w:pPr>
    </w:p>
    <w:p w14:paraId="3B047817">
      <w:pPr>
        <w:pStyle w:val="3"/>
        <w:spacing w:line="242" w:lineRule="auto"/>
        <w:rPr>
          <w:rFonts w:hint="eastAsia" w:ascii="宋体" w:hAnsi="宋体" w:eastAsia="宋体" w:cs="宋体"/>
          <w:highlight w:val="none"/>
        </w:rPr>
      </w:pPr>
    </w:p>
    <w:p w14:paraId="7E8C7A62">
      <w:pPr>
        <w:pStyle w:val="3"/>
        <w:spacing w:line="242" w:lineRule="auto"/>
        <w:rPr>
          <w:rFonts w:hint="eastAsia" w:ascii="宋体" w:hAnsi="宋体" w:eastAsia="宋体" w:cs="宋体"/>
          <w:highlight w:val="none"/>
        </w:rPr>
      </w:pPr>
    </w:p>
    <w:p w14:paraId="3B27F703">
      <w:pPr>
        <w:pStyle w:val="3"/>
        <w:spacing w:line="242" w:lineRule="auto"/>
        <w:rPr>
          <w:rFonts w:hint="eastAsia" w:ascii="宋体" w:hAnsi="宋体" w:eastAsia="宋体" w:cs="宋体"/>
          <w:highlight w:val="none"/>
        </w:rPr>
      </w:pPr>
    </w:p>
    <w:p w14:paraId="3FD61CDC">
      <w:pPr>
        <w:pStyle w:val="3"/>
        <w:spacing w:line="243" w:lineRule="auto"/>
        <w:rPr>
          <w:rFonts w:hint="eastAsia" w:ascii="宋体" w:hAnsi="宋体" w:eastAsia="宋体" w:cs="宋体"/>
          <w:highlight w:val="none"/>
        </w:rPr>
      </w:pPr>
    </w:p>
    <w:p w14:paraId="6C08E405">
      <w:pPr>
        <w:pStyle w:val="3"/>
        <w:spacing w:line="243" w:lineRule="auto"/>
        <w:rPr>
          <w:rFonts w:hint="eastAsia" w:ascii="宋体" w:hAnsi="宋体" w:eastAsia="宋体" w:cs="宋体"/>
          <w:highlight w:val="none"/>
        </w:rPr>
      </w:pPr>
    </w:p>
    <w:p w14:paraId="6625B9E3">
      <w:pPr>
        <w:spacing w:before="78" w:line="466" w:lineRule="auto"/>
        <w:ind w:left="1540" w:leftChars="0" w:right="2232" w:firstLine="14"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西安市新城区机关事务服务中心</w:t>
      </w:r>
      <w:r>
        <w:rPr>
          <w:rFonts w:hint="eastAsia" w:cs="宋体"/>
          <w:spacing w:val="-7"/>
          <w:sz w:val="24"/>
          <w:szCs w:val="24"/>
          <w:highlight w:val="none"/>
          <w:u w:val="single" w:color="auto"/>
          <w:lang w:val="en-US" w:eastAsia="zh-CN"/>
        </w:rPr>
        <w:t xml:space="preserve">             </w:t>
      </w:r>
      <w:r>
        <w:rPr>
          <w:rFonts w:hint="eastAsia" w:ascii="宋体" w:hAnsi="宋体" w:eastAsia="宋体" w:cs="宋体"/>
          <w:sz w:val="24"/>
          <w:szCs w:val="24"/>
          <w:highlight w:val="none"/>
        </w:rPr>
        <w:t xml:space="preserve"> </w:t>
      </w:r>
    </w:p>
    <w:p w14:paraId="21F48C51">
      <w:pPr>
        <w:spacing w:before="78" w:line="466" w:lineRule="auto"/>
        <w:ind w:left="1540" w:leftChars="0" w:right="2232" w:firstLine="14"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2F348447">
      <w:pPr>
        <w:pStyle w:val="3"/>
        <w:spacing w:line="252" w:lineRule="auto"/>
        <w:rPr>
          <w:rFonts w:hint="eastAsia" w:ascii="宋体" w:hAnsi="宋体" w:eastAsia="宋体" w:cs="宋体"/>
          <w:highlight w:val="none"/>
        </w:rPr>
      </w:pPr>
    </w:p>
    <w:p w14:paraId="443D46F7">
      <w:pPr>
        <w:pStyle w:val="3"/>
        <w:spacing w:line="253" w:lineRule="auto"/>
        <w:rPr>
          <w:rFonts w:hint="eastAsia" w:ascii="宋体" w:hAnsi="宋体" w:eastAsia="宋体" w:cs="宋体"/>
          <w:highlight w:val="none"/>
        </w:rPr>
      </w:pPr>
    </w:p>
    <w:p w14:paraId="31FD1411">
      <w:pPr>
        <w:pStyle w:val="3"/>
        <w:spacing w:line="253" w:lineRule="auto"/>
        <w:rPr>
          <w:rFonts w:hint="eastAsia" w:ascii="宋体" w:hAnsi="宋体" w:eastAsia="宋体" w:cs="宋体"/>
          <w:highlight w:val="none"/>
        </w:rPr>
      </w:pPr>
    </w:p>
    <w:p w14:paraId="320528AC">
      <w:pPr>
        <w:pStyle w:val="3"/>
        <w:spacing w:line="253" w:lineRule="auto"/>
        <w:rPr>
          <w:rFonts w:hint="eastAsia" w:ascii="宋体" w:hAnsi="宋体" w:eastAsia="宋体" w:cs="宋体"/>
          <w:highlight w:val="none"/>
        </w:rPr>
      </w:pPr>
    </w:p>
    <w:p w14:paraId="6B8F3D7B">
      <w:pP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2235AB44">
      <w:pP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52E7FA7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依照《中华人民共和国政府采购法》及实施条例、《中华人民共和国民法典》等法律、行政法规，遵循平等、自愿、公平和诚实信用的原</w:t>
      </w:r>
      <w:r>
        <w:rPr>
          <w:rFonts w:hint="eastAsia" w:ascii="宋体" w:hAnsi="宋体" w:eastAsia="宋体" w:cs="宋体"/>
          <w:color w:val="auto"/>
          <w:kern w:val="0"/>
          <w:sz w:val="21"/>
          <w:szCs w:val="21"/>
          <w:highlight w:val="none"/>
        </w:rPr>
        <w:t>则，双方就</w:t>
      </w:r>
      <w:r>
        <w:rPr>
          <w:rFonts w:hint="eastAsia" w:hAnsi="宋体" w:cs="宋体"/>
          <w:color w:val="auto"/>
          <w:kern w:val="0"/>
          <w:sz w:val="21"/>
          <w:szCs w:val="21"/>
          <w:highlight w:val="none"/>
          <w:lang w:eastAsia="zh-CN"/>
        </w:rPr>
        <w:t>西安市新城区政府机关食堂委托项目</w:t>
      </w:r>
      <w:r>
        <w:rPr>
          <w:rFonts w:hint="eastAsia" w:ascii="宋体" w:hAnsi="宋体" w:eastAsia="宋体" w:cs="宋体"/>
          <w:color w:val="auto"/>
          <w:kern w:val="0"/>
          <w:sz w:val="21"/>
          <w:szCs w:val="21"/>
          <w:highlight w:val="none"/>
        </w:rPr>
        <w:t>范围与相关服务事项协商一致，订立本合同。</w:t>
      </w:r>
    </w:p>
    <w:p w14:paraId="43183F5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第一条  定义及解释</w:t>
      </w:r>
    </w:p>
    <w:p w14:paraId="5F1960AC">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（一）委托方：</w:t>
      </w:r>
      <w:r>
        <w:rPr>
          <w:rFonts w:hint="eastAsia" w:ascii="宋体" w:hAnsi="宋体" w:eastAsia="宋体" w:cs="宋体"/>
          <w:sz w:val="21"/>
          <w:szCs w:val="21"/>
          <w:highlight w:val="none"/>
        </w:rPr>
        <w:t>即（甲方），是指具有业务运行管理工作采购主体资格、支付承包费用能力的当事方。</w:t>
      </w:r>
    </w:p>
    <w:p w14:paraId="0035143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（二）受委托方：</w:t>
      </w:r>
      <w:r>
        <w:rPr>
          <w:rFonts w:hint="eastAsia" w:ascii="宋体" w:hAnsi="宋体" w:eastAsia="宋体" w:cs="宋体"/>
          <w:sz w:val="21"/>
          <w:szCs w:val="21"/>
          <w:highlight w:val="none"/>
        </w:rPr>
        <w:t>即（乙方），是指被甲方接受的具有业务承包主体资格的当事方。</w:t>
      </w:r>
    </w:p>
    <w:p w14:paraId="74198864">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（三）餐具：</w:t>
      </w:r>
      <w:r>
        <w:rPr>
          <w:rFonts w:hint="eastAsia" w:ascii="宋体" w:hAnsi="宋体" w:eastAsia="宋体" w:cs="宋体"/>
          <w:sz w:val="21"/>
          <w:szCs w:val="21"/>
          <w:highlight w:val="none"/>
        </w:rPr>
        <w:t>指用于分发或摄取食物的器皿和用具。餐具包括成套的金属器具、陶瓷餐具、茶具酒器、玻璃器皿、盘碟和托盘以及用途各异的各种容器和手持用具。如：碗、筷、勺、分餐盘、碟、茶具酒器等就餐手持用具。</w:t>
      </w:r>
    </w:p>
    <w:p w14:paraId="3369516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（四）厨具：</w:t>
      </w:r>
      <w:r>
        <w:rPr>
          <w:rFonts w:hint="eastAsia" w:ascii="宋体" w:hAnsi="宋体" w:eastAsia="宋体" w:cs="宋体"/>
          <w:sz w:val="21"/>
          <w:szCs w:val="21"/>
          <w:highlight w:val="none"/>
        </w:rPr>
        <w:t>指以厨房电器为主的厨房用具，包括灶具、炊具、厨房电器和橱柜等。如：菜刀、锅、菜墩、各种铝盆、汤桶、蒸箱、冰箱、烤箱、消毒柜、和面机等。</w:t>
      </w:r>
    </w:p>
    <w:p w14:paraId="38D78941">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（五）低值易耗品：</w:t>
      </w:r>
      <w:r>
        <w:rPr>
          <w:rFonts w:hint="eastAsia" w:ascii="宋体" w:hAnsi="宋体" w:eastAsia="宋体" w:cs="宋体"/>
          <w:sz w:val="21"/>
          <w:szCs w:val="21"/>
          <w:highlight w:val="none"/>
        </w:rPr>
        <w:t>指劳动资料中单位价值在规定限额以下或使用年限比较短（一般在一年以内）的物品。如：洗洁精、洗衣粉、绞手套、线手套、扫把、撮箕、刮皮刀、抹布、垃圾桶、工作服等用品。</w:t>
      </w:r>
    </w:p>
    <w:p w14:paraId="5F7A596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（六）不可抗力：</w:t>
      </w:r>
      <w:r>
        <w:rPr>
          <w:rFonts w:hint="eastAsia" w:ascii="宋体" w:hAnsi="宋体" w:eastAsia="宋体" w:cs="宋体"/>
          <w:sz w:val="21"/>
          <w:szCs w:val="21"/>
          <w:highlight w:val="none"/>
        </w:rPr>
        <w:t>中华人民共和国法律规定的。</w:t>
      </w:r>
    </w:p>
    <w:p w14:paraId="7539F87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第二条  合同标的物内容及数量</w:t>
      </w:r>
    </w:p>
    <w:tbl>
      <w:tblPr>
        <w:tblStyle w:val="7"/>
        <w:tblW w:w="88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0"/>
        <w:gridCol w:w="1950"/>
        <w:gridCol w:w="1683"/>
        <w:gridCol w:w="2394"/>
        <w:gridCol w:w="1951"/>
      </w:tblGrid>
      <w:tr w14:paraId="34FCB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860" w:type="dxa"/>
            <w:vAlign w:val="center"/>
          </w:tcPr>
          <w:p w14:paraId="365B1693">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lang w:eastAsia="en-US"/>
              </w:rPr>
            </w:pPr>
            <w:r>
              <w:rPr>
                <w:rFonts w:hint="eastAsia" w:ascii="宋体" w:hAnsi="宋体" w:eastAsia="宋体" w:cs="宋体"/>
                <w:b/>
                <w:bCs/>
                <w:spacing w:val="-6"/>
                <w:sz w:val="21"/>
                <w:szCs w:val="21"/>
                <w:highlight w:val="none"/>
                <w:lang w:eastAsia="en-US"/>
              </w:rPr>
              <w:t>序号</w:t>
            </w:r>
          </w:p>
        </w:tc>
        <w:tc>
          <w:tcPr>
            <w:tcW w:w="1950" w:type="dxa"/>
            <w:vAlign w:val="center"/>
          </w:tcPr>
          <w:p w14:paraId="1873C6C5">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lang w:eastAsia="en-US"/>
              </w:rPr>
            </w:pPr>
            <w:r>
              <w:rPr>
                <w:rFonts w:hint="eastAsia" w:ascii="宋体" w:hAnsi="宋体" w:eastAsia="宋体" w:cs="宋体"/>
                <w:b/>
                <w:bCs/>
                <w:spacing w:val="-5"/>
                <w:sz w:val="21"/>
                <w:szCs w:val="21"/>
                <w:highlight w:val="none"/>
                <w:lang w:eastAsia="en-US"/>
              </w:rPr>
              <w:t>服务名称</w:t>
            </w:r>
          </w:p>
        </w:tc>
        <w:tc>
          <w:tcPr>
            <w:tcW w:w="1683" w:type="dxa"/>
            <w:vAlign w:val="center"/>
          </w:tcPr>
          <w:p w14:paraId="65AD5B2F">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lang w:eastAsia="en-US"/>
              </w:rPr>
            </w:pPr>
            <w:r>
              <w:rPr>
                <w:rFonts w:hint="eastAsia" w:ascii="宋体" w:hAnsi="宋体" w:eastAsia="宋体" w:cs="宋体"/>
                <w:b/>
                <w:bCs/>
                <w:spacing w:val="-5"/>
                <w:sz w:val="21"/>
                <w:szCs w:val="21"/>
                <w:highlight w:val="none"/>
                <w:lang w:eastAsia="en-US"/>
              </w:rPr>
              <w:t>服务内容</w:t>
            </w:r>
          </w:p>
        </w:tc>
        <w:tc>
          <w:tcPr>
            <w:tcW w:w="2394" w:type="dxa"/>
            <w:vAlign w:val="center"/>
          </w:tcPr>
          <w:p w14:paraId="39B40C05">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lang w:eastAsia="en-US"/>
              </w:rPr>
            </w:pPr>
            <w:r>
              <w:rPr>
                <w:rFonts w:hint="eastAsia" w:ascii="宋体" w:hAnsi="宋体" w:eastAsia="宋体" w:cs="宋体"/>
                <w:b/>
                <w:bCs/>
                <w:spacing w:val="1"/>
                <w:sz w:val="21"/>
                <w:szCs w:val="21"/>
                <w:highlight w:val="none"/>
                <w:lang w:eastAsia="en-US"/>
              </w:rPr>
              <w:t>服务时间</w:t>
            </w:r>
          </w:p>
        </w:tc>
        <w:tc>
          <w:tcPr>
            <w:tcW w:w="1951" w:type="dxa"/>
            <w:vAlign w:val="center"/>
          </w:tcPr>
          <w:p w14:paraId="1E735957">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lang w:eastAsia="en-US"/>
              </w:rPr>
            </w:pPr>
            <w:r>
              <w:rPr>
                <w:rFonts w:hint="eastAsia" w:ascii="宋体" w:hAnsi="宋体" w:eastAsia="宋体" w:cs="宋体"/>
                <w:b/>
                <w:bCs/>
                <w:spacing w:val="-7"/>
                <w:sz w:val="21"/>
                <w:szCs w:val="21"/>
                <w:highlight w:val="none"/>
                <w:lang w:eastAsia="en-US"/>
              </w:rPr>
              <w:t>金额</w:t>
            </w:r>
            <w:r>
              <w:rPr>
                <w:rFonts w:hint="eastAsia" w:ascii="宋体" w:hAnsi="宋体" w:eastAsia="宋体" w:cs="宋体"/>
                <w:b/>
                <w:bCs/>
                <w:spacing w:val="-7"/>
                <w:sz w:val="21"/>
                <w:szCs w:val="21"/>
                <w:highlight w:val="none"/>
              </w:rPr>
              <w:t>（元</w:t>
            </w:r>
            <w:r>
              <w:rPr>
                <w:rFonts w:hint="eastAsia" w:ascii="宋体" w:hAnsi="宋体" w:eastAsia="宋体" w:cs="宋体"/>
                <w:b/>
                <w:bCs/>
                <w:spacing w:val="-7"/>
                <w:sz w:val="21"/>
                <w:szCs w:val="21"/>
                <w:highlight w:val="none"/>
                <w:lang w:val="en-US" w:eastAsia="zh-CN"/>
              </w:rPr>
              <w:t>/年</w:t>
            </w:r>
            <w:r>
              <w:rPr>
                <w:rFonts w:hint="eastAsia" w:ascii="宋体" w:hAnsi="宋体" w:eastAsia="宋体" w:cs="宋体"/>
                <w:b/>
                <w:bCs/>
                <w:spacing w:val="-7"/>
                <w:sz w:val="21"/>
                <w:szCs w:val="21"/>
                <w:highlight w:val="none"/>
              </w:rPr>
              <w:t>）</w:t>
            </w:r>
          </w:p>
        </w:tc>
      </w:tr>
      <w:tr w14:paraId="191FE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jc w:val="center"/>
        </w:trPr>
        <w:tc>
          <w:tcPr>
            <w:tcW w:w="860" w:type="dxa"/>
            <w:vAlign w:val="center"/>
          </w:tcPr>
          <w:p w14:paraId="3AE9E0C2">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50" w:type="dxa"/>
            <w:vAlign w:val="center"/>
          </w:tcPr>
          <w:p w14:paraId="210D2484">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西安市新城区政府机关食堂委托项目</w:t>
            </w:r>
          </w:p>
        </w:tc>
        <w:tc>
          <w:tcPr>
            <w:tcW w:w="1683" w:type="dxa"/>
            <w:vAlign w:val="center"/>
          </w:tcPr>
          <w:p w14:paraId="52EB4A35">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见第四条（一）</w:t>
            </w:r>
          </w:p>
        </w:tc>
        <w:tc>
          <w:tcPr>
            <w:tcW w:w="2394" w:type="dxa"/>
            <w:vAlign w:val="center"/>
          </w:tcPr>
          <w:p w14:paraId="41A26FD1">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服务期两年，合同一年一签，第一年服务满足采购人要求后续签第二年合同</w:t>
            </w:r>
          </w:p>
        </w:tc>
        <w:tc>
          <w:tcPr>
            <w:tcW w:w="1951" w:type="dxa"/>
            <w:vAlign w:val="center"/>
          </w:tcPr>
          <w:p w14:paraId="4E99FCEE">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sz w:val="21"/>
                <w:szCs w:val="21"/>
                <w:highlight w:val="none"/>
              </w:rPr>
            </w:pPr>
          </w:p>
        </w:tc>
      </w:tr>
      <w:tr w14:paraId="07641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jc w:val="center"/>
        </w:trPr>
        <w:tc>
          <w:tcPr>
            <w:tcW w:w="860" w:type="dxa"/>
            <w:vAlign w:val="center"/>
          </w:tcPr>
          <w:p w14:paraId="6DE0D06A">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b/>
                <w:bCs/>
                <w:spacing w:val="-6"/>
                <w:sz w:val="21"/>
                <w:szCs w:val="21"/>
                <w:highlight w:val="none"/>
                <w:lang w:eastAsia="en-US"/>
              </w:rPr>
            </w:pPr>
            <w:r>
              <w:rPr>
                <w:rFonts w:hint="eastAsia" w:ascii="宋体" w:hAnsi="宋体" w:eastAsia="宋体" w:cs="宋体"/>
                <w:b/>
                <w:bCs/>
                <w:spacing w:val="-6"/>
                <w:sz w:val="21"/>
                <w:szCs w:val="21"/>
                <w:highlight w:val="none"/>
                <w:lang w:eastAsia="en-US"/>
              </w:rPr>
              <w:t>合计</w:t>
            </w:r>
          </w:p>
        </w:tc>
        <w:tc>
          <w:tcPr>
            <w:tcW w:w="7978" w:type="dxa"/>
            <w:gridSpan w:val="4"/>
            <w:vAlign w:val="center"/>
          </w:tcPr>
          <w:p w14:paraId="43C5597F">
            <w:pPr>
              <w:keepNext w:val="0"/>
              <w:keepLines w:val="0"/>
              <w:pageBreakBefore w:val="0"/>
              <w:kinsoku/>
              <w:wordWrap/>
              <w:overflowPunct/>
              <w:topLinePunct w:val="0"/>
              <w:autoSpaceDE/>
              <w:autoSpaceDN/>
              <w:bidi w:val="0"/>
              <w:adjustRightInd/>
              <w:snapToGrid w:val="0"/>
              <w:spacing w:after="0"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人民币大写（含税价）：</w:t>
            </w:r>
          </w:p>
        </w:tc>
      </w:tr>
      <w:tr w14:paraId="6BF41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jc w:val="center"/>
        </w:trPr>
        <w:tc>
          <w:tcPr>
            <w:tcW w:w="860" w:type="dxa"/>
            <w:vAlign w:val="center"/>
          </w:tcPr>
          <w:p w14:paraId="77846BF2">
            <w:pPr>
              <w:keepNext w:val="0"/>
              <w:keepLines w:val="0"/>
              <w:pageBreakBefore w:val="0"/>
              <w:kinsoku/>
              <w:wordWrap/>
              <w:overflowPunct/>
              <w:topLinePunct w:val="0"/>
              <w:autoSpaceDE/>
              <w:autoSpaceDN/>
              <w:bidi w:val="0"/>
              <w:adjustRightInd/>
              <w:snapToGrid w:val="0"/>
              <w:spacing w:after="0" w:line="360" w:lineRule="auto"/>
              <w:ind w:firstLine="0" w:firstLineChars="0"/>
              <w:jc w:val="center"/>
              <w:textAlignment w:val="auto"/>
              <w:rPr>
                <w:rFonts w:hint="eastAsia" w:ascii="宋体" w:hAnsi="宋体" w:eastAsia="宋体" w:cs="宋体"/>
                <w:b/>
                <w:bCs/>
                <w:spacing w:val="-6"/>
                <w:sz w:val="21"/>
                <w:szCs w:val="21"/>
                <w:highlight w:val="none"/>
                <w:lang w:eastAsia="en-US"/>
              </w:rPr>
            </w:pPr>
            <w:r>
              <w:rPr>
                <w:rFonts w:hint="eastAsia" w:ascii="宋体" w:hAnsi="宋体" w:eastAsia="宋体" w:cs="宋体"/>
                <w:b/>
                <w:bCs/>
                <w:spacing w:val="-6"/>
                <w:sz w:val="21"/>
                <w:szCs w:val="21"/>
                <w:highlight w:val="none"/>
                <w:lang w:eastAsia="en-US"/>
              </w:rPr>
              <w:t>说明</w:t>
            </w:r>
          </w:p>
        </w:tc>
        <w:tc>
          <w:tcPr>
            <w:tcW w:w="7978" w:type="dxa"/>
            <w:gridSpan w:val="4"/>
            <w:vAlign w:val="center"/>
          </w:tcPr>
          <w:p w14:paraId="411F0949">
            <w:pPr>
              <w:keepNext w:val="0"/>
              <w:keepLines w:val="0"/>
              <w:pageBreakBefore w:val="0"/>
              <w:kinsoku/>
              <w:wordWrap/>
              <w:overflowPunct/>
              <w:topLinePunct w:val="0"/>
              <w:autoSpaceDE/>
              <w:autoSpaceDN/>
              <w:bidi w:val="0"/>
              <w:adjustRightInd/>
              <w:snapToGrid w:val="0"/>
              <w:spacing w:after="0"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本合同为第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年度合同，本年度合同自</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日至</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日止。</w:t>
            </w:r>
          </w:p>
        </w:tc>
      </w:tr>
    </w:tbl>
    <w:p w14:paraId="343E602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第三条  委托情况及费用结算</w:t>
      </w:r>
    </w:p>
    <w:p w14:paraId="1F05E1A2">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Style w:val="8"/>
          <w:rFonts w:hint="eastAsia" w:ascii="宋体" w:hAnsi="宋体" w:eastAsia="宋体" w:cs="宋体"/>
          <w:sz w:val="21"/>
          <w:szCs w:val="21"/>
          <w:highlight w:val="none"/>
        </w:rPr>
        <w:t>（一）服务地点：</w:t>
      </w:r>
      <w:r>
        <w:rPr>
          <w:rFonts w:hint="eastAsia" w:ascii="宋体" w:hAnsi="宋体" w:eastAsia="宋体" w:cs="宋体"/>
          <w:sz w:val="21"/>
          <w:szCs w:val="21"/>
          <w:highlight w:val="none"/>
        </w:rPr>
        <w:t>新城区政府机关院内</w:t>
      </w:r>
    </w:p>
    <w:p w14:paraId="3529C43D">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Style w:val="8"/>
          <w:rFonts w:hint="eastAsia" w:ascii="宋体" w:hAnsi="宋体" w:eastAsia="宋体" w:cs="宋体"/>
          <w:sz w:val="21"/>
          <w:szCs w:val="21"/>
          <w:highlight w:val="none"/>
        </w:rPr>
        <w:t>（二）服务期：</w:t>
      </w:r>
      <w:r>
        <w:rPr>
          <w:rFonts w:hint="eastAsia" w:ascii="宋体" w:hAnsi="宋体" w:eastAsia="宋体" w:cs="宋体"/>
          <w:sz w:val="21"/>
          <w:szCs w:val="21"/>
          <w:highlight w:val="none"/>
        </w:rPr>
        <w:t>服务期两年，合同一年一签，第一年服务满足采购人要求后续签第二年合同。</w:t>
      </w:r>
    </w:p>
    <w:p w14:paraId="62EE1CB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乙方接受委托后不得再次转包或分包给第三方。（注：第三方指与</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无隶属关系的单位）</w:t>
      </w:r>
    </w:p>
    <w:p w14:paraId="7CE5E83A">
      <w:pPr>
        <w:pStyle w:val="2"/>
        <w:keepNext w:val="0"/>
        <w:keepLines w:val="0"/>
        <w:pageBreakBefore w:val="0"/>
        <w:kinsoku/>
        <w:wordWrap/>
        <w:overflowPunct/>
        <w:topLinePunct w:val="0"/>
        <w:autoSpaceDE/>
        <w:autoSpaceDN/>
        <w:bidi w:val="0"/>
        <w:adjustRightInd/>
        <w:snapToGrid w:val="0"/>
        <w:spacing w:before="0" w:after="0" w:line="360" w:lineRule="auto"/>
        <w:ind w:left="0" w:leftChars="0" w:firstLine="449" w:firstLineChars="213"/>
        <w:textAlignment w:val="auto"/>
        <w:rPr>
          <w:rStyle w:val="8"/>
          <w:rFonts w:hint="eastAsia" w:ascii="宋体" w:hAnsi="宋体" w:eastAsia="宋体" w:cs="宋体"/>
          <w:b/>
          <w:bCs/>
          <w:sz w:val="21"/>
          <w:szCs w:val="21"/>
          <w:highlight w:val="none"/>
        </w:rPr>
      </w:pPr>
      <w:r>
        <w:rPr>
          <w:rStyle w:val="8"/>
          <w:rFonts w:hint="eastAsia" w:ascii="宋体" w:hAnsi="宋体" w:eastAsia="宋体" w:cs="宋体"/>
          <w:b/>
          <w:bCs/>
          <w:sz w:val="21"/>
          <w:szCs w:val="21"/>
          <w:highlight w:val="none"/>
        </w:rPr>
        <w:t>（三）服务费用结算方式</w:t>
      </w:r>
    </w:p>
    <w:p w14:paraId="0D8915C1">
      <w:pPr>
        <w:keepNext w:val="0"/>
        <w:keepLines w:val="0"/>
        <w:pageBreakBefore w:val="0"/>
        <w:widowControl/>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以售饭系统统计的实际就餐刷卡人数（按早餐4元/人、午餐15元/人的标准（此标准包含原材料采购和</w:t>
      </w:r>
      <w:r>
        <w:rPr>
          <w:rFonts w:hint="eastAsia" w:cs="宋体"/>
          <w:sz w:val="21"/>
          <w:szCs w:val="21"/>
          <w:highlight w:val="none"/>
          <w:lang w:eastAsia="zh-CN"/>
        </w:rPr>
        <w:t>劳务</w:t>
      </w:r>
      <w:r>
        <w:rPr>
          <w:rFonts w:hint="eastAsia" w:ascii="宋体" w:hAnsi="宋体" w:eastAsia="宋体" w:cs="宋体"/>
          <w:sz w:val="21"/>
          <w:szCs w:val="21"/>
          <w:highlight w:val="none"/>
        </w:rPr>
        <w:t>等所有费用））以及</w:t>
      </w:r>
      <w:r>
        <w:rPr>
          <w:rFonts w:hint="eastAsia" w:cs="宋体"/>
          <w:sz w:val="21"/>
          <w:szCs w:val="21"/>
          <w:highlight w:val="none"/>
          <w:lang w:eastAsia="zh-CN"/>
        </w:rPr>
        <w:t>发生的其他费用</w:t>
      </w:r>
      <w:r>
        <w:rPr>
          <w:rFonts w:hint="eastAsia" w:ascii="宋体" w:hAnsi="宋体" w:eastAsia="宋体" w:cs="宋体"/>
          <w:sz w:val="21"/>
          <w:szCs w:val="21"/>
          <w:highlight w:val="none"/>
        </w:rPr>
        <w:t>据实结算。乙方根据核算费用，开具发票，甲方每月15日前以转账方式结清上月费用，如遇公休或节假日，转账期顺延。</w:t>
      </w:r>
    </w:p>
    <w:p w14:paraId="7DF503C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第四条  承包业务范围及工作内容</w:t>
      </w:r>
    </w:p>
    <w:p w14:paraId="5D4B9828">
      <w:pPr>
        <w:keepNext w:val="0"/>
        <w:keepLines w:val="0"/>
        <w:pageBreakBefore w:val="0"/>
        <w:kinsoku/>
        <w:wordWrap/>
        <w:overflowPunct/>
        <w:topLinePunct w:val="0"/>
        <w:autoSpaceDE/>
        <w:autoSpaceDN/>
        <w:bidi w:val="0"/>
        <w:adjustRightInd/>
        <w:snapToGrid w:val="0"/>
        <w:spacing w:line="360" w:lineRule="auto"/>
        <w:ind w:left="0" w:leftChars="0" w:right="-218" w:rightChars="-99"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（一）服务内容</w:t>
      </w:r>
    </w:p>
    <w:p w14:paraId="4FB31AC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承担机关食堂早餐约180人次、午餐约260人次用餐的原材料采购、餐品供应、餐饮服务管理、保洁卫生、餐厨设备及餐具小件配置（甲方提供餐厅现有设备供乙方使用）、餐厨设备维修等餐饮服务保障相关工作。</w:t>
      </w:r>
    </w:p>
    <w:p w14:paraId="1AE1CA4E">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（二）供餐要求</w:t>
      </w:r>
    </w:p>
    <w:p w14:paraId="3ED71D4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实行工作日早、中餐正常供餐保障，加班、休息日及法定节假日按甲方指定时间段做好保障供餐，费用另行结算。</w:t>
      </w:r>
    </w:p>
    <w:p w14:paraId="279E1144">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（三）供餐内容</w:t>
      </w:r>
    </w:p>
    <w:p w14:paraId="34CF3A8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按采购人要求审核确定的餐谱供餐</w:t>
      </w:r>
    </w:p>
    <w:p w14:paraId="541E6A8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早餐：菜品不少于4种，稀饭粥类不少于2种，胡辣汤、油茶、芝麻糊等风味品每周至少上1次；包子、花卷、馒头、菜盒、油条、油饼、发糕等中式面点轮换供应且不少于3种；牛奶或酸奶（质量价格中优）、蛋类为每日早餐标配，杂粮为每周一、周三、周五供应一个单品。</w:t>
      </w:r>
    </w:p>
    <w:p w14:paraId="318A819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2.午餐：设置炒菜档口1个、面食档口1个。</w:t>
      </w:r>
    </w:p>
    <w:p w14:paraId="23835BE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炒菜档口供应：菜品不少于6种，荤菜不少于3种、素菜不少于3种（其中每周供应一次纯荤菜）米饭1种（白米饭和杂粮米饭轮换供应）；面食档口供应：炸酱面、油泼面、米线等常见面食1种，一周供应1次饺子。供应自助开口小菜不少于2种；汤品1种；水果1种。（备注：鱼类和牛羊肉类菜品，每周供应不少于1次。）</w:t>
      </w:r>
    </w:p>
    <w:p w14:paraId="315B6230">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（四）人员配备</w:t>
      </w:r>
    </w:p>
    <w:p w14:paraId="56F6741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1.所有派遣员工必须身体健康，上岗前须通过当地卫生部门指定医院或防疫站的体检，并持有有效健康证，无证人员不得上岗。</w:t>
      </w:r>
    </w:p>
    <w:p w14:paraId="4E6C853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2.相关岗位人员</w:t>
      </w:r>
      <w:r>
        <w:rPr>
          <w:rFonts w:hint="eastAsia" w:cs="宋体"/>
          <w:sz w:val="21"/>
          <w:szCs w:val="21"/>
          <w:highlight w:val="none"/>
          <w:lang w:val="en-US" w:eastAsia="zh-CN"/>
        </w:rPr>
        <w:t>需</w:t>
      </w:r>
      <w:r>
        <w:rPr>
          <w:rFonts w:hint="eastAsia" w:ascii="宋体" w:hAnsi="宋体" w:eastAsia="宋体" w:cs="宋体"/>
          <w:sz w:val="21"/>
          <w:szCs w:val="21"/>
          <w:highlight w:val="none"/>
        </w:rPr>
        <w:t>持有相应等级的职业资格证书和甲方合理要求的证件，并且技术水平过硬，能够保证服务质量。</w:t>
      </w:r>
    </w:p>
    <w:p w14:paraId="2880258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3.派遣员工必须符合国家劳动法规定的年龄要求（18岁—55岁之间），不得配备超龄或不足法定年龄的员工。</w:t>
      </w:r>
    </w:p>
    <w:p w14:paraId="6E5F24B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4.员工由</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w:t>
      </w:r>
      <w:r>
        <w:rPr>
          <w:rFonts w:hint="eastAsia" w:ascii="宋体" w:hAnsi="宋体" w:eastAsia="宋体" w:cs="宋体"/>
          <w:sz w:val="21"/>
          <w:szCs w:val="21"/>
          <w:highlight w:val="none"/>
        </w:rPr>
        <w:t>自行招聘，员工工资和社保、医保等福利待遇及意外保险等均由乙方承担。</w:t>
      </w:r>
    </w:p>
    <w:p w14:paraId="2343009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5.员工数量要求：厨师长1名、红案厨师1名、面</w:t>
      </w:r>
      <w:r>
        <w:rPr>
          <w:rFonts w:hint="eastAsia" w:cs="宋体"/>
          <w:sz w:val="21"/>
          <w:szCs w:val="21"/>
          <w:highlight w:val="none"/>
          <w:lang w:val="en-US" w:eastAsia="zh-CN"/>
        </w:rPr>
        <w:t>案</w:t>
      </w:r>
      <w:r>
        <w:rPr>
          <w:rFonts w:hint="eastAsia" w:ascii="宋体" w:hAnsi="宋体" w:eastAsia="宋体" w:cs="宋体"/>
          <w:sz w:val="21"/>
          <w:szCs w:val="21"/>
          <w:highlight w:val="none"/>
        </w:rPr>
        <w:t>厨师1名、中厨2名、服务员3名、杂工1名。</w:t>
      </w:r>
    </w:p>
    <w:p w14:paraId="73A28B9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第五条  费用承担</w:t>
      </w:r>
    </w:p>
    <w:p w14:paraId="064C6DA1">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（一）甲方承担费用</w:t>
      </w:r>
    </w:p>
    <w:p w14:paraId="7B9ECFE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1.水、电、气费用。</w:t>
      </w:r>
    </w:p>
    <w:p w14:paraId="4CCFF75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.餐厅操作间及公共区域基础设施维修费用。</w:t>
      </w:r>
    </w:p>
    <w:p w14:paraId="4288DFB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.餐厅照明灯具及公共设施维修维护费用。</w:t>
      </w:r>
    </w:p>
    <w:p w14:paraId="2DC2FD2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餐厅运水烟罩、燃气报警器、排油烟系统清洗、维修维护费用。</w:t>
      </w:r>
    </w:p>
    <w:p w14:paraId="71F3CA2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.餐厅餐卡网络设备系统及餐厅公用LED显示屏维修维护费用。</w:t>
      </w:r>
    </w:p>
    <w:p w14:paraId="4DFF7BD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.甲方临时性指定的工作任务和专项保障任务所产生费用。</w:t>
      </w:r>
    </w:p>
    <w:p w14:paraId="7AB63D8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.甲方要求制作的餐厅宣传展板及标识等所产生的费用。</w:t>
      </w:r>
    </w:p>
    <w:p w14:paraId="10004A3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color w:val="0000FF"/>
          <w:sz w:val="21"/>
          <w:szCs w:val="21"/>
          <w:highlight w:val="none"/>
          <w:lang w:val="en-US"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甲方免费提供现有餐厨设备</w:t>
      </w:r>
      <w:r>
        <w:rPr>
          <w:rFonts w:hint="eastAsia" w:ascii="宋体" w:hAnsi="宋体" w:eastAsia="宋体" w:cs="宋体"/>
          <w:color w:val="auto"/>
          <w:sz w:val="21"/>
          <w:szCs w:val="21"/>
          <w:highlight w:val="none"/>
          <w:lang w:val="en-US" w:eastAsia="zh-CN"/>
        </w:rPr>
        <w:t>供乙方使用</w:t>
      </w:r>
      <w:r>
        <w:rPr>
          <w:rFonts w:hint="eastAsia" w:ascii="宋体" w:hAnsi="宋体" w:eastAsia="宋体" w:cs="宋体"/>
          <w:color w:val="auto"/>
          <w:sz w:val="21"/>
          <w:szCs w:val="21"/>
          <w:highlight w:val="none"/>
        </w:rPr>
        <w:t>。</w:t>
      </w:r>
    </w:p>
    <w:p w14:paraId="2AC4A90D">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（二）乙方承担费用</w:t>
      </w:r>
    </w:p>
    <w:p w14:paraId="3D980E4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1.餐厅米、面、油、肉类、冻货、蔬菜及调味品等原材料采购费用，甲方负责市场巡价，乙方食材采购价格</w:t>
      </w:r>
      <w:r>
        <w:rPr>
          <w:rFonts w:hint="eastAsia" w:ascii="宋体" w:hAnsi="宋体" w:eastAsia="宋体" w:cs="宋体"/>
          <w:sz w:val="21"/>
          <w:szCs w:val="21"/>
          <w:highlight w:val="none"/>
          <w:lang w:eastAsia="zh-CN"/>
        </w:rPr>
        <w:t>、</w:t>
      </w:r>
      <w:r>
        <w:rPr>
          <w:rFonts w:hint="eastAsia" w:ascii="宋体" w:hAnsi="宋体" w:eastAsia="宋体" w:cs="宋体"/>
          <w:color w:val="auto"/>
          <w:sz w:val="21"/>
          <w:szCs w:val="21"/>
          <w:highlight w:val="none"/>
          <w:lang w:val="en-US" w:eastAsia="zh-CN"/>
        </w:rPr>
        <w:t>低值易耗品价格</w:t>
      </w:r>
      <w:r>
        <w:rPr>
          <w:rFonts w:hint="eastAsia" w:ascii="宋体" w:hAnsi="宋体" w:eastAsia="宋体" w:cs="宋体"/>
          <w:sz w:val="21"/>
          <w:szCs w:val="21"/>
          <w:highlight w:val="none"/>
        </w:rPr>
        <w:t>不得高于大型超市团购价格（含运送费）。</w:t>
      </w:r>
    </w:p>
    <w:p w14:paraId="6EEFB9F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2.餐厅工作人员</w:t>
      </w:r>
      <w:r>
        <w:rPr>
          <w:rFonts w:hint="eastAsia" w:ascii="宋体" w:hAnsi="宋体" w:eastAsia="宋体" w:cs="宋体"/>
          <w:sz w:val="21"/>
          <w:szCs w:val="21"/>
          <w:highlight w:val="none"/>
          <w:lang w:val="en-US" w:eastAsia="zh-CN"/>
        </w:rPr>
        <w:t>的</w:t>
      </w:r>
      <w:r>
        <w:rPr>
          <w:rFonts w:hint="eastAsia" w:ascii="宋体" w:hAnsi="宋体" w:eastAsia="宋体" w:cs="宋体"/>
          <w:color w:val="auto"/>
          <w:sz w:val="21"/>
          <w:szCs w:val="21"/>
          <w:highlight w:val="none"/>
          <w:lang w:val="en-US" w:eastAsia="zh-CN"/>
        </w:rPr>
        <w:t>薪酬</w:t>
      </w:r>
      <w:r>
        <w:rPr>
          <w:rFonts w:hint="eastAsia" w:ascii="宋体" w:hAnsi="宋体" w:eastAsia="宋体" w:cs="宋体"/>
          <w:sz w:val="21"/>
          <w:szCs w:val="21"/>
          <w:highlight w:val="none"/>
          <w:lang w:val="en-US" w:eastAsia="zh-CN"/>
        </w:rPr>
        <w:t>、劳务</w:t>
      </w:r>
      <w:r>
        <w:rPr>
          <w:rFonts w:hint="eastAsia" w:ascii="宋体" w:hAnsi="宋体" w:eastAsia="宋体" w:cs="宋体"/>
          <w:sz w:val="21"/>
          <w:szCs w:val="21"/>
          <w:highlight w:val="none"/>
        </w:rPr>
        <w:t>费用。</w:t>
      </w:r>
    </w:p>
    <w:p w14:paraId="62E60D2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甲方仅免费为乙方提供办公的基础条件（员工衣柜、办公桌椅、文件柜），其他配套所产生的费用（包括但不限于员工个人用品、办公网络费用等）由乙方承担。乙方及乙方人员使用该场所时应全面加强用电、消防及治安安全管理，坚决杜绝私拉电线、插板，使用大功率电器，飞线充电等违规用电行为。乙方向甲方签订安全责任书，发生安全事故的，乙方除承担事故责任外，还应赔偿甲方损失。若因此产生纠纷均与甲方无关，由乙方承担责任。</w:t>
      </w:r>
    </w:p>
    <w:p w14:paraId="28F8060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餐厅公共区域及设施设备维修更换费用≤</w:t>
      </w:r>
      <w:r>
        <w:rPr>
          <w:rFonts w:hint="eastAsia" w:ascii="宋体" w:hAnsi="宋体" w:eastAsia="宋体" w:cs="宋体"/>
          <w:sz w:val="21"/>
          <w:szCs w:val="21"/>
          <w:highlight w:val="none"/>
          <w:lang w:val="en-US" w:eastAsia="zh-CN"/>
        </w:rPr>
        <w:t>500元由乙方承担。</w:t>
      </w:r>
    </w:p>
    <w:p w14:paraId="45849DB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5.就餐者所需一次性打包餐具及餐厅低值易耗品配备费用由乙方提供并收取成本费用。</w:t>
      </w:r>
    </w:p>
    <w:p w14:paraId="1126F5A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6.餐厅工作人员业务培训费用由乙方承担。</w:t>
      </w:r>
    </w:p>
    <w:p w14:paraId="7518DF4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7.乙方自我宣传的相关费用由乙方承担。</w:t>
      </w:r>
    </w:p>
    <w:p w14:paraId="0CD5DDB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第六条  双方的权利与义务</w:t>
      </w:r>
    </w:p>
    <w:p w14:paraId="6C2DCCE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（一）甲方权利与义务</w:t>
      </w:r>
    </w:p>
    <w:p w14:paraId="28DCF5E6">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1.甲方的权利</w:t>
      </w:r>
    </w:p>
    <w:p w14:paraId="66860C9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甲方有权对乙方的服务业务，按照国家、省、市标准化考核进行监督、检查和考核，并适时对考核办法及评分细则进行修订。乙方按照《考核办法》（附件1）一年内满意度测评低于60分2次或出现严重事故，甲方有权终止合同，乙方不得有任何异议。</w:t>
      </w:r>
    </w:p>
    <w:p w14:paraId="10B9EF3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甲方有权对乙方的各类采购食材质量和价格进行审核，质量不得低于大型超市同类产品，价格不得高于大型超市团购价格（含运送费）。对乙方食材采购价格超过大型超市团购价格的，甲方有权按大型超市同类产品团购价格审核执行或要求改变进货渠道，并甲方有权采取扣减乙方</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的考核措施。</w:t>
      </w:r>
    </w:p>
    <w:p w14:paraId="0BEA70C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（3）甲方有权对乙方服务过程中存在的问题提出整改意见和要求，并监督其执行，对执行整改不力，甲方有权采取扣减乙方</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的考核措施，具体额度由甲方制定。</w:t>
      </w:r>
    </w:p>
    <w:p w14:paraId="754C825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（4）甲方有权要求乙方严格执行安全生产标准，遵守安全操作规章制度、并对乙方履行安全操作职责情况进行监督、考核，并根据考核结果扣减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的权利。</w:t>
      </w:r>
    </w:p>
    <w:p w14:paraId="244AEED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（5）发生事故后，甲方有权根据有关规定组织、参与事故的调查，有权对乙方事故进行统计上报，对隐情不报或弄虚作假的，甲方有减扣</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的权利。</w:t>
      </w:r>
    </w:p>
    <w:p w14:paraId="23D1BEA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（6）按照国家有关规定，甲方有权要求乙方员工持证上岗，如有违反，甲方有权减扣乙方</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。甲方有权检查监督乙方员工配备数量和厨师等级证等，并根据考核办法对违反情况做出相应扣减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的考核措施，具体额度由甲方制定。</w:t>
      </w:r>
    </w:p>
    <w:p w14:paraId="7F7BA7E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（7）甲方有权对乙方员工随时进行身体健康证检查，对乙方违反规定无证上岗人员有权责成立即辞退，并有权依据考核办法对乙方进行扣减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的考核措施，具体额度由甲方制定。</w:t>
      </w:r>
    </w:p>
    <w:p w14:paraId="46CDD83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（8）甲方有权对乙方配备人员进行登记检查。</w:t>
      </w:r>
    </w:p>
    <w:p w14:paraId="4AA3E0A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）甲方有权对配属给乙方的各种库房、办公室等保障用房的安全情况、办公环境、</w:t>
      </w:r>
      <w:r>
        <w:rPr>
          <w:rFonts w:hint="eastAsia" w:ascii="宋体" w:hAnsi="宋体" w:eastAsia="宋体" w:cs="宋体"/>
          <w:sz w:val="21"/>
          <w:szCs w:val="21"/>
          <w:highlight w:val="none"/>
          <w:lang w:eastAsia="zh-CN"/>
        </w:rPr>
        <w:t>储存</w:t>
      </w:r>
      <w:r>
        <w:rPr>
          <w:rFonts w:hint="eastAsia" w:ascii="宋体" w:hAnsi="宋体" w:eastAsia="宋体" w:cs="宋体"/>
          <w:sz w:val="21"/>
          <w:szCs w:val="21"/>
          <w:highlight w:val="none"/>
        </w:rPr>
        <w:t>环境、库房管理、物品摆放等进行检查。乙方须按甲方管理规定和要求，做好使用管理，确保秩序正规</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违反规定的甲方有权限期责令整改。</w:t>
      </w:r>
    </w:p>
    <w:p w14:paraId="24DE5374">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2.甲方的义务</w:t>
      </w:r>
    </w:p>
    <w:p w14:paraId="4A3D2D7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结合客观条件，</w:t>
      </w:r>
      <w:r>
        <w:rPr>
          <w:rFonts w:hint="eastAsia" w:ascii="宋体" w:hAnsi="宋体" w:eastAsia="宋体" w:cs="宋体"/>
          <w:color w:val="auto"/>
          <w:sz w:val="21"/>
          <w:szCs w:val="21"/>
          <w:highlight w:val="none"/>
        </w:rPr>
        <w:t>为乙方派遣人员提供符合卫生标准的办公及工作场所。</w:t>
      </w:r>
    </w:p>
    <w:p w14:paraId="189FC95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（2）按照结算方式、结算时间、考核结果向乙方支付相关服务费用。</w:t>
      </w:r>
    </w:p>
    <w:p w14:paraId="45AEAEE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）协助乙方处理紧急、突发事件。</w:t>
      </w:r>
    </w:p>
    <w:p w14:paraId="79CDBE36">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（二）乙方的权利和义务</w:t>
      </w:r>
    </w:p>
    <w:p w14:paraId="62E5358B">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1.乙方的权利</w:t>
      </w:r>
    </w:p>
    <w:p w14:paraId="3F35001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（1）乙方有权要求甲方按合同约定和考核结果，及时支付相关服务费用。</w:t>
      </w:r>
    </w:p>
    <w:p w14:paraId="76E2D8D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（2）对甲方的违规指挥、强令冒险作业，有权拒绝执行。</w:t>
      </w:r>
    </w:p>
    <w:p w14:paraId="00AE2DB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（3）乙方有权按照合同约定，要求甲方提供可保证正常工作的条件和环境。</w:t>
      </w:r>
    </w:p>
    <w:p w14:paraId="2634151C">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2.乙方的义务</w:t>
      </w:r>
    </w:p>
    <w:p w14:paraId="0159CA0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（1）乙方要严格遵守甲方的各项规章制度和其他行为规范。</w:t>
      </w:r>
    </w:p>
    <w:p w14:paraId="6CB93B8F">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u w:val="single"/>
        </w:rPr>
      </w:pPr>
      <w:r>
        <w:rPr>
          <w:rFonts w:hint="eastAsia" w:ascii="宋体" w:hAnsi="宋体" w:eastAsia="宋体" w:cs="宋体"/>
          <w:b/>
          <w:bCs/>
          <w:sz w:val="21"/>
          <w:szCs w:val="21"/>
          <w:highlight w:val="none"/>
          <w:u w:val="single"/>
        </w:rPr>
        <w:t>乙方承诺：知晓并同意甲方制定的《考核办法》。</w:t>
      </w:r>
    </w:p>
    <w:p w14:paraId="6016FFD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（2）乙方必须按合同要求足额配齐各级厨师等服务保障人员，向甲方提交相关证件复印件备查。</w:t>
      </w:r>
    </w:p>
    <w:p w14:paraId="0475A27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（3）乙方应爱惜厨灶、厨具、餐具和各类设施设备，认真做好日常维护保养，严格操作规程，</w:t>
      </w:r>
      <w:r>
        <w:rPr>
          <w:rFonts w:hint="eastAsia" w:ascii="宋体" w:hAnsi="宋体" w:eastAsia="宋体" w:cs="宋体"/>
          <w:color w:val="auto"/>
          <w:sz w:val="21"/>
          <w:szCs w:val="21"/>
          <w:highlight w:val="none"/>
          <w:lang w:val="en-US" w:eastAsia="zh-CN"/>
        </w:rPr>
        <w:t>杜绝</w:t>
      </w:r>
      <w:r>
        <w:rPr>
          <w:rFonts w:hint="eastAsia" w:ascii="宋体" w:hAnsi="宋体" w:eastAsia="宋体" w:cs="宋体"/>
          <w:sz w:val="21"/>
          <w:szCs w:val="21"/>
          <w:highlight w:val="none"/>
        </w:rPr>
        <w:t>违规操作</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若乙方违规操作造成的损失由乙方负责维修。乙方应保障食堂的场所和设备的安全，用气用电用水安全，积极排查安全隐患，规范操作，消防器具落实到位。若造成安全事故的，由乙方承担事故责任和赔偿责任。</w:t>
      </w:r>
    </w:p>
    <w:p w14:paraId="13A9DE6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（4）乙方应依法用工，安全用工，及时足额支付</w:t>
      </w:r>
      <w:r>
        <w:rPr>
          <w:rFonts w:hint="eastAsia" w:ascii="宋体" w:hAnsi="宋体" w:eastAsia="宋体" w:cs="宋体"/>
          <w:sz w:val="21"/>
          <w:szCs w:val="21"/>
          <w:highlight w:val="none"/>
          <w:lang w:eastAsia="zh-CN"/>
        </w:rPr>
        <w:t>员工</w:t>
      </w:r>
      <w:r>
        <w:rPr>
          <w:rFonts w:hint="eastAsia" w:ascii="宋体" w:hAnsi="宋体" w:eastAsia="宋体" w:cs="宋体"/>
          <w:sz w:val="21"/>
          <w:szCs w:val="21"/>
          <w:highlight w:val="none"/>
        </w:rPr>
        <w:t xml:space="preserve">劳动报酬、缴纳社会保险，并承担由此引发的劳动争议纠纷及其他民事纠纷，甲方不承担任何责任。若因此甲方涉诉，乙方应就甲方的为此支付的全部费用及产生的损失承担赔偿责任，包括但不限于甲方涉诉后支付的赔偿费用以及维权费用（律师费、诉讼费、保全费、交通费、住宿费等）。 </w:t>
      </w:r>
    </w:p>
    <w:p w14:paraId="5497B45D">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本协议中其他条款中约定由乙方承担责任的，若甲方涉诉，均参照本条约定。</w:t>
      </w:r>
    </w:p>
    <w:p w14:paraId="21BAA18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（5）乙方必须制定安全生产事故应急预案、急救预案和紧急事故处置预案并报甲方留存备案。</w:t>
      </w:r>
    </w:p>
    <w:p w14:paraId="2CD45FC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（6）乙方必须制定各种应急供餐保障方案，报甲方留存备案。</w:t>
      </w:r>
    </w:p>
    <w:p w14:paraId="1B44943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第七条  质量保证</w:t>
      </w:r>
    </w:p>
    <w:p w14:paraId="24DC58AB">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（一）基本要求</w:t>
      </w:r>
    </w:p>
    <w:p w14:paraId="7D41506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1.乙方在业务履行过程中要服从甲方对生产场地、工作及生活环境的安排和要求，严格执行甲方相关管理规定，并按甲方制定的考核办法接受考核及管理。</w:t>
      </w:r>
    </w:p>
    <w:p w14:paraId="49D03CC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2.原材料采购总金额中，按甲方分配要求，完成832平台采购任务。从合同签订之日起，6个月内完成甲方年分配任务，未按时完成的从乙方应结算费用中扣除。</w:t>
      </w:r>
    </w:p>
    <w:p w14:paraId="08BAD08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3.操作间、餐厅、</w:t>
      </w:r>
      <w:r>
        <w:rPr>
          <w:rFonts w:hint="eastAsia" w:ascii="宋体" w:hAnsi="宋体" w:eastAsia="宋体" w:cs="宋体"/>
          <w:color w:val="auto"/>
          <w:sz w:val="21"/>
          <w:szCs w:val="21"/>
          <w:highlight w:val="none"/>
          <w:lang w:eastAsia="zh-CN"/>
        </w:rPr>
        <w:t>储存</w:t>
      </w:r>
      <w:r>
        <w:rPr>
          <w:rFonts w:hint="eastAsia" w:ascii="宋体" w:hAnsi="宋体" w:eastAsia="宋体" w:cs="宋体"/>
          <w:color w:val="auto"/>
          <w:sz w:val="21"/>
          <w:szCs w:val="21"/>
          <w:highlight w:val="none"/>
        </w:rPr>
        <w:t>、</w:t>
      </w:r>
      <w:r>
        <w:rPr>
          <w:rFonts w:hint="eastAsia" w:ascii="宋体" w:hAnsi="宋体" w:eastAsia="宋体" w:cs="宋体"/>
          <w:sz w:val="21"/>
          <w:szCs w:val="21"/>
          <w:highlight w:val="none"/>
        </w:rPr>
        <w:t>库房等区域的水、电、气等基础设施改造须报甲方审核批准，公共区域悬挂、摆放、张贴宣传广告等须报甲方审核同意。</w:t>
      </w:r>
    </w:p>
    <w:p w14:paraId="4FAF2E7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4.采购蔬菜每次必须进行农药残留检测，检测环节由乙方负责。</w:t>
      </w:r>
    </w:p>
    <w:p w14:paraId="58E5F9C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5.乙方须向甲方提供供餐服务保障方案。</w:t>
      </w:r>
    </w:p>
    <w:p w14:paraId="12616BE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、乙方向甲方提供运行成本</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明细，甲方负责市场询价，乙方食材采购价格不得高于大型超市团购价格（含运送费）。</w:t>
      </w:r>
    </w:p>
    <w:p w14:paraId="371FC8E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.餐具保持完好率（指餐具无裂缝、无豁口或破损）在98%以上，第一次更换厨房用品由甲方进行统一配发，后续筷子须每三个月更换一次</w:t>
      </w:r>
      <w:r>
        <w:rPr>
          <w:rFonts w:hint="eastAsia" w:ascii="宋体" w:hAnsi="宋体" w:eastAsia="宋体" w:cs="宋体"/>
          <w:sz w:val="21"/>
          <w:szCs w:val="21"/>
          <w:highlight w:val="none"/>
          <w:lang w:eastAsia="zh-CN"/>
        </w:rPr>
        <w:t>；餐具非完好，须及时</w:t>
      </w:r>
      <w:r>
        <w:rPr>
          <w:rFonts w:hint="eastAsia" w:ascii="宋体" w:hAnsi="宋体" w:eastAsia="宋体" w:cs="宋体"/>
          <w:sz w:val="21"/>
          <w:szCs w:val="21"/>
          <w:highlight w:val="none"/>
        </w:rPr>
        <w:t>更换餐具</w:t>
      </w:r>
      <w:r>
        <w:rPr>
          <w:rFonts w:hint="eastAsia" w:ascii="宋体" w:hAnsi="宋体" w:eastAsia="宋体" w:cs="宋体"/>
          <w:sz w:val="21"/>
          <w:szCs w:val="21"/>
          <w:highlight w:val="none"/>
          <w:lang w:eastAsia="zh-CN"/>
        </w:rPr>
        <w:t>且</w:t>
      </w:r>
      <w:r>
        <w:rPr>
          <w:rFonts w:hint="eastAsia" w:ascii="宋体" w:hAnsi="宋体" w:eastAsia="宋体" w:cs="宋体"/>
          <w:sz w:val="21"/>
          <w:szCs w:val="21"/>
          <w:highlight w:val="none"/>
        </w:rPr>
        <w:t>符合甲方要求和规格，更换凭据须报甲方备案留存。</w:t>
      </w:r>
    </w:p>
    <w:p w14:paraId="4822626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.厨具中菜刀、铁锅、菜墩、炒勺等小件厨具后续补充更新，须符合甲方要求和规格，更换凭据须报甲方备案留存。</w:t>
      </w:r>
    </w:p>
    <w:p w14:paraId="0F5FBA1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.所使用</w:t>
      </w:r>
      <w:r>
        <w:rPr>
          <w:rFonts w:hint="eastAsia" w:ascii="宋体" w:hAnsi="宋体" w:eastAsia="宋体" w:cs="宋体"/>
          <w:sz w:val="21"/>
          <w:szCs w:val="21"/>
          <w:highlight w:val="none"/>
          <w:lang w:eastAsia="zh-CN"/>
        </w:rPr>
        <w:t>及更换的</w:t>
      </w:r>
      <w:r>
        <w:rPr>
          <w:rFonts w:hint="eastAsia" w:ascii="宋体" w:hAnsi="宋体" w:eastAsia="宋体" w:cs="宋体"/>
          <w:sz w:val="21"/>
          <w:szCs w:val="21"/>
          <w:highlight w:val="none"/>
        </w:rPr>
        <w:t>低值易耗品必须符合国家质量标准。</w:t>
      </w:r>
    </w:p>
    <w:p w14:paraId="682F941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.乙方制作的宣传展板和标志标识等每年至少更换一次。</w:t>
      </w:r>
    </w:p>
    <w:p w14:paraId="588DCEA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.餐厅工作人员业务培训每季度不少1次，培训资料须报甲方备案留存。</w:t>
      </w:r>
    </w:p>
    <w:p w14:paraId="0D0954C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.乙方承担服务期内全部生产安全责任。</w:t>
      </w:r>
    </w:p>
    <w:p w14:paraId="7CBEB1A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.乙方应严格遵守并执行甲方制定的考核管理等制度。</w:t>
      </w:r>
    </w:p>
    <w:p w14:paraId="4F3C412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.各种设施设备必须悬挂或粘贴操作规程标识牌，按操作规程进行操作，严禁违规操作使用。</w:t>
      </w:r>
    </w:p>
    <w:p w14:paraId="003C5F5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.乙方必须确保食品质量和食品卫生安全。</w:t>
      </w:r>
    </w:p>
    <w:p w14:paraId="47B974E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餐厅每日所使用餐牌，按照甲方要求的规格制作、核对内容，如有更换及时报甲方知晓备案</w:t>
      </w:r>
      <w:r>
        <w:rPr>
          <w:rFonts w:hint="eastAsia" w:ascii="宋体" w:hAnsi="宋体" w:eastAsia="宋体" w:cs="宋体"/>
          <w:sz w:val="21"/>
          <w:szCs w:val="21"/>
          <w:highlight w:val="none"/>
        </w:rPr>
        <w:t>。</w:t>
      </w:r>
    </w:p>
    <w:p w14:paraId="72E8B61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.乙方须严格遵守食品卫生安全法规，餐具每餐前经过消毒，餐厅每餐前后打扫，保持整洁。</w:t>
      </w:r>
    </w:p>
    <w:p w14:paraId="1FE5AC1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.乙方派遣人员每年进行一次健康体检，保证工作人员身体健康、无传染病，符合食品卫生从业人员标准，持有效健康证上岗。</w:t>
      </w:r>
    </w:p>
    <w:p w14:paraId="267A530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.乙方不得采购“三无”产品、加工霉烂变质商品或不卫生的食品。不得销售未向甲方报备的食品和不符合食用标准的食品。</w:t>
      </w:r>
    </w:p>
    <w:p w14:paraId="268B3EB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.乙方须按规定要求和操作规程，做好油烟</w:t>
      </w:r>
      <w:r>
        <w:rPr>
          <w:rFonts w:hint="eastAsia" w:ascii="宋体" w:hAnsi="宋体" w:eastAsia="宋体" w:cs="宋体"/>
          <w:sz w:val="21"/>
          <w:szCs w:val="21"/>
          <w:highlight w:val="none"/>
          <w:lang w:eastAsia="zh-CN"/>
        </w:rPr>
        <w:t>净化</w:t>
      </w:r>
      <w:r>
        <w:rPr>
          <w:rFonts w:hint="eastAsia" w:ascii="宋体" w:hAnsi="宋体" w:eastAsia="宋体" w:cs="宋体"/>
          <w:sz w:val="21"/>
          <w:szCs w:val="21"/>
          <w:highlight w:val="none"/>
        </w:rPr>
        <w:t>系统的日常</w:t>
      </w:r>
      <w:r>
        <w:rPr>
          <w:rFonts w:hint="eastAsia" w:ascii="宋体" w:hAnsi="宋体" w:eastAsia="宋体" w:cs="宋体"/>
          <w:sz w:val="21"/>
          <w:szCs w:val="21"/>
          <w:highlight w:val="none"/>
          <w:lang w:eastAsia="zh-CN"/>
        </w:rPr>
        <w:t>自清洗及</w:t>
      </w:r>
      <w:r>
        <w:rPr>
          <w:rFonts w:hint="eastAsia" w:ascii="宋体" w:hAnsi="宋体" w:eastAsia="宋体" w:cs="宋体"/>
          <w:sz w:val="21"/>
          <w:szCs w:val="21"/>
          <w:highlight w:val="none"/>
        </w:rPr>
        <w:t>维护保养，</w:t>
      </w:r>
      <w:r>
        <w:rPr>
          <w:rFonts w:hint="eastAsia" w:ascii="宋体" w:hAnsi="宋体" w:eastAsia="宋体" w:cs="宋体"/>
          <w:sz w:val="21"/>
          <w:szCs w:val="21"/>
          <w:highlight w:val="none"/>
          <w:lang w:eastAsia="zh-CN"/>
        </w:rPr>
        <w:t>所有</w:t>
      </w:r>
      <w:r>
        <w:rPr>
          <w:rFonts w:hint="eastAsia" w:ascii="宋体" w:hAnsi="宋体" w:eastAsia="宋体" w:cs="宋体"/>
          <w:sz w:val="21"/>
          <w:szCs w:val="21"/>
          <w:highlight w:val="none"/>
        </w:rPr>
        <w:t>台账</w:t>
      </w:r>
      <w:r>
        <w:rPr>
          <w:rFonts w:hint="eastAsia" w:ascii="宋体" w:hAnsi="宋体" w:eastAsia="宋体" w:cs="宋体"/>
          <w:sz w:val="21"/>
          <w:szCs w:val="21"/>
          <w:highlight w:val="none"/>
          <w:lang w:eastAsia="zh-CN"/>
        </w:rPr>
        <w:t>资料</w:t>
      </w:r>
      <w:r>
        <w:rPr>
          <w:rFonts w:hint="eastAsia" w:ascii="宋体" w:hAnsi="宋体" w:eastAsia="宋体" w:cs="宋体"/>
          <w:sz w:val="21"/>
          <w:szCs w:val="21"/>
          <w:highlight w:val="none"/>
        </w:rPr>
        <w:t>须报甲方备案留存。</w:t>
      </w:r>
    </w:p>
    <w:p w14:paraId="314319D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.乙方须按规定要求和操作规程，每日做好</w:t>
      </w:r>
      <w:r>
        <w:rPr>
          <w:rFonts w:hint="eastAsia" w:ascii="宋体" w:hAnsi="宋体" w:eastAsia="宋体" w:cs="宋体"/>
          <w:sz w:val="21"/>
          <w:szCs w:val="21"/>
          <w:highlight w:val="none"/>
          <w:lang w:eastAsia="zh-CN"/>
        </w:rPr>
        <w:t>水、电、</w:t>
      </w:r>
      <w:r>
        <w:rPr>
          <w:rFonts w:hint="eastAsia" w:ascii="宋体" w:hAnsi="宋体" w:eastAsia="宋体" w:cs="宋体"/>
          <w:sz w:val="21"/>
          <w:szCs w:val="21"/>
          <w:highlight w:val="none"/>
        </w:rPr>
        <w:t>天然气安全使用记录，记录台账须每月报甲方备案留存。</w:t>
      </w:r>
    </w:p>
    <w:p w14:paraId="03DB1F0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.库房落实架子化、箱子化、标签化，食材必须有分类标识牌。</w:t>
      </w:r>
    </w:p>
    <w:p w14:paraId="1A3D43D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.乙方须配合甲方完成各类工作检查，提供检查所需</w:t>
      </w:r>
      <w:r>
        <w:rPr>
          <w:rFonts w:hint="eastAsia" w:ascii="宋体" w:hAnsi="宋体" w:eastAsia="宋体" w:cs="宋体"/>
          <w:sz w:val="21"/>
          <w:szCs w:val="21"/>
          <w:highlight w:val="none"/>
          <w:lang w:eastAsia="zh-CN"/>
        </w:rPr>
        <w:t>台账记录及资料</w:t>
      </w:r>
      <w:r>
        <w:rPr>
          <w:rFonts w:hint="eastAsia" w:ascii="宋体" w:hAnsi="宋体" w:eastAsia="宋体" w:cs="宋体"/>
          <w:sz w:val="21"/>
          <w:szCs w:val="21"/>
          <w:highlight w:val="none"/>
        </w:rPr>
        <w:t>。</w:t>
      </w:r>
    </w:p>
    <w:p w14:paraId="27B09D3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（二）其他要求</w:t>
      </w:r>
    </w:p>
    <w:p w14:paraId="6B2F4F0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1.采购原材料由乙方自行检查验收登记，甲方进行监督及抽检。乙方须确保所采购原材料可溯源追查，不得采购劣质或过期产品。</w:t>
      </w:r>
    </w:p>
    <w:p w14:paraId="1097524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2.甲方有权对乙方进行成本核算，乙方须提供相应的票据、出入库记录、登记簿等，并保证其提供资料的真实性和完整性。 </w:t>
      </w:r>
    </w:p>
    <w:p w14:paraId="2CDB44F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3.乙方对甲方现有餐厨设备及餐具用品需要更换或报废时，须报甲方许可。合同期满或乙方提前退出时，设备交接必须保持完好率100%。</w:t>
      </w:r>
    </w:p>
    <w:p w14:paraId="231AEB9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4.乙方应严格遵守国家有关安全生产的法律法规，定期进行消防设施安全检查，发现隐患及时上报，配合甲方及时处理各类隐患。</w:t>
      </w:r>
    </w:p>
    <w:p w14:paraId="6EC9D35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5.乙方须加强安全生产宣传教育，建立健全各项安全生产管理机制和安全生产管理制度，教育所属员工严格遵守安全操作规程，承担所有安全事故及安全生产责任。</w:t>
      </w:r>
    </w:p>
    <w:p w14:paraId="6B5E0BC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6.乙方须制订生产安全事故应急救援预案及紧急事故处置应急预案，适时组织应急处置演练活动。</w:t>
      </w:r>
    </w:p>
    <w:p w14:paraId="2A46999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7.定期召开安全生产动员会，及时传达上级主管部门有关安全生产精神。定期对员工进行消防、设备规范操作的培训教育，增强全员安全生产意识。</w:t>
      </w:r>
    </w:p>
    <w:p w14:paraId="0B76BF9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8.乙方员工因工或非因工发生人身伤、残、亡或财产损失的，由乙方承担。</w:t>
      </w:r>
    </w:p>
    <w:p w14:paraId="742B377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9.乙方入场开始运营所使用餐具必须为新品。</w:t>
      </w:r>
    </w:p>
    <w:p w14:paraId="66E25BD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乙方应做好水、粮、菜等各种物资的储备工作，确保在停水及其他异常情况下能保证一天的餐食供应。</w:t>
      </w:r>
    </w:p>
    <w:p w14:paraId="16E57FC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第八条  验收</w:t>
      </w:r>
    </w:p>
    <w:p w14:paraId="56645CC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Style w:val="8"/>
          <w:rFonts w:hint="eastAsia" w:ascii="宋体" w:hAnsi="宋体" w:eastAsia="宋体" w:cs="宋体"/>
          <w:sz w:val="21"/>
          <w:szCs w:val="21"/>
          <w:highlight w:val="none"/>
        </w:rPr>
        <w:t>（一）</w:t>
      </w:r>
      <w:r>
        <w:rPr>
          <w:rFonts w:hint="eastAsia" w:ascii="宋体" w:hAnsi="宋体" w:eastAsia="宋体" w:cs="宋体"/>
          <w:sz w:val="21"/>
          <w:szCs w:val="21"/>
          <w:highlight w:val="none"/>
        </w:rPr>
        <w:t>服务期满后，甲方根据合同要求，进行验收。验收合格后，填写政府采购项目验收单（一式伍份）作为对项目的最终认可。</w:t>
      </w:r>
    </w:p>
    <w:p w14:paraId="211B150F">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（二）验收依据</w:t>
      </w:r>
    </w:p>
    <w:p w14:paraId="7704D2F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1.招标文件、投标文件、澄清表（函）。</w:t>
      </w:r>
    </w:p>
    <w:p w14:paraId="16BF02D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2.本合同及附件文本。</w:t>
      </w:r>
    </w:p>
    <w:p w14:paraId="37483FD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3.国家相应的标准、规范。</w:t>
      </w:r>
    </w:p>
    <w:p w14:paraId="4ABFA40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4.乙方须提交自验报告、验收内容清单各一式三份。</w:t>
      </w:r>
    </w:p>
    <w:p w14:paraId="731F6A5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第九条  违约责任</w:t>
      </w:r>
    </w:p>
    <w:p w14:paraId="4640F55C">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（一）</w:t>
      </w:r>
      <w:r>
        <w:rPr>
          <w:rFonts w:hint="eastAsia" w:ascii="宋体" w:hAnsi="宋体" w:eastAsia="宋体" w:cs="宋体"/>
          <w:sz w:val="21"/>
          <w:szCs w:val="21"/>
          <w:highlight w:val="none"/>
        </w:rPr>
        <w:t>按《民法典》中的相关条款执行。</w:t>
      </w:r>
    </w:p>
    <w:p w14:paraId="018F970E">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（二）</w:t>
      </w:r>
      <w:r>
        <w:rPr>
          <w:rFonts w:hint="eastAsia" w:ascii="宋体" w:hAnsi="宋体" w:eastAsia="宋体" w:cs="宋体"/>
          <w:sz w:val="21"/>
          <w:szCs w:val="21"/>
          <w:highlight w:val="none"/>
        </w:rPr>
        <w:t>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71DE049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（三）</w:t>
      </w:r>
      <w:r>
        <w:rPr>
          <w:rFonts w:hint="eastAsia" w:ascii="宋体" w:hAnsi="宋体" w:eastAsia="宋体" w:cs="宋体"/>
          <w:sz w:val="21"/>
          <w:szCs w:val="21"/>
          <w:highlight w:val="none"/>
        </w:rPr>
        <w:t>本合同期限未满，一方要求终止合同的，应按照合同约定和国家有关规定解除合同，并赔偿由此给对方造成的经济损失。</w:t>
      </w:r>
    </w:p>
    <w:p w14:paraId="6E4C9AD0">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（四）</w:t>
      </w:r>
      <w:r>
        <w:rPr>
          <w:rFonts w:hint="eastAsia" w:ascii="宋体" w:hAnsi="宋体" w:eastAsia="宋体" w:cs="宋体"/>
          <w:sz w:val="21"/>
          <w:szCs w:val="21"/>
          <w:highlight w:val="none"/>
        </w:rPr>
        <w:t>当事人一方不履行或不完全按合同约定履行其义务的，视为违约，应承担违约责任，并支付合同总额5%的违约金。</w:t>
      </w:r>
    </w:p>
    <w:p w14:paraId="38AFE9DD">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（五）</w:t>
      </w:r>
      <w:r>
        <w:rPr>
          <w:rFonts w:hint="eastAsia" w:ascii="宋体" w:hAnsi="宋体" w:eastAsia="宋体" w:cs="宋体"/>
          <w:sz w:val="21"/>
          <w:szCs w:val="21"/>
          <w:highlight w:val="none"/>
        </w:rPr>
        <w:t>由于</w:t>
      </w: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方违反合同约定，违章指挥（操作）导致责任事故，给对方造成经济损失的，应赔偿对方全部直接经济损失。</w:t>
      </w:r>
    </w:p>
    <w:p w14:paraId="4A045AD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（六）</w:t>
      </w:r>
      <w:r>
        <w:rPr>
          <w:rFonts w:hint="eastAsia" w:ascii="宋体" w:hAnsi="宋体" w:eastAsia="宋体" w:cs="宋体"/>
          <w:sz w:val="21"/>
          <w:szCs w:val="21"/>
          <w:highlight w:val="none"/>
        </w:rPr>
        <w:t>因国家建设或不可抗力因素导致设施损坏或造成损失时，双方互不承担责任。</w:t>
      </w:r>
    </w:p>
    <w:p w14:paraId="34B0390D">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（七）</w:t>
      </w:r>
      <w:r>
        <w:rPr>
          <w:rFonts w:hint="eastAsia" w:ascii="宋体" w:hAnsi="宋体" w:eastAsia="宋体" w:cs="宋体"/>
          <w:sz w:val="21"/>
          <w:szCs w:val="21"/>
          <w:highlight w:val="none"/>
        </w:rPr>
        <w:t>除本合同约定外，双方任何一方不得提前解除或终止本合同，否则应支付对方合同金额的5%作为违约金。</w:t>
      </w:r>
    </w:p>
    <w:p w14:paraId="0F375FF6">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（八）</w:t>
      </w:r>
      <w:r>
        <w:rPr>
          <w:rFonts w:hint="eastAsia" w:ascii="宋体" w:hAnsi="宋体" w:eastAsia="宋体" w:cs="宋体"/>
          <w:sz w:val="21"/>
          <w:szCs w:val="21"/>
          <w:highlight w:val="none"/>
        </w:rPr>
        <w:t>其他违约责任由双方在签订合同时另行商定。</w:t>
      </w:r>
    </w:p>
    <w:p w14:paraId="0FE0337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第十条  保密条款</w:t>
      </w:r>
    </w:p>
    <w:p w14:paraId="0B2FEF1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（一）</w:t>
      </w:r>
      <w:r>
        <w:rPr>
          <w:rFonts w:hint="eastAsia" w:ascii="宋体" w:hAnsi="宋体" w:eastAsia="宋体" w:cs="宋体"/>
          <w:sz w:val="21"/>
          <w:szCs w:val="21"/>
          <w:highlight w:val="none"/>
        </w:rPr>
        <w:t>乙方应遵守国家有关保密的法律法规和行业规定，并 对甲方提供的资料负有保密义务。未经甲方书面同意，不得将承接政府服务项目获得的政府、公民个人等各种信息和资料提供给其他单位和个人。如发生以上情况，甲方有权索赔。乙方及乙方工作人员对在为甲方提供服务过程中，获取知悉的甲方其他信息，亦负有永久保密义务。如有违反，一切后果由乙方承担。甲方有权要求乙方立即采取必要的补救措施，由此产生的一切费用由乙方自行承担，甲方有权对因乙方及乙方工作人员的泄密行为造成的直接损失以及可以预见的预期损失要求乙方承担赔偿责任。</w:t>
      </w:r>
    </w:p>
    <w:p w14:paraId="3BFEAAE5">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（二）</w:t>
      </w:r>
      <w:r>
        <w:rPr>
          <w:rFonts w:hint="eastAsia" w:ascii="宋体" w:hAnsi="宋体" w:eastAsia="宋体" w:cs="宋体"/>
          <w:sz w:val="21"/>
          <w:szCs w:val="21"/>
          <w:highlight w:val="none"/>
        </w:rPr>
        <w:t>甲方有义务保护乙方的知识产权，未经乙方同意，不得将乙方交付的具有知识产权性质的成果文件、资料向第三方转让或用于本合同以外的项目。</w:t>
      </w:r>
    </w:p>
    <w:p w14:paraId="122BF5E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（三）</w:t>
      </w:r>
      <w:r>
        <w:rPr>
          <w:rFonts w:hint="eastAsia" w:ascii="宋体" w:hAnsi="宋体" w:eastAsia="宋体" w:cs="宋体"/>
          <w:sz w:val="21"/>
          <w:szCs w:val="21"/>
          <w:highlight w:val="none"/>
        </w:rPr>
        <w:t>本条款为独立条款，本合同的无效、变更、解除和终止均不影响本条款的效力。</w:t>
      </w:r>
    </w:p>
    <w:p w14:paraId="6F78B5C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第十一条  争议解决</w:t>
      </w:r>
    </w:p>
    <w:p w14:paraId="0A4742FE">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（一）</w:t>
      </w:r>
      <w:r>
        <w:rPr>
          <w:rFonts w:hint="eastAsia" w:ascii="宋体" w:hAnsi="宋体" w:eastAsia="宋体" w:cs="宋体"/>
          <w:sz w:val="21"/>
          <w:szCs w:val="21"/>
          <w:highlight w:val="none"/>
        </w:rPr>
        <w:t>本合同在履行过程中发生的争议，由甲、乙双方当事人协商解决，协商不成的按下列第2种方式解决：</w:t>
      </w:r>
    </w:p>
    <w:p w14:paraId="7B3F1A0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1.提交西安仲裁委员会仲裁；</w:t>
      </w:r>
    </w:p>
    <w:p w14:paraId="67C4B19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2.依法向甲方住所地人民法院起诉。</w:t>
      </w:r>
    </w:p>
    <w:p w14:paraId="6885EFF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（二）</w:t>
      </w:r>
      <w:r>
        <w:rPr>
          <w:rFonts w:hint="eastAsia" w:ascii="宋体" w:hAnsi="宋体" w:eastAsia="宋体" w:cs="宋体"/>
          <w:sz w:val="21"/>
          <w:szCs w:val="21"/>
          <w:highlight w:val="none"/>
        </w:rPr>
        <w:t>本条款为独立条款，本合同的无效、变更、解除和终止均不影响本条款的效力。</w:t>
      </w:r>
    </w:p>
    <w:p w14:paraId="26FC832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第十二条  合同变更</w:t>
      </w:r>
    </w:p>
    <w:p w14:paraId="65BFE692">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（一）</w:t>
      </w:r>
      <w:r>
        <w:rPr>
          <w:rFonts w:hint="eastAsia" w:ascii="宋体" w:hAnsi="宋体" w:eastAsia="宋体" w:cs="宋体"/>
          <w:sz w:val="21"/>
          <w:szCs w:val="21"/>
          <w:highlight w:val="none"/>
        </w:rPr>
        <w:t>本合同期满后，自行终止。</w:t>
      </w:r>
    </w:p>
    <w:p w14:paraId="4437FABB">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（二）</w:t>
      </w:r>
      <w:r>
        <w:rPr>
          <w:rFonts w:hint="eastAsia" w:ascii="宋体" w:hAnsi="宋体" w:eastAsia="宋体" w:cs="宋体"/>
          <w:sz w:val="21"/>
          <w:szCs w:val="21"/>
          <w:highlight w:val="none"/>
        </w:rPr>
        <w:t>本合同有效期内，双方应认真履行合同内容。确因形势发生变化，一方需要变更或终止合同，须提前30日以书面形式向对方提出请求，经双方协商同意后，可以变更或解除合同。</w:t>
      </w:r>
    </w:p>
    <w:p w14:paraId="45A43C43">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（三）</w:t>
      </w:r>
      <w:r>
        <w:rPr>
          <w:rFonts w:hint="eastAsia" w:ascii="宋体" w:hAnsi="宋体" w:eastAsia="宋体" w:cs="宋体"/>
          <w:sz w:val="21"/>
          <w:szCs w:val="21"/>
          <w:highlight w:val="none"/>
        </w:rPr>
        <w:t>在合同执行期间，因发生不可抗力致使合同无法继续履行，双方可协商处理。</w:t>
      </w:r>
    </w:p>
    <w:p w14:paraId="5689B513">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（四）</w:t>
      </w:r>
      <w:r>
        <w:rPr>
          <w:rFonts w:hint="eastAsia" w:ascii="宋体" w:hAnsi="宋体" w:eastAsia="宋体" w:cs="宋体"/>
          <w:sz w:val="21"/>
          <w:szCs w:val="21"/>
          <w:highlight w:val="none"/>
        </w:rPr>
        <w:t>因一方不履行合同义务给对方造成损失的，责任方应向对方赔偿损失。</w:t>
      </w:r>
    </w:p>
    <w:p w14:paraId="2D5131FC">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（五）</w:t>
      </w:r>
      <w:r>
        <w:rPr>
          <w:rFonts w:hint="eastAsia" w:ascii="宋体" w:hAnsi="宋体" w:eastAsia="宋体" w:cs="宋体"/>
          <w:sz w:val="21"/>
          <w:szCs w:val="21"/>
          <w:highlight w:val="none"/>
        </w:rPr>
        <w:t>下列情形之一的，本合同的权利、义务终止：</w:t>
      </w:r>
    </w:p>
    <w:p w14:paraId="4B77798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1.合同已经按约定履行完毕的；</w:t>
      </w:r>
    </w:p>
    <w:p w14:paraId="1AFCE02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2.双方协商一致解除合同的；</w:t>
      </w:r>
    </w:p>
    <w:p w14:paraId="3CE5B57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3.其他约定的终止条件出现的。</w:t>
      </w:r>
    </w:p>
    <w:p w14:paraId="48C4BB99">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（六）</w:t>
      </w:r>
      <w:r>
        <w:rPr>
          <w:rFonts w:hint="eastAsia" w:ascii="宋体" w:hAnsi="宋体" w:eastAsia="宋体" w:cs="宋体"/>
          <w:sz w:val="21"/>
          <w:szCs w:val="21"/>
          <w:highlight w:val="none"/>
        </w:rPr>
        <w:t>有下列情形之一的，双方可解除本合同：</w:t>
      </w:r>
    </w:p>
    <w:p w14:paraId="324AA05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1.因不可抗力，致使不能实现合同目的；</w:t>
      </w:r>
    </w:p>
    <w:p w14:paraId="662E28C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2.因一方原因致使合同不能继续履行；</w:t>
      </w:r>
    </w:p>
    <w:p w14:paraId="2A98AEC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3.双方协商一致。</w:t>
      </w:r>
    </w:p>
    <w:p w14:paraId="54FD7C2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第十三条  协议生效</w:t>
      </w:r>
    </w:p>
    <w:p w14:paraId="425F251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协议自双方签字盖章后生效，协议一式</w:t>
      </w:r>
      <w:r>
        <w:rPr>
          <w:rFonts w:hint="eastAsia" w:ascii="宋体" w:hAnsi="宋体" w:eastAsia="宋体" w:cs="宋体"/>
          <w:sz w:val="21"/>
          <w:szCs w:val="21"/>
          <w:highlight w:val="none"/>
          <w:u w:val="single"/>
        </w:rPr>
        <w:t>肆</w:t>
      </w:r>
      <w:r>
        <w:rPr>
          <w:rFonts w:hint="eastAsia" w:ascii="宋体" w:hAnsi="宋体" w:eastAsia="宋体" w:cs="宋体"/>
          <w:sz w:val="21"/>
          <w:szCs w:val="21"/>
          <w:highlight w:val="none"/>
        </w:rPr>
        <w:t>份，双方各持</w:t>
      </w:r>
      <w:r>
        <w:rPr>
          <w:rFonts w:hint="eastAsia" w:ascii="宋体" w:hAnsi="宋体" w:eastAsia="宋体" w:cs="宋体"/>
          <w:sz w:val="21"/>
          <w:szCs w:val="21"/>
          <w:highlight w:val="none"/>
          <w:u w:val="single"/>
        </w:rPr>
        <w:t>贰</w:t>
      </w:r>
      <w:r>
        <w:rPr>
          <w:rFonts w:hint="eastAsia" w:ascii="宋体" w:hAnsi="宋体" w:eastAsia="宋体" w:cs="宋体"/>
          <w:sz w:val="21"/>
          <w:szCs w:val="21"/>
          <w:highlight w:val="none"/>
        </w:rPr>
        <w:t>份，具有同等效力。</w:t>
      </w:r>
    </w:p>
    <w:p w14:paraId="610F5A7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p>
    <w:p w14:paraId="7CCF876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甲方（盖章）：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乙方（盖章）：</w:t>
      </w:r>
    </w:p>
    <w:p w14:paraId="1FD766C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p>
    <w:p w14:paraId="28A03F3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法人代表：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法人代表：</w:t>
      </w:r>
    </w:p>
    <w:p w14:paraId="2D323B1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p>
    <w:p w14:paraId="0EAFA57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委托代理人：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委托代理人：</w:t>
      </w:r>
    </w:p>
    <w:p w14:paraId="23067AF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p>
    <w:p w14:paraId="44B4415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日期： 年  月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日期：  年  月  日</w:t>
      </w:r>
    </w:p>
    <w:p w14:paraId="058951C5">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highlight w:val="none"/>
        </w:rPr>
      </w:pPr>
    </w:p>
    <w:p w14:paraId="570483A8">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highlight w:val="none"/>
        </w:rPr>
      </w:pPr>
    </w:p>
    <w:p w14:paraId="5E5A6283">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r>
        <w:rPr>
          <w:rFonts w:hint="eastAsia" w:ascii="宋体" w:hAnsi="宋体" w:eastAsia="宋体" w:cs="宋体"/>
          <w:sz w:val="21"/>
          <w:szCs w:val="21"/>
          <w:highlight w:val="none"/>
        </w:rPr>
        <w:t>附件1</w:t>
      </w:r>
    </w:p>
    <w:p w14:paraId="248BE8E5">
      <w:pPr>
        <w:keepNext w:val="0"/>
        <w:keepLines w:val="0"/>
        <w:pageBreakBefore w:val="0"/>
        <w:kinsoku/>
        <w:wordWrap/>
        <w:overflowPunct/>
        <w:topLinePunct w:val="0"/>
        <w:autoSpaceDE/>
        <w:autoSpaceDN/>
        <w:bidi w:val="0"/>
        <w:adjustRightInd/>
        <w:snapToGrid w:val="0"/>
        <w:spacing w:line="360" w:lineRule="auto"/>
        <w:ind w:firstLine="632"/>
        <w:textAlignment w:val="auto"/>
        <w:rPr>
          <w:rFonts w:hint="eastAsia" w:ascii="宋体" w:hAnsi="宋体" w:eastAsia="宋体" w:cs="宋体"/>
          <w:sz w:val="21"/>
          <w:szCs w:val="21"/>
          <w:highlight w:val="none"/>
        </w:rPr>
      </w:pPr>
    </w:p>
    <w:p w14:paraId="7429724A">
      <w:pPr>
        <w:keepNext w:val="0"/>
        <w:keepLines w:val="0"/>
        <w:pageBreakBefore w:val="0"/>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考核办法</w:t>
      </w:r>
    </w:p>
    <w:p w14:paraId="78BCE6D5">
      <w:pPr>
        <w:keepNext w:val="0"/>
        <w:keepLines w:val="0"/>
        <w:pageBreakBefore w:val="0"/>
        <w:kinsoku/>
        <w:wordWrap/>
        <w:overflowPunct/>
        <w:topLinePunct w:val="0"/>
        <w:autoSpaceDE/>
        <w:autoSpaceDN/>
        <w:bidi w:val="0"/>
        <w:adjustRightInd/>
        <w:snapToGrid w:val="0"/>
        <w:spacing w:line="360" w:lineRule="auto"/>
        <w:ind w:firstLine="632"/>
        <w:textAlignment w:val="auto"/>
        <w:rPr>
          <w:rFonts w:hint="eastAsia" w:ascii="宋体" w:hAnsi="宋体" w:eastAsia="宋体" w:cs="宋体"/>
          <w:sz w:val="21"/>
          <w:szCs w:val="21"/>
          <w:highlight w:val="none"/>
        </w:rPr>
      </w:pPr>
    </w:p>
    <w:p w14:paraId="1A0DFF2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区政府机关食堂采用全外包模式，按照国家颁发的《餐饮业食品卫生管理办法》和《中华人民共和国食品安全法》等相关法规要求，依照合同业务需求标准和内容结合采购方目标任务，制定本考核方案。</w:t>
      </w:r>
    </w:p>
    <w:p w14:paraId="3D19EBD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一、考核宗旨</w:t>
      </w:r>
    </w:p>
    <w:p w14:paraId="394B3A1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过对包厨单位原材料采购、饭菜加工、服务质量、满意调查等全流程考核，加强对餐厅的监督检查，达到对包厨单位服务保障工作的管理和指导，实现安全供餐、福利供餐、优质供餐，促进生活服务保障工作高质量发展。</w:t>
      </w:r>
    </w:p>
    <w:p w14:paraId="1FA254C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二、考核领导小组：由采购人组织实施</w:t>
      </w:r>
    </w:p>
    <w:p w14:paraId="452DC55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三、考核内容和标准</w:t>
      </w:r>
    </w:p>
    <w:p w14:paraId="5C676DA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人员岗位、制度规范、资料管理、餐厅系统管理、食品加工储存、留样管理</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消毒管理</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卫生环境</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垃圾分类、</w:t>
      </w:r>
      <w:r>
        <w:rPr>
          <w:rFonts w:hint="eastAsia" w:ascii="宋体" w:hAnsi="宋体" w:eastAsia="宋体" w:cs="宋体"/>
          <w:sz w:val="21"/>
          <w:szCs w:val="21"/>
          <w:highlight w:val="none"/>
        </w:rPr>
        <w:t>设施设备</w:t>
      </w:r>
      <w:r>
        <w:rPr>
          <w:rFonts w:hint="eastAsia" w:ascii="宋体" w:hAnsi="宋体" w:eastAsia="宋体" w:cs="宋体"/>
          <w:sz w:val="21"/>
          <w:szCs w:val="21"/>
          <w:highlight w:val="none"/>
          <w:lang w:eastAsia="zh-CN"/>
        </w:rPr>
        <w:t>维护</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供餐质量、营养设计、反食品浪费、就餐服务、</w:t>
      </w:r>
      <w:r>
        <w:rPr>
          <w:rFonts w:hint="eastAsia" w:ascii="宋体" w:hAnsi="宋体" w:eastAsia="宋体" w:cs="宋体"/>
          <w:color w:val="auto"/>
          <w:sz w:val="21"/>
          <w:szCs w:val="21"/>
          <w:highlight w:val="none"/>
        </w:rPr>
        <w:t>水电气</w:t>
      </w:r>
      <w:r>
        <w:rPr>
          <w:rFonts w:hint="eastAsia" w:ascii="宋体" w:hAnsi="宋体" w:eastAsia="宋体" w:cs="宋体"/>
          <w:sz w:val="21"/>
          <w:szCs w:val="21"/>
          <w:highlight w:val="none"/>
          <w:lang w:eastAsia="zh-CN"/>
        </w:rPr>
        <w:t>消防安全、食品安全事故、创新改进、投诉与表扬</w:t>
      </w:r>
      <w:r>
        <w:rPr>
          <w:rFonts w:hint="eastAsia" w:ascii="宋体" w:hAnsi="宋体" w:eastAsia="宋体" w:cs="宋体"/>
          <w:sz w:val="21"/>
          <w:szCs w:val="21"/>
          <w:highlight w:val="none"/>
        </w:rPr>
        <w:t>等均为考核内容。具体标准为：</w:t>
      </w:r>
    </w:p>
    <w:p w14:paraId="54965E44">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w:t>
      </w:r>
      <w:r>
        <w:rPr>
          <w:rFonts w:hint="eastAsia" w:ascii="宋体" w:hAnsi="宋体" w:eastAsia="宋体" w:cs="宋体"/>
          <w:b/>
          <w:bCs/>
          <w:sz w:val="21"/>
          <w:szCs w:val="21"/>
          <w:highlight w:val="none"/>
          <w:lang w:eastAsia="zh-CN"/>
        </w:rPr>
        <w:t>基础管理工作</w:t>
      </w:r>
    </w:p>
    <w:p w14:paraId="3CD3583E">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1.人员</w:t>
      </w:r>
      <w:r>
        <w:rPr>
          <w:rFonts w:hint="eastAsia" w:ascii="宋体" w:hAnsi="宋体" w:eastAsia="宋体" w:cs="宋体"/>
          <w:b/>
          <w:bCs/>
          <w:sz w:val="21"/>
          <w:szCs w:val="21"/>
          <w:highlight w:val="none"/>
          <w:lang w:eastAsia="zh-CN"/>
        </w:rPr>
        <w:t>岗位</w:t>
      </w:r>
    </w:p>
    <w:p w14:paraId="232634A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（1）服务人员必须持健康证上岗，且每年体检一次。</w:t>
      </w:r>
    </w:p>
    <w:p w14:paraId="0D290AD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（2）工作人员班前班后坚持洗、消制度，严禁“三长”。</w:t>
      </w:r>
    </w:p>
    <w:p w14:paraId="3ABC2CB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（3）工作人员进操作区域必须着工作服、戴帽子，售饭时必须戴口罩和卫生手套，并保持干净卫生。</w:t>
      </w:r>
    </w:p>
    <w:p w14:paraId="1152FF9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）工作人员衣帽仪容端正、言谈举止得体，遵守机关工作纪律和规定，无违纪违法行为。</w:t>
      </w:r>
    </w:p>
    <w:p w14:paraId="365CCB5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）与同事和其他单位人员关系融洽，无打架斗殴现象。</w:t>
      </w:r>
    </w:p>
    <w:p w14:paraId="2BC8E7E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）按规定上岗，无严重缺人或缺勤情况。</w:t>
      </w:r>
    </w:p>
    <w:p w14:paraId="651A83F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）特殊情况或重大活动，全体人员必须全部到位。</w:t>
      </w:r>
    </w:p>
    <w:p w14:paraId="3DB5950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w:t>
      </w:r>
      <w:r>
        <w:rPr>
          <w:rFonts w:hint="eastAsia" w:ascii="宋体" w:hAnsi="宋体" w:eastAsia="宋体" w:cs="宋体"/>
          <w:b/>
          <w:bCs/>
          <w:sz w:val="21"/>
          <w:szCs w:val="21"/>
          <w:highlight w:val="none"/>
          <w:lang w:eastAsia="zh-CN"/>
        </w:rPr>
        <w:t>制度规范</w:t>
      </w:r>
    </w:p>
    <w:p w14:paraId="7F0C010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）建立《岗位制度》《食品安全管理制度》《应急预案》《消防安全》等核心制度。</w:t>
      </w:r>
    </w:p>
    <w:p w14:paraId="6B288DE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）制度每年更新并公示。</w:t>
      </w:r>
    </w:p>
    <w:p w14:paraId="20A8973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）建立岗位自查记录（每日晨检表）。</w:t>
      </w:r>
    </w:p>
    <w:p w14:paraId="0589C6B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健全《食品安全应急处置预案》《餐厅公共卫生突发事件应急预案》《餐厅消防安全疏散应急处置预案》《餐厅停水停电停气应急预案》《餐厅电气和设备使用安全事故应急处置预案》，建立安全事故处理机制，并按照方案演练和应急处置。</w:t>
      </w:r>
    </w:p>
    <w:p w14:paraId="62323916">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3.资料管理</w:t>
      </w:r>
    </w:p>
    <w:p w14:paraId="1C5CC0E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（1）食材采购必须制定采购计划，明确采购产品名称、规格、型号、数量、供货期限等信息，不得采购野生动物。</w:t>
      </w:r>
    </w:p>
    <w:p w14:paraId="0D3D57D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）建立食材来源台账，严格执行验收管理制度，审验供货商的经营资格，验明产品合格证明和产品标识。验收时要索取、查验采购产品的相关证明、票据、凭证及验收报告。</w:t>
      </w:r>
    </w:p>
    <w:p w14:paraId="3784099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）乙方必须对采购的蔬菜进行农药残留检测并提供相应的检验报告，考核人员随时对检验报告进行抽</w:t>
      </w:r>
      <w:r>
        <w:rPr>
          <w:rFonts w:hint="eastAsia" w:ascii="宋体" w:hAnsi="宋体" w:eastAsia="宋体" w:cs="宋体"/>
          <w:sz w:val="21"/>
          <w:szCs w:val="21"/>
          <w:highlight w:val="none"/>
          <w:lang w:eastAsia="zh-CN"/>
        </w:rPr>
        <w:t>查</w:t>
      </w:r>
      <w:r>
        <w:rPr>
          <w:rFonts w:hint="eastAsia" w:ascii="宋体" w:hAnsi="宋体" w:eastAsia="宋体" w:cs="宋体"/>
          <w:sz w:val="21"/>
          <w:szCs w:val="21"/>
          <w:highlight w:val="none"/>
        </w:rPr>
        <w:t>。对不符合标准的每次扣减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2000元。</w:t>
      </w:r>
    </w:p>
    <w:p w14:paraId="326AB65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）对质量问题较突出的食材，每次扣减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10000元，并报备监管部门，做好重大突发事件处理登记以及后续处理情况追踪。</w:t>
      </w:r>
    </w:p>
    <w:p w14:paraId="57A054A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乙方做好消毒消杀登记台账、留样登记台账、反食品浪费、垃圾分类、油烟净化系统、生态环保工作、水电气排查等甲方要求的各项台账、记录等资料，按时提交甲方备案。</w:t>
      </w:r>
    </w:p>
    <w:p w14:paraId="68796B2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4.餐厅系统管理</w:t>
      </w:r>
    </w:p>
    <w:p w14:paraId="1213BBD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（1）就餐秩序引导，残食回收工作合理，秩序井然。</w:t>
      </w:r>
    </w:p>
    <w:p w14:paraId="638EBE3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（2）智能设备操作应用熟练，餐厅系统按牵头部门统一要求及时完成工作任务（包括但不仅限于刷卡系统、消费系统、菜谱上传、后台管理系统）</w:t>
      </w:r>
    </w:p>
    <w:p w14:paraId="0232EC28">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eastAsia="zh-CN"/>
        </w:rPr>
        <w:t>二</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eastAsia="zh-CN"/>
        </w:rPr>
        <w:t>食品</w:t>
      </w:r>
      <w:r>
        <w:rPr>
          <w:rFonts w:hint="eastAsia" w:ascii="宋体" w:hAnsi="宋体" w:eastAsia="宋体" w:cs="宋体"/>
          <w:b/>
          <w:bCs/>
          <w:sz w:val="21"/>
          <w:szCs w:val="21"/>
          <w:highlight w:val="none"/>
        </w:rPr>
        <w:t>安全</w:t>
      </w:r>
      <w:r>
        <w:rPr>
          <w:rFonts w:hint="eastAsia" w:ascii="宋体" w:hAnsi="宋体" w:eastAsia="宋体" w:cs="宋体"/>
          <w:b/>
          <w:bCs/>
          <w:sz w:val="21"/>
          <w:szCs w:val="21"/>
          <w:highlight w:val="none"/>
          <w:lang w:eastAsia="zh-CN"/>
        </w:rPr>
        <w:t>与卫生</w:t>
      </w:r>
    </w:p>
    <w:p w14:paraId="546B8E7F">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1.食品</w:t>
      </w:r>
      <w:r>
        <w:rPr>
          <w:rFonts w:hint="eastAsia" w:ascii="宋体" w:hAnsi="宋体" w:eastAsia="宋体" w:cs="宋体"/>
          <w:b/>
          <w:bCs/>
          <w:sz w:val="21"/>
          <w:szCs w:val="21"/>
          <w:highlight w:val="none"/>
          <w:lang w:eastAsia="zh-CN"/>
        </w:rPr>
        <w:t>加工储存</w:t>
      </w:r>
    </w:p>
    <w:p w14:paraId="2E7C8DA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（1）原料采购、运送、保管、使用过程不能出现污染。</w:t>
      </w:r>
    </w:p>
    <w:p w14:paraId="7461A95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（2）原料储存、使用不能出现鼠咬、虫蛀、霉变情况，发现一次扣减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2000元。</w:t>
      </w:r>
    </w:p>
    <w:p w14:paraId="5263A1B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（3）粗菜细作，突出家常味。出售食品鲜嫩可口，不得有异物、异味，更不能有霉变迹象。</w:t>
      </w:r>
    </w:p>
    <w:p w14:paraId="0E6E5B3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（4）食品储存、加工、工具使用，必须做到荤素分开、生熟分开、冷热分开。</w:t>
      </w:r>
    </w:p>
    <w:p w14:paraId="4390D79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（5）凡发生食品安全事故，无论事故大小，该项考核为不合格。</w:t>
      </w:r>
    </w:p>
    <w:p w14:paraId="399BFC61">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eastAsia="宋体" w:cs="宋体"/>
          <w:b/>
          <w:bCs/>
          <w:sz w:val="21"/>
          <w:szCs w:val="21"/>
          <w:highlight w:val="none"/>
          <w:lang w:eastAsia="zh-CN"/>
        </w:rPr>
        <w:t>食品</w:t>
      </w:r>
      <w:r>
        <w:rPr>
          <w:rFonts w:hint="eastAsia" w:ascii="宋体" w:hAnsi="宋体" w:eastAsia="宋体" w:cs="宋体"/>
          <w:b/>
          <w:bCs/>
          <w:sz w:val="21"/>
          <w:szCs w:val="21"/>
          <w:highlight w:val="none"/>
        </w:rPr>
        <w:t>留样</w:t>
      </w:r>
    </w:p>
    <w:p w14:paraId="31228FD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（1）食品留样由专人负责、专人操作、专人登记。</w:t>
      </w:r>
    </w:p>
    <w:p w14:paraId="7652C8F9">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）食品留样要配备专用留样工器具，留样容器大小适宜，便于盛放与清洗消毒。冷藏设备要贴有明显的“食品留样专用”标识。</w:t>
      </w:r>
    </w:p>
    <w:p w14:paraId="522D5FD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）留样食品在充分冷却后，按品种分别盛放于清洗消毒后密闭容器内，并在外面贴上标签，标明编号、留样食品名称、留样时间、留样量、留样人员、餐次、审核人员等信息，按照时间顺序分类保存在冷藏柜中。</w:t>
      </w:r>
    </w:p>
    <w:p w14:paraId="1B7F2BE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）留样食品不少于125g，在冷藏条件下必须存放48小时以上。</w:t>
      </w:r>
    </w:p>
    <w:p w14:paraId="7972C0C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）发生食物中毒、疑似食物中毒事件或者其他情况需要时，要全力配合相关部门依法对留样食品进行检验。</w:t>
      </w:r>
    </w:p>
    <w:p w14:paraId="5CC74725">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3.</w:t>
      </w:r>
      <w:r>
        <w:rPr>
          <w:rFonts w:hint="eastAsia" w:ascii="宋体" w:hAnsi="宋体" w:eastAsia="宋体" w:cs="宋体"/>
          <w:b/>
          <w:bCs/>
          <w:sz w:val="21"/>
          <w:szCs w:val="21"/>
          <w:highlight w:val="none"/>
        </w:rPr>
        <w:t>餐（饮）具回收消毒</w:t>
      </w:r>
    </w:p>
    <w:p w14:paraId="6EC2DC8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就餐结束后及时分类回收。</w:t>
      </w:r>
    </w:p>
    <w:p w14:paraId="101F574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回收的餐（饮）具按相关要求进行清洗消毒。</w:t>
      </w:r>
    </w:p>
    <w:p w14:paraId="0445DD8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清洁消毒后的餐（饮）具必须符合《食品安全国家标准消毒餐（饮）具》（GB14934-2016）规定，并存放在专用密闭保洁设施内，保持清洁。</w:t>
      </w:r>
    </w:p>
    <w:p w14:paraId="1A12DA8F">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lang w:eastAsia="zh-CN"/>
        </w:rPr>
        <w:t>.卫生环境</w:t>
      </w:r>
    </w:p>
    <w:p w14:paraId="2102EF2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（1）操作间卫生清洁，无病虫害。</w:t>
      </w:r>
    </w:p>
    <w:p w14:paraId="5DAB1EE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（2）操作间和餐厅设施物品放置有序，无污尘、油垢。</w:t>
      </w:r>
    </w:p>
    <w:p w14:paraId="3067DC5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（3）操作间下水沟无堵塞、无积物。</w:t>
      </w:r>
    </w:p>
    <w:p w14:paraId="089B5DD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（4）及时对食品处理区、就餐区、辅助区进行清洁，做到无废弃物、无水、无污渍、无油渍，并指定专人负责各区域卫生检查、记录。</w:t>
      </w:r>
    </w:p>
    <w:p w14:paraId="3F364F8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（5）洗菜池清理及时、干净无异味。 </w:t>
      </w:r>
    </w:p>
    <w:p w14:paraId="02C68CD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（6）清洁工具严格按照规定的位置存放，摆放整体，防止食品污染。</w:t>
      </w:r>
    </w:p>
    <w:p w14:paraId="762FF63F">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lang w:eastAsia="zh-CN"/>
        </w:rPr>
        <w:t>垃圾分类</w:t>
      </w:r>
    </w:p>
    <w:p w14:paraId="36ACC70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垃圾桶必须严格按照《西安市生活垃圾分类管理条例》规范购置、贴好标识。</w:t>
      </w:r>
    </w:p>
    <w:p w14:paraId="4239D5C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垃圾桶必须严格按照规定的位置存放，并摆放整齐、保持干净。</w:t>
      </w:r>
    </w:p>
    <w:p w14:paraId="1E2A4F9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垃圾分类严格执行《西安市垃圾分类标准》。</w:t>
      </w:r>
    </w:p>
    <w:p w14:paraId="55D40E4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餐后垃圾实行干湿分离，垃圾桶盛装量距垃圾桶上沿10cm。大块餐前垃圾必须切碎后运送。</w:t>
      </w:r>
    </w:p>
    <w:p w14:paraId="199BD12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餐厅垃圾必须日产日清，必须按照甲方指定的路线、地点收运处理。</w:t>
      </w:r>
    </w:p>
    <w:p w14:paraId="49288BB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）建立厨余垃圾处理台账，详细记录厨余垃圾种类、数量、去向、用途等信息。</w:t>
      </w:r>
    </w:p>
    <w:p w14:paraId="5BAEB338">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设施设备管理</w:t>
      </w:r>
    </w:p>
    <w:p w14:paraId="60F8945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）建立设施设备</w:t>
      </w:r>
      <w:r>
        <w:rPr>
          <w:rFonts w:hint="eastAsia" w:ascii="宋体" w:hAnsi="宋体" w:eastAsia="宋体" w:cs="宋体"/>
          <w:sz w:val="21"/>
          <w:szCs w:val="21"/>
          <w:highlight w:val="none"/>
          <w:lang w:eastAsia="zh-CN"/>
        </w:rPr>
        <w:t>巡检</w:t>
      </w:r>
      <w:r>
        <w:rPr>
          <w:rFonts w:hint="eastAsia" w:ascii="宋体" w:hAnsi="宋体" w:eastAsia="宋体" w:cs="宋体"/>
          <w:sz w:val="21"/>
          <w:szCs w:val="21"/>
          <w:highlight w:val="none"/>
        </w:rPr>
        <w:t>制，每台设施设备指定专人管理。</w:t>
      </w:r>
    </w:p>
    <w:p w14:paraId="38CF142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）使用前要检查配电箱、开关、按钮、插座等是否正常，齿轮传动机构防护装置是否完全封闭。</w:t>
      </w:r>
    </w:p>
    <w:p w14:paraId="0A01E2A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）严格按操作规程操作，不得让设备超压、超温、超速、超负荷运行，操作中要有防止人员受伤害的防护措施。</w:t>
      </w:r>
    </w:p>
    <w:p w14:paraId="3D36E3B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）使用后及时清理、消毒，必要时对部分设备进行拆卸清洁维护，做到无垢、无水、无油，保持各类设施设备干净、整洁、完好。</w:t>
      </w:r>
    </w:p>
    <w:p w14:paraId="5A1057C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）定期检查设施设备温度、压力、振动、异响、油位、泄漏等性能工作状况，以及磨耗、损坏、线路等情况，检查和维修后要做好维修保养记录。</w:t>
      </w:r>
    </w:p>
    <w:p w14:paraId="64E081F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）低值易耗品必须符合国家</w:t>
      </w:r>
      <w:r>
        <w:rPr>
          <w:rFonts w:hint="eastAsia" w:ascii="宋体" w:hAnsi="宋体" w:eastAsia="宋体" w:cs="宋体"/>
          <w:sz w:val="21"/>
          <w:szCs w:val="21"/>
          <w:highlight w:val="none"/>
          <w:lang w:eastAsia="zh-CN"/>
        </w:rPr>
        <w:t>食品卫生</w:t>
      </w:r>
      <w:r>
        <w:rPr>
          <w:rFonts w:hint="eastAsia" w:ascii="宋体" w:hAnsi="宋体" w:eastAsia="宋体" w:cs="宋体"/>
          <w:color w:val="auto"/>
          <w:sz w:val="21"/>
          <w:szCs w:val="21"/>
          <w:highlight w:val="none"/>
          <w:lang w:val="en-US" w:eastAsia="zh-CN"/>
        </w:rPr>
        <w:t>安全</w:t>
      </w:r>
      <w:r>
        <w:rPr>
          <w:rFonts w:hint="eastAsia" w:ascii="宋体" w:hAnsi="宋体" w:eastAsia="宋体" w:cs="宋体"/>
          <w:sz w:val="21"/>
          <w:szCs w:val="21"/>
          <w:highlight w:val="none"/>
        </w:rPr>
        <w:t>标准。</w:t>
      </w:r>
    </w:p>
    <w:p w14:paraId="5BC20D1A">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（三）供餐服务</w:t>
      </w:r>
    </w:p>
    <w:p w14:paraId="260FC0B7">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供</w:t>
      </w:r>
      <w:r>
        <w:rPr>
          <w:rFonts w:hint="eastAsia" w:ascii="宋体" w:hAnsi="宋体" w:eastAsia="宋体" w:cs="宋体"/>
          <w:b/>
          <w:bCs/>
          <w:sz w:val="21"/>
          <w:szCs w:val="21"/>
          <w:highlight w:val="none"/>
          <w:lang w:eastAsia="zh-CN"/>
        </w:rPr>
        <w:t>餐质量</w:t>
      </w:r>
    </w:p>
    <w:p w14:paraId="766A9A5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每周四17:00前完成下一周食谱制定，报新城区机关事务服务中心生活服务科审核后执行。</w:t>
      </w:r>
    </w:p>
    <w:p w14:paraId="68D4546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指定专人维护餐厅秩序和人员引导，并对分餐技能、服务态度等供应环节进行巡检。</w:t>
      </w:r>
    </w:p>
    <w:p w14:paraId="52AE3D0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售餐前对餐桌、餐椅进行清洁，对分派菜肴、盛装食品的工具器具进行清洁消毒并摆放整齐。</w:t>
      </w:r>
    </w:p>
    <w:p w14:paraId="2C9EE85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餐具完好无破损，无裂缝、无豁口，完好率在98%以上。餐具完好率低于98%，发现一次扣减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500元。</w:t>
      </w:r>
    </w:p>
    <w:p w14:paraId="13C7CFA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筷子每三个月必须更换一次，</w:t>
      </w:r>
      <w:r>
        <w:rPr>
          <w:rFonts w:hint="eastAsia" w:ascii="宋体" w:hAnsi="宋体" w:eastAsia="宋体" w:cs="宋体"/>
          <w:sz w:val="21"/>
          <w:szCs w:val="21"/>
          <w:highlight w:val="none"/>
          <w:lang w:eastAsia="zh-CN"/>
        </w:rPr>
        <w:t>餐具短缺或非完好，及时补充，</w:t>
      </w:r>
      <w:r>
        <w:rPr>
          <w:rFonts w:hint="eastAsia" w:ascii="宋体" w:hAnsi="宋体" w:eastAsia="宋体" w:cs="宋体"/>
          <w:sz w:val="21"/>
          <w:szCs w:val="21"/>
          <w:highlight w:val="none"/>
        </w:rPr>
        <w:t>未按规定更换，扣减</w:t>
      </w:r>
      <w:r>
        <w:rPr>
          <w:rFonts w:hint="eastAsia" w:ascii="宋体" w:hAnsi="宋体" w:eastAsia="宋体" w:cs="宋体"/>
          <w:sz w:val="21"/>
          <w:szCs w:val="21"/>
          <w:highlight w:val="none"/>
          <w:lang w:eastAsia="zh-CN"/>
        </w:rPr>
        <w:t>合同费用</w:t>
      </w:r>
      <w:r>
        <w:rPr>
          <w:rFonts w:hint="eastAsia" w:ascii="宋体" w:hAnsi="宋体" w:eastAsia="宋体" w:cs="宋体"/>
          <w:sz w:val="21"/>
          <w:szCs w:val="21"/>
          <w:highlight w:val="none"/>
        </w:rPr>
        <w:t>500元。</w:t>
      </w:r>
    </w:p>
    <w:p w14:paraId="618912C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实行饭菜品尝制度，指定专人在售餐前10分钟对出售的食品进行品尝，并建立品尝台账，明确责任人。</w:t>
      </w:r>
    </w:p>
    <w:p w14:paraId="2249BE1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安排专人检查待供应食品，发现有腐败变质或者其他异常食品立即撤回。</w:t>
      </w:r>
    </w:p>
    <w:p w14:paraId="3F7526F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售餐时使用清洁托盘等工具，防止从业人员手部直接接触食品（预包装食品除外），并对食品采取有效防护措施，避免食品受到污染。</w:t>
      </w:r>
    </w:p>
    <w:p w14:paraId="0522EDB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食品温度适宜，热类饭菜温度不低于60℃。</w:t>
      </w:r>
    </w:p>
    <w:p w14:paraId="3F26EC7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餐纸配置到位、摆放整齐，餐桌无残留物、油渍。</w:t>
      </w:r>
    </w:p>
    <w:p w14:paraId="7B95662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工作人员服饰整洁、仪表端庄、举止规范、态度热情，不得有怠慢或与就餐者发生矛盾等现象。</w:t>
      </w:r>
    </w:p>
    <w:p w14:paraId="378CDFB8">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eastAsia="宋体" w:cs="宋体"/>
          <w:b/>
          <w:bCs/>
          <w:sz w:val="21"/>
          <w:szCs w:val="21"/>
          <w:highlight w:val="none"/>
          <w:lang w:eastAsia="zh-CN"/>
        </w:rPr>
        <w:t>营养</w:t>
      </w:r>
      <w:r>
        <w:rPr>
          <w:rFonts w:hint="eastAsia" w:ascii="宋体" w:hAnsi="宋体" w:eastAsia="宋体" w:cs="宋体"/>
          <w:b/>
          <w:bCs/>
          <w:sz w:val="21"/>
          <w:szCs w:val="21"/>
          <w:highlight w:val="none"/>
        </w:rPr>
        <w:t>设计合理性</w:t>
      </w:r>
    </w:p>
    <w:p w14:paraId="237DDC1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乙方主副食品类不得少于招标文件规定的基本需求标准，品种体现多样化。</w:t>
      </w:r>
    </w:p>
    <w:p w14:paraId="39A23F1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色、香、味、形符合要求；营养配置合理，突出特色，体现个性化选择；每季度满意度测评不得低于80%。</w:t>
      </w:r>
    </w:p>
    <w:p w14:paraId="03EFAD6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日常供餐必须按计划菜单执行。未经批准，无特殊情况不得随意调换或更换。</w:t>
      </w:r>
    </w:p>
    <w:p w14:paraId="4268BBC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）每日所使用餐牌，按照甲方要求的规格制作，每日及时按菜单更换餐牌，规格如有变动及时报甲方知晓备案。</w:t>
      </w:r>
    </w:p>
    <w:p w14:paraId="5D96F5E6">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eastAsia="zh-CN"/>
        </w:rPr>
        <w:t>反食品浪费</w:t>
      </w:r>
    </w:p>
    <w:p w14:paraId="0B2527C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）配合做好反食品浪费宣传，餐桌设置“光盘行动”宣传标识。</w:t>
      </w:r>
    </w:p>
    <w:p w14:paraId="64CDD17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）设置并公示食堂监督管理员，提供小份菜或半份菜。</w:t>
      </w:r>
    </w:p>
    <w:p w14:paraId="629EA6A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）餐厨垃圾减量资料数据真实、齐全。</w:t>
      </w:r>
    </w:p>
    <w:p w14:paraId="7EFBA9B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）配合落实食品浪费系数测量工作。</w:t>
      </w:r>
    </w:p>
    <w:p w14:paraId="3239DC9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）落实限塑令（使用可降解打包餐具）。</w:t>
      </w:r>
    </w:p>
    <w:p w14:paraId="0922E7F6">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4.就餐服务</w:t>
      </w:r>
    </w:p>
    <w:p w14:paraId="6892AAC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（1）窗口服务工作人员规范用语，态度热情，遇到问题耐心解释。</w:t>
      </w:r>
    </w:p>
    <w:p w14:paraId="7249D91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（2）遇到突发事件，积极做好引导和配合工作。</w:t>
      </w:r>
    </w:p>
    <w:p w14:paraId="055C9585">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（3）用餐特殊需求响应及时。</w:t>
      </w:r>
    </w:p>
    <w:p w14:paraId="6BF40E7B">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（四）安全管理</w:t>
      </w:r>
    </w:p>
    <w:p w14:paraId="313DBDD3">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eastAsia="zh-CN"/>
        </w:rPr>
        <w:t>消防</w:t>
      </w:r>
      <w:r>
        <w:rPr>
          <w:rFonts w:hint="eastAsia" w:ascii="宋体" w:hAnsi="宋体" w:eastAsia="宋体" w:cs="宋体"/>
          <w:b/>
          <w:bCs/>
          <w:sz w:val="21"/>
          <w:szCs w:val="21"/>
          <w:highlight w:val="none"/>
        </w:rPr>
        <w:t>安全</w:t>
      </w:r>
    </w:p>
    <w:p w14:paraId="770EF0E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（1）操作间必须有安全用电、用气、用设备操作规程。</w:t>
      </w:r>
    </w:p>
    <w:p w14:paraId="5603048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（2）操作间设专人主抓安全生产工作，建立日常检查台账。</w:t>
      </w:r>
    </w:p>
    <w:p w14:paraId="76714D31">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（3）严格执行班后关闭操作间电、气总阀，做好断电情况下的换气、通风等工作。</w:t>
      </w:r>
    </w:p>
    <w:p w14:paraId="27C2661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）因水电、气、设施设备使用不规范或其他自身问题引发的安全事故，按服务不合格对待，</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承担全部责任。</w:t>
      </w:r>
    </w:p>
    <w:p w14:paraId="359FC5B3">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2.食品安全及意外事故</w:t>
      </w:r>
    </w:p>
    <w:p w14:paraId="6E27DBE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就餐过程中因地面清理打扫不及时导致就餐者发生安全事故，按服务不合格对待，由此引发的一切责任由</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承担。</w:t>
      </w:r>
    </w:p>
    <w:p w14:paraId="1DB8640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）因原材料采购、运送、加工、供应等环节污染造成食物中毒，按服务不合格对待，</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承担一切后果，并依法追究责任。</w:t>
      </w:r>
    </w:p>
    <w:p w14:paraId="71ACB3E2">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eastAsia="zh-CN"/>
        </w:rPr>
        <w:t>五</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eastAsia="zh-CN"/>
        </w:rPr>
        <w:t>创新与投诉</w:t>
      </w:r>
    </w:p>
    <w:p w14:paraId="0A43D3EE">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1.有下列情况之一，扣减</w:t>
      </w:r>
      <w:r>
        <w:rPr>
          <w:rFonts w:hint="eastAsia" w:ascii="宋体" w:hAnsi="宋体" w:eastAsia="宋体" w:cs="宋体"/>
          <w:b/>
          <w:bCs/>
          <w:sz w:val="21"/>
          <w:szCs w:val="21"/>
          <w:highlight w:val="none"/>
          <w:lang w:eastAsia="zh-CN"/>
        </w:rPr>
        <w:t>合同费用</w:t>
      </w:r>
      <w:r>
        <w:rPr>
          <w:rFonts w:hint="eastAsia" w:ascii="宋体" w:hAnsi="宋体" w:eastAsia="宋体" w:cs="宋体"/>
          <w:b/>
          <w:bCs/>
          <w:sz w:val="21"/>
          <w:szCs w:val="21"/>
          <w:highlight w:val="none"/>
        </w:rPr>
        <w:t>。</w:t>
      </w:r>
    </w:p>
    <w:p w14:paraId="32463ED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（1）月底考核得分低于80分，每低1分，扣减500元。</w:t>
      </w:r>
    </w:p>
    <w:p w14:paraId="05D38FD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（2）满意度调查＜80%为不合格，扣减1000元。</w:t>
      </w:r>
    </w:p>
    <w:p w14:paraId="61D7E9C4">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（3）未经批准，擅自利用有形、无形资源从事商业宣传或对外保障及商业性行为的，视严重程度，扣减500—10000元。</w:t>
      </w:r>
    </w:p>
    <w:p w14:paraId="56345488">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（4）因管理不规范等受到有关行政管理部门处罚的，扣减500元。</w:t>
      </w:r>
    </w:p>
    <w:p w14:paraId="61CE1FA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（5）就餐单位或个人以书面形式对餐饮服务投诉，经确认无误的扣减100元。</w:t>
      </w:r>
    </w:p>
    <w:p w14:paraId="4EDAEBB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（6）服务人员未提供规范文明服务，与就餐人员发生争吵或其他影响恶劣行为的，扣减100元。</w:t>
      </w:r>
    </w:p>
    <w:p w14:paraId="45EDCFE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（7）考核组一致认为的乙方其他不当事项，视情扣减。</w:t>
      </w:r>
    </w:p>
    <w:p w14:paraId="39521A6F">
      <w:pPr>
        <w:keepNext w:val="0"/>
        <w:keepLines w:val="0"/>
        <w:pageBreakBefore w:val="0"/>
        <w:kinsoku/>
        <w:wordWrap/>
        <w:overflowPunct/>
        <w:topLinePunct w:val="0"/>
        <w:autoSpaceDE/>
        <w:autoSpaceDN/>
        <w:bidi w:val="0"/>
        <w:adjustRightInd/>
        <w:snapToGrid w:val="0"/>
        <w:spacing w:line="360" w:lineRule="auto"/>
        <w:ind w:left="0" w:leftChars="0" w:firstLine="449" w:firstLineChars="213"/>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eastAsia="宋体" w:cs="宋体"/>
          <w:b/>
          <w:bCs/>
          <w:sz w:val="21"/>
          <w:szCs w:val="21"/>
          <w:highlight w:val="none"/>
        </w:rPr>
        <w:t>临时任务完成情况</w:t>
      </w:r>
    </w:p>
    <w:p w14:paraId="4DA2AB2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b/>
          <w:bCs/>
          <w:sz w:val="21"/>
          <w:szCs w:val="21"/>
          <w:highlight w:val="none"/>
        </w:rPr>
      </w:pPr>
      <w:r>
        <w:rPr>
          <w:rFonts w:hint="eastAsia" w:ascii="宋体" w:hAnsi="宋体" w:eastAsia="宋体" w:cs="宋体"/>
          <w:sz w:val="21"/>
          <w:szCs w:val="21"/>
          <w:highlight w:val="none"/>
        </w:rPr>
        <w:t>配合积极、落实迅速；服从指导，组织周密；认领任务到位，服务保障效果显著。</w:t>
      </w:r>
    </w:p>
    <w:p w14:paraId="74FBA35D">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四、考核打分</w:t>
      </w:r>
    </w:p>
    <w:p w14:paraId="6BA0E2C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实行百分制考核，由五部分构成（年终按所占比例折算总分）。</w:t>
      </w:r>
    </w:p>
    <w:p w14:paraId="7F26E6AA">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1.月考核（</w:t>
      </w:r>
      <w:r>
        <w:rPr>
          <w:rFonts w:hint="eastAsia" w:ascii="宋体" w:hAnsi="宋体" w:eastAsia="宋体" w:cs="宋体"/>
          <w:sz w:val="21"/>
          <w:szCs w:val="21"/>
          <w:highlight w:val="none"/>
          <w:lang w:val="en-US" w:eastAsia="zh-CN"/>
        </w:rPr>
        <w:t>50</w:t>
      </w:r>
      <w:r>
        <w:rPr>
          <w:rFonts w:hint="eastAsia" w:ascii="宋体" w:hAnsi="宋体" w:eastAsia="宋体" w:cs="宋体"/>
          <w:sz w:val="21"/>
          <w:szCs w:val="21"/>
          <w:highlight w:val="none"/>
        </w:rPr>
        <w:t>%）：分管考核工作的同志，负责按月组织考核人员进行日常性考核检查。（详见附件</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区政府机关食堂月度考核评分表</w:t>
      </w:r>
      <w:r>
        <w:rPr>
          <w:rFonts w:hint="eastAsia" w:ascii="宋体" w:hAnsi="宋体" w:eastAsia="宋体" w:cs="宋体"/>
          <w:sz w:val="21"/>
          <w:szCs w:val="21"/>
          <w:highlight w:val="none"/>
        </w:rPr>
        <w:t>》）</w:t>
      </w:r>
    </w:p>
    <w:p w14:paraId="2D0030A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满意度测评（30%）：每季度进行一次满意度测评，测评结果由进行统计汇总。满意度在90%及以上的为优秀，按照满意度百分比的100%得分；85%—90%（含85%）的为良好，按照满意度百分比的90%得分；满意度在80%—85%（含80%）的为合格，按照满意度百分比的80%得分；满意度在80%以下的为不合格，不得分；低于60分，甲方有权利单方面解除合同。</w:t>
      </w:r>
    </w:p>
    <w:p w14:paraId="746B2E5E">
      <w:pPr>
        <w:keepNext w:val="0"/>
        <w:keepLines w:val="0"/>
        <w:pageBreakBefore w:val="0"/>
        <w:shd w:val="clear"/>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3.上级检查（</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%）：上级领导对餐厅工作进行随机检查。</w:t>
      </w:r>
    </w:p>
    <w:p w14:paraId="4E99CB3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.专项检查（</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%）：安全生产、</w:t>
      </w:r>
      <w:r>
        <w:rPr>
          <w:rFonts w:hint="eastAsia" w:ascii="宋体" w:hAnsi="宋体" w:eastAsia="宋体" w:cs="宋体"/>
          <w:sz w:val="21"/>
          <w:szCs w:val="21"/>
          <w:highlight w:val="none"/>
          <w:lang w:eastAsia="zh-CN"/>
        </w:rPr>
        <w:t>反食品</w:t>
      </w:r>
      <w:r>
        <w:rPr>
          <w:rFonts w:hint="eastAsia" w:ascii="宋体" w:hAnsi="宋体" w:eastAsia="宋体" w:cs="宋体"/>
          <w:sz w:val="21"/>
          <w:szCs w:val="21"/>
          <w:highlight w:val="none"/>
        </w:rPr>
        <w:t>浪费等日常专项检查。</w:t>
      </w:r>
    </w:p>
    <w:p w14:paraId="219FF223">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.年度综合考评得分＝12个月考核得分之和÷12×</w:t>
      </w:r>
      <w:r>
        <w:rPr>
          <w:rFonts w:hint="eastAsia" w:ascii="宋体" w:hAnsi="宋体" w:eastAsia="宋体" w:cs="宋体"/>
          <w:sz w:val="21"/>
          <w:szCs w:val="21"/>
          <w:highlight w:val="none"/>
          <w:lang w:val="en-US" w:eastAsia="zh-CN"/>
        </w:rPr>
        <w:t>50</w:t>
      </w:r>
      <w:r>
        <w:rPr>
          <w:rFonts w:hint="eastAsia" w:ascii="宋体" w:hAnsi="宋体" w:eastAsia="宋体" w:cs="宋体"/>
          <w:sz w:val="21"/>
          <w:szCs w:val="21"/>
          <w:highlight w:val="none"/>
        </w:rPr>
        <w:t>%＋满意度测评得分×30%+上级检查评分之和÷检查次数×</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%＋专项检查评分之和÷检查次数×</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%。（服务期不满一年的按实际服务月数计）</w:t>
      </w:r>
    </w:p>
    <w:p w14:paraId="4CF0EDA6">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五、</w:t>
      </w:r>
      <w:r>
        <w:rPr>
          <w:rFonts w:hint="eastAsia" w:ascii="宋体" w:hAnsi="宋体" w:eastAsia="宋体" w:cs="宋体"/>
          <w:sz w:val="21"/>
          <w:szCs w:val="21"/>
          <w:highlight w:val="none"/>
          <w:lang w:eastAsia="zh-CN"/>
        </w:rPr>
        <w:t>考核结果运用</w:t>
      </w:r>
    </w:p>
    <w:p w14:paraId="6BE5B9A6">
      <w:pPr>
        <w:keepNext w:val="0"/>
        <w:keepLines w:val="0"/>
        <w:pageBreakBefore w:val="0"/>
        <w:widowControl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1.优秀（90分以上）</w:t>
      </w:r>
    </w:p>
    <w:p w14:paraId="30B5EFD7">
      <w:pPr>
        <w:keepNext w:val="0"/>
        <w:keepLines w:val="0"/>
        <w:pageBreakBefore w:val="0"/>
        <w:widowControl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评定为“优秀”，按照合同约定，按月支付业务委托费。</w:t>
      </w:r>
    </w:p>
    <w:p w14:paraId="6503CFF2">
      <w:pPr>
        <w:keepNext w:val="0"/>
        <w:keepLines w:val="0"/>
        <w:pageBreakBefore w:val="0"/>
        <w:widowControl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2.良好（89-80分）：</w:t>
      </w:r>
    </w:p>
    <w:p w14:paraId="46D39F0C">
      <w:pPr>
        <w:keepNext w:val="0"/>
        <w:keepLines w:val="0"/>
        <w:pageBreakBefore w:val="0"/>
        <w:widowControl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评定为“良好”，要求食堂包厨方在甲方指定期限内对扣分项目进行整改，整改完成后，甲方组织相关人员进行复查，经复查，问题彻底解决后，甲方及时支付业务委托费。</w:t>
      </w:r>
    </w:p>
    <w:p w14:paraId="1F2E8B02">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一般（70-79分）：</w:t>
      </w:r>
    </w:p>
    <w:p w14:paraId="5DA1B8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评定为“一般”，对食堂负责人进行约谈，明确指出存在问题，并提出具体改进要求。每低一分，扣减合同费用500元。</w:t>
      </w:r>
    </w:p>
    <w:p w14:paraId="2B98AC5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 不合格（70分以下）：</w:t>
      </w:r>
    </w:p>
    <w:p w14:paraId="3248F270">
      <w:pPr>
        <w:keepNext w:val="0"/>
        <w:keepLines w:val="0"/>
        <w:pageBreakBefore w:val="0"/>
        <w:widowControl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评定为“不合格”，更换包厨团队，以确保食堂服务提升至满意水平。</w:t>
      </w:r>
    </w:p>
    <w:p w14:paraId="0D7F571B">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六、</w:t>
      </w:r>
      <w:r>
        <w:rPr>
          <w:rFonts w:hint="eastAsia" w:ascii="宋体" w:hAnsi="宋体" w:eastAsia="宋体" w:cs="宋体"/>
          <w:sz w:val="21"/>
          <w:szCs w:val="21"/>
          <w:highlight w:val="none"/>
        </w:rPr>
        <w:t>一票否决</w:t>
      </w:r>
    </w:p>
    <w:p w14:paraId="0694CD40">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因自身原因有下列情况的，实行一票否决，同时造成的全部损失由乙方负责。</w:t>
      </w:r>
    </w:p>
    <w:p w14:paraId="3DA4108E">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1.使用不洁、过期、变质的食品原材料。饭菜的色泽不正常，有杂物、异味等，饭菜中有夹生或变质食物</w:t>
      </w:r>
      <w:r>
        <w:rPr>
          <w:rFonts w:hint="eastAsia" w:ascii="宋体" w:hAnsi="宋体" w:eastAsia="宋体" w:cs="宋体"/>
          <w:sz w:val="21"/>
          <w:szCs w:val="21"/>
          <w:highlight w:val="none"/>
          <w:lang w:eastAsia="zh-CN"/>
        </w:rPr>
        <w:t>。</w:t>
      </w:r>
    </w:p>
    <w:p w14:paraId="589A691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2.因食堂承包者工作疏忽导致单位受到相关部门督导、整改通知等情况。</w:t>
      </w:r>
    </w:p>
    <w:p w14:paraId="69FCC36C">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3.因食堂工作人员原因导致食堂工作停摆。</w:t>
      </w:r>
    </w:p>
    <w:p w14:paraId="730FFE37">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4.因防疫工作不到位产生重大后果。</w:t>
      </w:r>
    </w:p>
    <w:p w14:paraId="300AC412">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5.提供餐饮服务时，出现5人及以上较大集体食品安全事故的。</w:t>
      </w:r>
    </w:p>
    <w:p w14:paraId="6723F48F">
      <w:pPr>
        <w:keepNext w:val="0"/>
        <w:keepLines w:val="0"/>
        <w:pageBreakBefore w:val="0"/>
        <w:kinsoku/>
        <w:wordWrap/>
        <w:overflowPunct/>
        <w:topLinePunct w:val="0"/>
        <w:autoSpaceDE/>
        <w:autoSpaceDN/>
        <w:bidi w:val="0"/>
        <w:adjustRightInd/>
        <w:snapToGrid w:val="0"/>
        <w:spacing w:line="360" w:lineRule="auto"/>
        <w:ind w:left="0" w:leftChars="0" w:firstLine="447" w:firstLineChars="2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6.因管理不善，发生严重盗窃、人身伤害、火灾、爆炸等安全事故或刑事治安事件的。</w:t>
      </w:r>
    </w:p>
    <w:p w14:paraId="2E0395D2">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br w:type="page"/>
      </w:r>
      <w:r>
        <w:rPr>
          <w:rFonts w:hint="eastAsia" w:ascii="宋体" w:hAnsi="宋体" w:eastAsia="宋体" w:cs="宋体"/>
          <w:sz w:val="21"/>
          <w:szCs w:val="21"/>
          <w:highlight w:val="none"/>
          <w:lang w:eastAsia="zh-CN"/>
        </w:rPr>
        <w:t>附件</w:t>
      </w:r>
      <w:r>
        <w:rPr>
          <w:rFonts w:hint="eastAsia" w:ascii="宋体" w:hAnsi="宋体" w:eastAsia="宋体" w:cs="宋体"/>
          <w:sz w:val="21"/>
          <w:szCs w:val="21"/>
          <w:highlight w:val="none"/>
          <w:lang w:val="en-US" w:eastAsia="zh-CN"/>
        </w:rPr>
        <w:t>2</w:t>
      </w:r>
    </w:p>
    <w:tbl>
      <w:tblPr>
        <w:tblStyle w:val="4"/>
        <w:tblW w:w="943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0"/>
        <w:gridCol w:w="1060"/>
        <w:gridCol w:w="2340"/>
        <w:gridCol w:w="795"/>
        <w:gridCol w:w="2235"/>
        <w:gridCol w:w="660"/>
        <w:gridCol w:w="1170"/>
        <w:gridCol w:w="605"/>
      </w:tblGrid>
      <w:tr w14:paraId="2F36D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9435" w:type="dxa"/>
            <w:gridSpan w:val="8"/>
            <w:tcBorders>
              <w:top w:val="nil"/>
              <w:left w:val="nil"/>
              <w:bottom w:val="nil"/>
              <w:right w:val="nil"/>
            </w:tcBorders>
            <w:shd w:val="clear" w:color="auto" w:fill="auto"/>
            <w:noWrap/>
            <w:vAlign w:val="center"/>
          </w:tcPr>
          <w:p w14:paraId="10C65BEA">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区政府机关食堂月度考核评分表</w:t>
            </w:r>
          </w:p>
        </w:tc>
      </w:tr>
      <w:tr w14:paraId="7FAF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30" w:type="dxa"/>
            <w:gridSpan w:val="2"/>
            <w:tcBorders>
              <w:top w:val="nil"/>
              <w:left w:val="nil"/>
              <w:bottom w:val="nil"/>
              <w:right w:val="nil"/>
            </w:tcBorders>
            <w:shd w:val="clear" w:color="auto" w:fill="auto"/>
            <w:noWrap/>
            <w:vAlign w:val="center"/>
          </w:tcPr>
          <w:p w14:paraId="0DBD39F4">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考核时间：</w:t>
            </w:r>
          </w:p>
        </w:tc>
        <w:tc>
          <w:tcPr>
            <w:tcW w:w="2340" w:type="dxa"/>
            <w:tcBorders>
              <w:top w:val="nil"/>
              <w:left w:val="nil"/>
              <w:bottom w:val="nil"/>
              <w:right w:val="nil"/>
            </w:tcBorders>
            <w:shd w:val="clear" w:color="auto" w:fill="auto"/>
            <w:noWrap/>
            <w:vAlign w:val="center"/>
          </w:tcPr>
          <w:p w14:paraId="555B2E52">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3030" w:type="dxa"/>
            <w:gridSpan w:val="2"/>
            <w:tcBorders>
              <w:top w:val="nil"/>
              <w:left w:val="nil"/>
              <w:bottom w:val="nil"/>
              <w:right w:val="nil"/>
            </w:tcBorders>
            <w:shd w:val="clear" w:color="auto" w:fill="auto"/>
            <w:noWrap/>
            <w:vAlign w:val="center"/>
          </w:tcPr>
          <w:p w14:paraId="3FE56EF6">
            <w:pPr>
              <w:keepNext w:val="0"/>
              <w:keepLines w:val="0"/>
              <w:pageBreakBefore w:val="0"/>
              <w:widowControl/>
              <w:kinsoku/>
              <w:wordWrap/>
              <w:overflowPunct/>
              <w:topLinePunct w:val="0"/>
              <w:bidi w:val="0"/>
              <w:adjustRightInd/>
              <w:snapToGrid w:val="0"/>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被考核食堂：</w:t>
            </w:r>
          </w:p>
        </w:tc>
        <w:tc>
          <w:tcPr>
            <w:tcW w:w="660" w:type="dxa"/>
            <w:tcBorders>
              <w:top w:val="nil"/>
              <w:left w:val="nil"/>
              <w:bottom w:val="nil"/>
              <w:right w:val="nil"/>
            </w:tcBorders>
            <w:shd w:val="clear" w:color="auto" w:fill="auto"/>
            <w:noWrap/>
            <w:vAlign w:val="center"/>
          </w:tcPr>
          <w:p w14:paraId="6C0FCC4E">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nil"/>
              <w:left w:val="nil"/>
              <w:bottom w:val="nil"/>
              <w:right w:val="nil"/>
            </w:tcBorders>
            <w:shd w:val="clear" w:color="auto" w:fill="auto"/>
            <w:noWrap/>
            <w:vAlign w:val="center"/>
          </w:tcPr>
          <w:p w14:paraId="4F6D2372">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考核月份：</w:t>
            </w:r>
          </w:p>
        </w:tc>
        <w:tc>
          <w:tcPr>
            <w:tcW w:w="605" w:type="dxa"/>
            <w:tcBorders>
              <w:top w:val="nil"/>
              <w:left w:val="nil"/>
              <w:bottom w:val="nil"/>
              <w:right w:val="nil"/>
            </w:tcBorders>
            <w:shd w:val="clear" w:color="auto" w:fill="auto"/>
            <w:noWrap/>
            <w:vAlign w:val="center"/>
          </w:tcPr>
          <w:p w14:paraId="75F91535">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r>
      <w:tr w14:paraId="2C1BB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30" w:type="dxa"/>
            <w:gridSpan w:val="2"/>
            <w:tcBorders>
              <w:top w:val="nil"/>
              <w:left w:val="nil"/>
              <w:bottom w:val="nil"/>
              <w:right w:val="nil"/>
            </w:tcBorders>
            <w:shd w:val="clear" w:color="auto" w:fill="auto"/>
            <w:noWrap/>
            <w:vAlign w:val="center"/>
          </w:tcPr>
          <w:p w14:paraId="75E57D39">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考核人员：</w:t>
            </w:r>
          </w:p>
        </w:tc>
        <w:tc>
          <w:tcPr>
            <w:tcW w:w="2340" w:type="dxa"/>
            <w:tcBorders>
              <w:top w:val="nil"/>
              <w:left w:val="nil"/>
              <w:bottom w:val="nil"/>
              <w:right w:val="nil"/>
            </w:tcBorders>
            <w:shd w:val="clear" w:color="auto" w:fill="auto"/>
            <w:noWrap/>
            <w:vAlign w:val="center"/>
          </w:tcPr>
          <w:p w14:paraId="2D9C7D70">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3030" w:type="dxa"/>
            <w:gridSpan w:val="2"/>
            <w:tcBorders>
              <w:top w:val="nil"/>
              <w:left w:val="nil"/>
              <w:bottom w:val="nil"/>
              <w:right w:val="nil"/>
            </w:tcBorders>
            <w:shd w:val="clear" w:color="auto" w:fill="auto"/>
            <w:noWrap/>
            <w:vAlign w:val="center"/>
          </w:tcPr>
          <w:p w14:paraId="1997F339">
            <w:pPr>
              <w:keepNext w:val="0"/>
              <w:keepLines w:val="0"/>
              <w:pageBreakBefore w:val="0"/>
              <w:widowControl/>
              <w:kinsoku/>
              <w:wordWrap/>
              <w:overflowPunct/>
              <w:topLinePunct w:val="0"/>
              <w:bidi w:val="0"/>
              <w:adjustRightInd/>
              <w:snapToGrid w:val="0"/>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食堂负责人：</w:t>
            </w:r>
          </w:p>
        </w:tc>
        <w:tc>
          <w:tcPr>
            <w:tcW w:w="660" w:type="dxa"/>
            <w:tcBorders>
              <w:top w:val="nil"/>
              <w:left w:val="nil"/>
              <w:bottom w:val="nil"/>
              <w:right w:val="nil"/>
            </w:tcBorders>
            <w:shd w:val="clear" w:color="auto" w:fill="auto"/>
            <w:noWrap/>
            <w:vAlign w:val="center"/>
          </w:tcPr>
          <w:p w14:paraId="6F33578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nil"/>
              <w:left w:val="nil"/>
              <w:bottom w:val="nil"/>
              <w:right w:val="nil"/>
            </w:tcBorders>
            <w:shd w:val="clear" w:color="auto" w:fill="auto"/>
            <w:noWrap/>
            <w:vAlign w:val="center"/>
          </w:tcPr>
          <w:p w14:paraId="19D4C253">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考核得分：</w:t>
            </w:r>
          </w:p>
        </w:tc>
        <w:tc>
          <w:tcPr>
            <w:tcW w:w="605" w:type="dxa"/>
            <w:tcBorders>
              <w:top w:val="nil"/>
              <w:left w:val="nil"/>
              <w:bottom w:val="nil"/>
              <w:right w:val="nil"/>
            </w:tcBorders>
            <w:shd w:val="clear" w:color="auto" w:fill="auto"/>
            <w:noWrap/>
            <w:vAlign w:val="center"/>
          </w:tcPr>
          <w:p w14:paraId="208283C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284AA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A32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354A">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考核项目</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BC7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考核内容</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144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F95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评分标准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94ED">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考核得分</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3CFB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扣分原因</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97A6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16F11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A49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0CE1276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人员岗位</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B8A9">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从业人员持有效健康证上岗；落实每年体检</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4132">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8E7C">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每发现1人无证扣0.5分，扣完为止</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BED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1E82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74F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3E141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D872">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060" w:type="dxa"/>
            <w:vMerge w:val="continue"/>
            <w:tcBorders>
              <w:left w:val="single" w:color="000000" w:sz="4" w:space="0"/>
              <w:right w:val="single" w:color="000000" w:sz="4" w:space="0"/>
            </w:tcBorders>
            <w:shd w:val="clear" w:color="auto" w:fill="auto"/>
            <w:vAlign w:val="center"/>
          </w:tcPr>
          <w:p w14:paraId="7BDC6C7B">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CB4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岗位分工明确，按时晨检例会（查看记录）</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797FB">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0C824">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分工混乱扣1分；无晨检例会记录扣1分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85A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989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EDED">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3D5DD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F4261">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5D1766E4">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552DB">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着装规范（工作服、口罩、帽）</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D3C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C827">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每发现1人不规范扣0.5分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BFC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77B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25B2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64176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9AFE">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1711CF2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制度规范</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C609">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岗位制度、食品安全、消防安全等制度上墙</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37D5">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1536">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缺1项制度扣0.5分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7BCB">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4FA4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A8C21">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22A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AB33">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16307DA5">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F3F5">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应急预案完善并每季度演练（查看记录）</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EBBD">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30B2">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无预案扣1分；未演练扣1分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BBCD">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62A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FB3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336C3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4698">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249C1721">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资料管理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B1D5">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供货商资质、检验报告存档完整</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A89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C3A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缺1份资料扣0.5分；未查验供应商资质/检疫证明扣1分/项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2E1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BE76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F250">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6C6BB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E20D">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7874B8FE">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FA3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各类台账记录</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107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8E59">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缺消毒/留样台账/反食品浪费/垃圾分类（甲方要求的各项资料）等台账记录扣1分/项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07E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47F4">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2EF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1975E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F9E9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90F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餐厅系统管理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EAA1">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智联机关食堂系统、消费机管理使用规范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7D8B">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E692">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甲方要求的各项系统操作未及时处理扣1分；数据误差扣1分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64C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DE091">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7C2B0">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36E88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6B70">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271C818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食品加工储存</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FE5F">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生熟/荤素分区操作，原料分类存放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105E8">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288C2">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未离地离墙/生熟（食材、刀具、砧板）混放/冷藏温度不达标扣1分/项；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BCA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588B">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BC694">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0BDEE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CD98">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060" w:type="dxa"/>
            <w:vMerge w:val="continue"/>
            <w:tcBorders>
              <w:left w:val="single" w:color="000000" w:sz="4" w:space="0"/>
              <w:right w:val="single" w:color="000000" w:sz="4" w:space="0"/>
            </w:tcBorders>
            <w:shd w:val="clear" w:color="auto" w:fill="auto"/>
            <w:vAlign w:val="center"/>
          </w:tcPr>
          <w:p w14:paraId="639FBD0A">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B8D0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严格落实食品安全卫生标准、食品加工规定，不加工不符合卫生标准的食材，无违禁行为</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DDE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9926">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抽查1次有违禁行为扣5分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696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D48D">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972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DF23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1623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1EFEBED7">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10C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食材采购索证索票；无过期、变质食品</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0BDA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53C3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未索证索票扣2分；发现1件过期食品扣3分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D73D">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C98F6">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FC6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83AE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50CD">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7BFA">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留样管理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0AF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每餐留样≥125g，保存48小时；标签、信息、标识齐全醒目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B131">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9D9F">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未留样扣3分；量不足/时间不足扣1分；信息不全/缺标签扣1分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925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E1A4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5490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0F7AE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25F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05C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消毒管理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E39A">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餐具消毒达标（温度≥120℃或消毒液浓度合格）</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228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92E9">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抽查不合格1次扣2分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B9CB">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B4C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69C0">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59351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9"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2910">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32B05FF4">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卫生环境</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83BF">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操作间无油污、积水，三防措施到位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6CF1">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5DBB">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脏乱差扣3分；发现虫鼠痕迹扣2分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A72D">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6381">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941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0FF4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194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65C33FFA">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8E2F">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餐厅卫生整洁舒适</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5F61">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AD7E">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餐桌残渣/地面垃圾/通风不良扣1分/项</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106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F06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59F4A">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64DE0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D505">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E1E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垃圾分类</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AECDD">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严格落实《西安市垃圾分类标准》，垃圾分类合规（厨余/其他/可回收）</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A120">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17BC">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混投1次扣1分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3AE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697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407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05C72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115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6911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设施设备维护</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2014">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灶具、冰箱等设备运行正常，维保记录完整</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014B">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1210">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设备故障未修复扣2分；记录缺失扣1分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C71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8166">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ED6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664C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4868">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7C356D2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供餐质量</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E1458">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菜品温度达标（热菜≥60℃）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413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7F37">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抽查1次不达标扣1分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E58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9250">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979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0C1B2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A479E">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1060" w:type="dxa"/>
            <w:vMerge w:val="continue"/>
            <w:tcBorders>
              <w:left w:val="single" w:color="000000" w:sz="4" w:space="0"/>
              <w:right w:val="single" w:color="000000" w:sz="4" w:space="0"/>
            </w:tcBorders>
            <w:shd w:val="clear" w:color="auto" w:fill="auto"/>
            <w:vAlign w:val="center"/>
          </w:tcPr>
          <w:p w14:paraId="426862B0">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09F5">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无重大投诉（如异物、变质）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065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CE91">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发生1次有效投诉扣3分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1BB4">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9033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A14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6771F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14FA">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76F4849B">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1B5A">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续菜及时、无缺菜；餐具短缺及时补充、筷子三个月更换一次；餐桌用品配备到位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1D1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B25A6">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抽查缺1次不达标扣1分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4D14">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B62D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01CCB">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569F4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059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21</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526ABA8E">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营养设计</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522A">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每周食谱提前公示，荤素搭配合理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6BF4">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01E1">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未公示扣2分；连续3日重复主菜扣1分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8598">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7C38">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90F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1E514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9FF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22</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3A73C7E1">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4588D">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餐牌及时准确更换</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70A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6D85">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餐牌错误/未及时更换发现1次扣3分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06B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BD7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9D1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4DAD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23A52">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23</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206E3402">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反食品浪费</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B7616">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反食品宣传，落实甲方反食品浪费工作要求，设置监督员，按要求做好浪费系数测量。</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8760">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3766">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无监督员扣1分；餐余量每超1%扣0.5分；未落实甲方工作要求扣1分。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81B0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8F7B">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C65A">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65A2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6085">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24</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1BA203EB">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1B4A7">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落实限塑令（使用可降解打包餐具）</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FF92">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D620">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违规1次扣1分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939C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330E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7CA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39316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8DD6">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EFA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就餐服务</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1621">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窗口服务态度良好，特殊需求响应及时</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8ADF">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ED6F">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态度差扣2分；未响应需求扣1分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62BBC">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27D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8C40">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0AE51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0D5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26</w:t>
            </w:r>
          </w:p>
        </w:tc>
        <w:tc>
          <w:tcPr>
            <w:tcW w:w="1060" w:type="dxa"/>
            <w:vMerge w:val="restart"/>
            <w:tcBorders>
              <w:top w:val="single" w:color="000000" w:sz="4" w:space="0"/>
              <w:left w:val="single" w:color="000000" w:sz="4" w:space="0"/>
              <w:right w:val="single" w:color="000000" w:sz="4" w:space="0"/>
            </w:tcBorders>
            <w:shd w:val="clear" w:color="auto" w:fill="auto"/>
            <w:vAlign w:val="center"/>
          </w:tcPr>
          <w:p w14:paraId="22B1C22B">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消防安全</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8535">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灭火器、灭火毯、烟感器有效且健全完好，消防通道畅通</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A8FD">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90B9">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设备过期失效扣2分；通道堵塞扣1分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5FA6A">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351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018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1D941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A543">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27</w:t>
            </w:r>
          </w:p>
        </w:tc>
        <w:tc>
          <w:tcPr>
            <w:tcW w:w="1060" w:type="dxa"/>
            <w:vMerge w:val="continue"/>
            <w:tcBorders>
              <w:left w:val="single" w:color="000000" w:sz="4" w:space="0"/>
              <w:bottom w:val="single" w:color="000000" w:sz="4" w:space="0"/>
              <w:right w:val="single" w:color="000000" w:sz="4" w:space="0"/>
            </w:tcBorders>
            <w:shd w:val="clear" w:color="auto" w:fill="auto"/>
            <w:vAlign w:val="center"/>
          </w:tcPr>
          <w:p w14:paraId="07F96897">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9E7E">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水电运行安全、燃气安全无泄漏，定期检查记录</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82F5">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D110">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发现1次隐患扣3分；记录缺失扣1分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3A0A">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178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BAB7">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65BCF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E67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28</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4F44">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食品安全事故</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ACB3">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当月无食品安全事故</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1CCE">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6700">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发生事故本项0分且一票否决</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73AE">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4E40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4DC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27F69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AF77">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CD2C">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创新改进</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2D6D">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推出新菜品、服务优化，临时任务完成情况等。</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722D">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4775D">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每项创新加1分，临时任务落实迅速效果显著加1分。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271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6B77A">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153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401EC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2435">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0A65B">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投诉与表扬</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E8FC6">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合理投诉未处理/收到表扬信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59D2B">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D4E05">
            <w:pPr>
              <w:keepNext w:val="0"/>
              <w:keepLines w:val="0"/>
              <w:pageBreakBefore w:val="0"/>
              <w:widowControl/>
              <w:suppressLineNumbers w:val="0"/>
              <w:kinsoku/>
              <w:wordWrap/>
              <w:overflowPunct/>
              <w:topLinePunct w:val="0"/>
              <w:bidi w:val="0"/>
              <w:adjustRightInd/>
              <w:snapToGrid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未处理投诉扣2分；表扬加2分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CD9F">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87B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C4C3">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r w14:paraId="1C78A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B049">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总计</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72D0">
            <w:pPr>
              <w:keepNext w:val="0"/>
              <w:keepLines w:val="0"/>
              <w:pageBreakBefore w:val="0"/>
              <w:widowControl/>
              <w:kinsoku/>
              <w:wordWrap/>
              <w:overflowPunct/>
              <w:topLinePunct w:val="0"/>
              <w:bidi w:val="0"/>
              <w:adjustRightInd/>
              <w:snapToGrid w:val="0"/>
              <w:jc w:val="center"/>
              <w:rPr>
                <w:rFonts w:hint="eastAsia" w:ascii="宋体" w:hAnsi="宋体" w:eastAsia="宋体" w:cs="宋体"/>
                <w:i w:val="0"/>
                <w:iCs w:val="0"/>
                <w:color w:val="000000"/>
                <w:sz w:val="21"/>
                <w:szCs w:val="21"/>
                <w:highlight w:val="none"/>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C642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DF60">
            <w:pPr>
              <w:keepNext w:val="0"/>
              <w:keepLines w:val="0"/>
              <w:pageBreakBefore w:val="0"/>
              <w:widowControl/>
              <w:suppressLineNumbers w:val="0"/>
              <w:kinsoku/>
              <w:wordWrap/>
              <w:overflowPunct/>
              <w:topLinePunct w:val="0"/>
              <w:bidi w:val="0"/>
              <w:adjustRightInd/>
              <w:snapToGrid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100</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706A">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83F85">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268B2">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A0D99">
            <w:pPr>
              <w:keepNext w:val="0"/>
              <w:keepLines w:val="0"/>
              <w:pageBreakBefore w:val="0"/>
              <w:widowControl/>
              <w:kinsoku/>
              <w:wordWrap/>
              <w:overflowPunct/>
              <w:topLinePunct w:val="0"/>
              <w:bidi w:val="0"/>
              <w:adjustRightInd/>
              <w:snapToGrid w:val="0"/>
              <w:rPr>
                <w:rFonts w:hint="eastAsia" w:ascii="宋体" w:hAnsi="宋体" w:eastAsia="宋体" w:cs="宋体"/>
                <w:i w:val="0"/>
                <w:iCs w:val="0"/>
                <w:color w:val="000000"/>
                <w:sz w:val="21"/>
                <w:szCs w:val="21"/>
                <w:highlight w:val="none"/>
                <w:u w:val="none"/>
              </w:rPr>
            </w:pPr>
          </w:p>
        </w:tc>
      </w:tr>
    </w:tbl>
    <w:p w14:paraId="2CFDEF61">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FB616">
    <w:pPr>
      <w:tabs>
        <w:tab w:val="left" w:pos="4223"/>
      </w:tabs>
      <w:spacing w:line="209" w:lineRule="auto"/>
      <w:ind w:left="4183"/>
      <w:rPr>
        <w:rFonts w:hint="eastAsia" w:ascii="宋体" w:hAnsi="宋体" w:eastAsia="宋体" w:cs="宋体"/>
        <w:sz w:val="18"/>
        <w:szCs w:val="18"/>
        <w:lang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F3205"/>
    <w:multiLevelType w:val="singleLevel"/>
    <w:tmpl w:val="57FF3205"/>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575B9"/>
    <w:rsid w:val="52B57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link w:val="8"/>
    <w:unhideWhenUsed/>
    <w:qFormat/>
    <w:uiPriority w:val="0"/>
    <w:pPr>
      <w:keepNext/>
      <w:keepLines/>
      <w:spacing w:before="260" w:after="260" w:line="416" w:lineRule="auto"/>
      <w:outlineLvl w:val="1"/>
    </w:pPr>
    <w:rPr>
      <w:rFonts w:ascii="Cambria" w:hAnsi="Cambria"/>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customStyle="1" w:styleId="6">
    <w:name w:val="Body text|3"/>
    <w:basedOn w:val="1"/>
    <w:qFormat/>
    <w:uiPriority w:val="0"/>
    <w:pPr>
      <w:spacing w:line="409" w:lineRule="exact"/>
      <w:ind w:firstLine="560"/>
    </w:pPr>
    <w:rPr>
      <w:rFonts w:hAnsi="宋体" w:cs="宋体"/>
      <w:sz w:val="28"/>
      <w:szCs w:val="28"/>
      <w:lang w:val="zh-TW" w:eastAsia="zh-TW" w:bidi="zh-TW"/>
    </w:rPr>
  </w:style>
  <w:style w:type="table" w:customStyle="1" w:styleId="7">
    <w:name w:val="Table Normal"/>
    <w:semiHidden/>
    <w:unhideWhenUsed/>
    <w:qFormat/>
    <w:uiPriority w:val="0"/>
    <w:pPr>
      <w:spacing w:after="160" w:line="278" w:lineRule="auto"/>
    </w:pPr>
    <w:rPr>
      <w:rFonts w:ascii="Calibri" w:hAnsi="Calibri"/>
    </w:rPr>
    <w:tblPr>
      <w:tblCellMar>
        <w:top w:w="0" w:type="dxa"/>
        <w:left w:w="0" w:type="dxa"/>
        <w:bottom w:w="0" w:type="dxa"/>
        <w:right w:w="0" w:type="dxa"/>
      </w:tblCellMar>
    </w:tblPr>
  </w:style>
  <w:style w:type="character" w:customStyle="1" w:styleId="8">
    <w:name w:val="标题 2 字符"/>
    <w:link w:val="2"/>
    <w:qFormat/>
    <w:uiPriority w:val="0"/>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2026-04-13T06:34:00Z</dcterms:created>
  <dc:creator>ZBB</dc:creator>
  <cp:lastModifiedBy>ZBB</cp:lastModifiedBy>
  <dcterms:modified xsi:type="dcterms:W3CDTF">2026-04-13T06:34:29Z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352146E2D6C64C4FA3BFF3941FD30A17_11</vt:lpwstr>
  </property>
  <property fmtid="{D5CDD505-2E9C-101B-9397-08002B2CF9AE}" pid="4" name="KSOTemplateDocerSaveRecord">
    <vt:lpwstr>eyJoZGlkIjoiYjExNjczMGQzYjg0NzAxYTU5ODk5MzgxMjI0NDZmZmMiLCJ1c2VySWQiOiIyNjQ2NDU1NDQifQ==</vt:lpwstr>
  </property>
</Properties>
</file>