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版本号：ZZTZB-2026040120260423001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2026年新城区食品安全抽验检验服务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ZZTZB-20260401</w:t>
      </w:r>
      <w:r>
        <w:br/>
      </w:r>
      <w:r>
        <w:br/>
      </w:r>
      <w:r>
        <w:br/>
      </w:r>
    </w:p>
    <w:p>
      <w:pPr>
        <w:pStyle w:val="null3"/>
        <w:jc w:val="center"/>
        <w:outlineLvl w:val="2"/>
      </w:pPr>
      <w:r>
        <w:rPr>
          <w:rFonts w:ascii="仿宋_GB2312" w:hAnsi="仿宋_GB2312" w:cs="仿宋_GB2312" w:eastAsia="仿宋_GB2312"/>
          <w:sz w:val="28"/>
          <w:b/>
        </w:rPr>
        <w:t>西安市新城区市场监督管理局</w:t>
      </w:r>
    </w:p>
    <w:p>
      <w:pPr>
        <w:pStyle w:val="null3"/>
        <w:jc w:val="center"/>
        <w:outlineLvl w:val="2"/>
      </w:pPr>
      <w:r>
        <w:rPr>
          <w:rFonts w:ascii="仿宋_GB2312" w:hAnsi="仿宋_GB2312" w:cs="仿宋_GB2312" w:eastAsia="仿宋_GB2312"/>
          <w:sz w:val="28"/>
          <w:b/>
        </w:rPr>
        <w:t>中智投工程管理有限公司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中智投工程管理有限公司</w:t>
      </w:r>
      <w:r>
        <w:rPr>
          <w:rFonts w:ascii="仿宋_GB2312" w:hAnsi="仿宋_GB2312" w:cs="仿宋_GB2312" w:eastAsia="仿宋_GB2312"/>
        </w:rPr>
        <w:t>（以下简称“代理机构”）受</w:t>
      </w:r>
      <w:r>
        <w:rPr>
          <w:rFonts w:ascii="仿宋_GB2312" w:hAnsi="仿宋_GB2312" w:cs="仿宋_GB2312" w:eastAsia="仿宋_GB2312"/>
        </w:rPr>
        <w:t>西安市新城区市场监督管理局</w:t>
      </w:r>
      <w:r>
        <w:rPr>
          <w:rFonts w:ascii="仿宋_GB2312" w:hAnsi="仿宋_GB2312" w:cs="仿宋_GB2312" w:eastAsia="仿宋_GB2312"/>
        </w:rPr>
        <w:t>委托，拟对</w:t>
      </w:r>
      <w:r>
        <w:rPr>
          <w:rFonts w:ascii="仿宋_GB2312" w:hAnsi="仿宋_GB2312" w:cs="仿宋_GB2312" w:eastAsia="仿宋_GB2312"/>
        </w:rPr>
        <w:t>2026年新城区食品安全抽验检验服务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ZZTZB-20260401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2026年新城区食品安全抽验检验服务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做好2026年新城区食品安全监督抽检工作，需以竞争性磋商的采购方式确定2家符合条件的检验机构，负责承担新城区9个街办辖区（共11个市场监管所）内2026年的食品安全监督抽检工作，涵盖38个食品大类，共2510批次食品抽检任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采购包1（采购包1(1180批次)）：属于专门面向中小企业采购。</w:t>
      </w:r>
    </w:p>
    <w:p>
      <w:pPr>
        <w:pStyle w:val="null3"/>
      </w:pPr>
      <w:r>
        <w:rPr>
          <w:rFonts w:ascii="仿宋_GB2312" w:hAnsi="仿宋_GB2312" w:cs="仿宋_GB2312" w:eastAsia="仿宋_GB2312"/>
        </w:rPr>
        <w:t>采购包2（采购包2(1330批次)）：属于专门面向中小企业采购。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1、主体资格证明文件：具有独立承担民事责任能力的法人或其他组织，提供有效存续的营业执照或事业单位法人证书或非企业专业服务机构执业许可证或民办非企业单位登记证书或自然人的身份证明；</w:t>
      </w:r>
    </w:p>
    <w:p>
      <w:pPr>
        <w:pStyle w:val="null3"/>
      </w:pPr>
      <w:r>
        <w:rPr>
          <w:rFonts w:ascii="仿宋_GB2312" w:hAnsi="仿宋_GB2312" w:cs="仿宋_GB2312" w:eastAsia="仿宋_GB2312"/>
        </w:rPr>
        <w:t>2、法定代表人授权书：法定代表人授权书（附法定代表人身份证复印件）及被授权人身份证复印件（法定代表人直接参加投标只需提供法定代表人身份证明及法定代表人身份证复印件）。自然人只需提供身份证；备注：分支机构由分支机构负责人授权即可；</w:t>
      </w:r>
    </w:p>
    <w:p>
      <w:pPr>
        <w:pStyle w:val="null3"/>
      </w:pPr>
      <w:r>
        <w:rPr>
          <w:rFonts w:ascii="仿宋_GB2312" w:hAnsi="仿宋_GB2312" w:cs="仿宋_GB2312" w:eastAsia="仿宋_GB2312"/>
        </w:rPr>
        <w:t>3、财务状况报告：提供经审计的2024年或2025年财务报告，包括“四表一注”（即资产负债表、利润表、现金流量表、所有者权益变动表（没有可不提供）及其附注，成立时间至提交响应文件截止时间不足一年的可提供成立后任意时段的资产负债表）或在开标日期前六个月内其开户银行出具的资信证明，以上两种形式的资料提供任何一种即可（分支机构如无法提供财务审计报告，须出具包含分支机构的财务数据的总公司财务审计报告）；事业单位零余额账户提供相应证明；</w:t>
      </w:r>
    </w:p>
    <w:p>
      <w:pPr>
        <w:pStyle w:val="null3"/>
      </w:pPr>
      <w:r>
        <w:rPr>
          <w:rFonts w:ascii="仿宋_GB2312" w:hAnsi="仿宋_GB2312" w:cs="仿宋_GB2312" w:eastAsia="仿宋_GB2312"/>
        </w:rPr>
        <w:t>4、税收缴纳证明：提供已缴纳的2025年4月至今任意一个月的纳税证明或完税证明，纳税证明或完税证明上应有代收机构或税务机关的公章或业务专用章。依法免税的供应商应提供相关文件证明；</w:t>
      </w:r>
    </w:p>
    <w:p>
      <w:pPr>
        <w:pStyle w:val="null3"/>
      </w:pPr>
      <w:r>
        <w:rPr>
          <w:rFonts w:ascii="仿宋_GB2312" w:hAnsi="仿宋_GB2312" w:cs="仿宋_GB2312" w:eastAsia="仿宋_GB2312"/>
        </w:rPr>
        <w:t>5、社会保障资金缴纳证明：提供已缴存的2025年4月至今任意一个月的社会保障资金缴存单据或社保机构开具的社会保险参保缴费情况证明，单据或证明上应有社保机构或代收机构的公章或业务专用章。依法不需要缴纳社会保障资金的供应商应提供相关文件证明；</w:t>
      </w:r>
    </w:p>
    <w:p>
      <w:pPr>
        <w:pStyle w:val="null3"/>
      </w:pPr>
      <w:r>
        <w:rPr>
          <w:rFonts w:ascii="仿宋_GB2312" w:hAnsi="仿宋_GB2312" w:cs="仿宋_GB2312" w:eastAsia="仿宋_GB2312"/>
        </w:rPr>
        <w:t>6、具有履行合同所必需的设备和专业技术能力的承诺：供应商须提供具有履行合同所必需的设备和专业技术能力的承诺；</w:t>
      </w:r>
    </w:p>
    <w:p>
      <w:pPr>
        <w:pStyle w:val="null3"/>
      </w:pPr>
      <w:r>
        <w:rPr>
          <w:rFonts w:ascii="仿宋_GB2312" w:hAnsi="仿宋_GB2312" w:cs="仿宋_GB2312" w:eastAsia="仿宋_GB2312"/>
        </w:rPr>
        <w:t>7、三年内无重大违记录声明：出具参加本次政府采购活动前三年内在经营活动中没有重大违法记录的书面声明；</w:t>
      </w:r>
    </w:p>
    <w:p>
      <w:pPr>
        <w:pStyle w:val="null3"/>
      </w:pPr>
      <w:r>
        <w:rPr>
          <w:rFonts w:ascii="仿宋_GB2312" w:hAnsi="仿宋_GB2312" w:cs="仿宋_GB2312" w:eastAsia="仿宋_GB2312"/>
        </w:rPr>
        <w:t>8、信誉要求：供应商在递交响应文件截止时间前被“信用中国”网站列入失信被执行人或税收违法黑名单的，或在中国政府采购网（www.ccgp.gov.cn）列入政府采购严重违法失信行为记录名单的，不得参加投标；</w:t>
      </w:r>
    </w:p>
    <w:p>
      <w:pPr>
        <w:pStyle w:val="null3"/>
      </w:pPr>
      <w:r>
        <w:rPr>
          <w:rFonts w:ascii="仿宋_GB2312" w:hAnsi="仿宋_GB2312" w:cs="仿宋_GB2312" w:eastAsia="仿宋_GB2312"/>
        </w:rPr>
        <w:t>9、具有检验检测机构资质认定证书CMA（证书附表要包含食品）、农产品质量安全检测机构考核合格证书（CATL）：具有检验检测机构资质认定证书CMA（证书附表要包含食品）、农产品质量安全检测机构考核合格证书（CATL）；</w:t>
      </w:r>
    </w:p>
    <w:p>
      <w:pPr>
        <w:pStyle w:val="null3"/>
      </w:pPr>
      <w:r>
        <w:rPr>
          <w:rFonts w:ascii="仿宋_GB2312" w:hAnsi="仿宋_GB2312" w:cs="仿宋_GB2312" w:eastAsia="仿宋_GB2312"/>
        </w:rPr>
        <w:t>10、本项目不接受联合体磋商：本项目不接受联合体磋商（提供书面声明）。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1、主体资格证明文件：具有独立承担民事责任能力的法人或其他组织，提供有效存续的营业执照或事业单位法人证书或非企业专业服务机构执业许可证或民办非企业单位登记证书或自然人的身份证明；</w:t>
      </w:r>
    </w:p>
    <w:p>
      <w:pPr>
        <w:pStyle w:val="null3"/>
      </w:pPr>
      <w:r>
        <w:rPr>
          <w:rFonts w:ascii="仿宋_GB2312" w:hAnsi="仿宋_GB2312" w:cs="仿宋_GB2312" w:eastAsia="仿宋_GB2312"/>
        </w:rPr>
        <w:t>2、法定代表人授权书：法定代表人授权书（附法定代表人身份证复印件）及被授权人身份证复印件（法定代表人直接参加投标只需提供法定代表人身份证明及法定代表人身份证复印件）。自然人只需提供身份证；备注：分支机构由分支机构负责人授权即可；</w:t>
      </w:r>
    </w:p>
    <w:p>
      <w:pPr>
        <w:pStyle w:val="null3"/>
      </w:pPr>
      <w:r>
        <w:rPr>
          <w:rFonts w:ascii="仿宋_GB2312" w:hAnsi="仿宋_GB2312" w:cs="仿宋_GB2312" w:eastAsia="仿宋_GB2312"/>
        </w:rPr>
        <w:t>3、财务状况报告：提供经审计的2024年或2025年财务报告，包括“四表一注”（即资产负债表、利润表、现金流量表、所有者权益变动表（没有可不提供）及其附注，成立时间至提交响应文件截止时间不足一年的可提供成立后任意时段的资产负债表）或在开标日期前六个月内其开户银行出具的资信证明，以上两种形式的资料提供任何一种即可（分支机构如无法提供财务审计报告，须出具包含分支机构的财务数据的总公司财务审计报告）；事业单位零余额账户提供相应证明；</w:t>
      </w:r>
    </w:p>
    <w:p>
      <w:pPr>
        <w:pStyle w:val="null3"/>
      </w:pPr>
      <w:r>
        <w:rPr>
          <w:rFonts w:ascii="仿宋_GB2312" w:hAnsi="仿宋_GB2312" w:cs="仿宋_GB2312" w:eastAsia="仿宋_GB2312"/>
        </w:rPr>
        <w:t>4、税收缴纳证明：提供已缴纳的2025年4月至今任意一个月的纳税证明或完税证明，纳税证明或完税证明上应有代收机构或税务机关的公章或业务专用章。依法免税的供应商应提供相关文件证明；</w:t>
      </w:r>
    </w:p>
    <w:p>
      <w:pPr>
        <w:pStyle w:val="null3"/>
      </w:pPr>
      <w:r>
        <w:rPr>
          <w:rFonts w:ascii="仿宋_GB2312" w:hAnsi="仿宋_GB2312" w:cs="仿宋_GB2312" w:eastAsia="仿宋_GB2312"/>
        </w:rPr>
        <w:t>5、社会保障资金缴纳证明：提供已缴存的2025年4月至今任意一个月的社会保障资金缴存单据或社保机构开具的社会保险参保缴费情况证明，单据或证明上应有社保机构或代收机构的公章或业务专用章。依法不需要缴纳社会保障资金的供应商应提供相关文件证明；</w:t>
      </w:r>
    </w:p>
    <w:p>
      <w:pPr>
        <w:pStyle w:val="null3"/>
      </w:pPr>
      <w:r>
        <w:rPr>
          <w:rFonts w:ascii="仿宋_GB2312" w:hAnsi="仿宋_GB2312" w:cs="仿宋_GB2312" w:eastAsia="仿宋_GB2312"/>
        </w:rPr>
        <w:t>6、具有履行合同所必需的设备和专业技术能力的承诺：供应商须提供具有履行合同所必需的设备和专业技术能力的承诺；</w:t>
      </w:r>
    </w:p>
    <w:p>
      <w:pPr>
        <w:pStyle w:val="null3"/>
      </w:pPr>
      <w:r>
        <w:rPr>
          <w:rFonts w:ascii="仿宋_GB2312" w:hAnsi="仿宋_GB2312" w:cs="仿宋_GB2312" w:eastAsia="仿宋_GB2312"/>
        </w:rPr>
        <w:t>7、三年内无重大违记录声明：出具参加本次政府采购活动前三年内在经营活动中没有重大违法记录的书面声明；</w:t>
      </w:r>
    </w:p>
    <w:p>
      <w:pPr>
        <w:pStyle w:val="null3"/>
      </w:pPr>
      <w:r>
        <w:rPr>
          <w:rFonts w:ascii="仿宋_GB2312" w:hAnsi="仿宋_GB2312" w:cs="仿宋_GB2312" w:eastAsia="仿宋_GB2312"/>
        </w:rPr>
        <w:t>8、信誉要求：供应商在递交响应文件截止时间前被“信用中国”网站列入失信被执行人或税收违法黑名单的，或在中国政府采购网（www.ccgp.gov.cn）列入政府采购严重违法失信行为记录名单的，不得参加投标；</w:t>
      </w:r>
    </w:p>
    <w:p>
      <w:pPr>
        <w:pStyle w:val="null3"/>
      </w:pPr>
      <w:r>
        <w:rPr>
          <w:rFonts w:ascii="仿宋_GB2312" w:hAnsi="仿宋_GB2312" w:cs="仿宋_GB2312" w:eastAsia="仿宋_GB2312"/>
        </w:rPr>
        <w:t>9、具有检验检测机构资质认定证书CMA（证书附表要包含食品）、农产品质量安全检测机构考核合格证书（CATL）：具有检验检测机构资质认定证书CMA（证书附表要包含食品）、农产品质量安全检测机构考核合格证书（CATL）；</w:t>
      </w:r>
    </w:p>
    <w:p>
      <w:pPr>
        <w:pStyle w:val="null3"/>
      </w:pPr>
      <w:r>
        <w:rPr>
          <w:rFonts w:ascii="仿宋_GB2312" w:hAnsi="仿宋_GB2312" w:cs="仿宋_GB2312" w:eastAsia="仿宋_GB2312"/>
        </w:rPr>
        <w:t>10、本项目不接受联合体磋商：本项目不接受联合体磋商（提供书面声明）。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西安市新城区市场监督管理局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西安市新城区万年路90号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西安市新城区市场监督管理局经办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83380287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中智投工程管理有限公司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陕西省西安市未央区陕西省西安市未央区渭滨路70号水晶卡芭拉11号楼1单元11301室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13080937074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西安市新城区政府采购管理股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刘婷</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87438480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采购包1：932,200.00元</w:t>
            </w:r>
          </w:p>
          <w:p>
            <w:pPr>
              <w:pStyle w:val="null3"/>
            </w:pPr>
            <w:r>
              <w:rPr>
                <w:rFonts w:ascii="仿宋_GB2312" w:hAnsi="仿宋_GB2312" w:cs="仿宋_GB2312" w:eastAsia="仿宋_GB2312"/>
              </w:rPr>
              <w:t>采购包2：1,050,700.00元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代理服务费收费标准：招标代理服务费收取参考国家计委颁布的《招标代理服务收费管理暂 行办法》（计价格[2002]1980号）和（发改办价格[2003]857号）文收费标准计取，不足5000.00元按5000.00元收取。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西安市新城区市场监督管理局</w:t>
      </w:r>
      <w:r>
        <w:rPr>
          <w:rFonts w:ascii="仿宋_GB2312" w:hAnsi="仿宋_GB2312" w:cs="仿宋_GB2312" w:eastAsia="仿宋_GB2312"/>
        </w:rPr>
        <w:t>和</w:t>
      </w:r>
      <w:r>
        <w:rPr>
          <w:rFonts w:ascii="仿宋_GB2312" w:hAnsi="仿宋_GB2312" w:cs="仿宋_GB2312" w:eastAsia="仿宋_GB2312"/>
        </w:rPr>
        <w:t>中智投工程管理有限公司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西安市新城区市场监督管理局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中智投工程管理有限公司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西安市新城区市场监督管理局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中智投工程管理有限公司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符合国家履约验收标准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符合国家履约验收标准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中智投工程管理有限公司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中智投工程管理有限公司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中智投工程管理有限公司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联系人：李莉</w:t>
      </w:r>
    </w:p>
    <w:p>
      <w:pPr>
        <w:pStyle w:val="null3"/>
      </w:pPr>
      <w:r>
        <w:rPr>
          <w:rFonts w:ascii="仿宋_GB2312" w:hAnsi="仿宋_GB2312" w:cs="仿宋_GB2312" w:eastAsia="仿宋_GB2312"/>
        </w:rPr>
        <w:t>联系电话：13080937074</w:t>
      </w:r>
    </w:p>
    <w:p>
      <w:pPr>
        <w:pStyle w:val="null3"/>
      </w:pPr>
      <w:r>
        <w:rPr>
          <w:rFonts w:ascii="仿宋_GB2312" w:hAnsi="仿宋_GB2312" w:cs="仿宋_GB2312" w:eastAsia="仿宋_GB2312"/>
        </w:rPr>
        <w:t>地址：陕西省西安市未央区陕西省西安市未央区渭滨路70号水晶卡芭拉11号楼1单元11301室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做好2026年新城区食品安全监督抽检工作，需以竞争性磋商的采购方式确定2家符合条件的检验机构，负责承担新城区9个街办辖区（共11个市场监管所）内2026年的食品安全监督抽检工作，涵盖38个食品大类，共2510批次食品抽检任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932,200.00</w:t>
      </w:r>
    </w:p>
    <w:p>
      <w:pPr>
        <w:pStyle w:val="null3"/>
      </w:pPr>
      <w:r>
        <w:rPr>
          <w:rFonts w:ascii="仿宋_GB2312" w:hAnsi="仿宋_GB2312" w:cs="仿宋_GB2312" w:eastAsia="仿宋_GB2312"/>
        </w:rPr>
        <w:t>采购包最高限价（元）: 932,200.00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采购包1（1180批次）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932,200.00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1,050,700.00</w:t>
      </w:r>
    </w:p>
    <w:p>
      <w:pPr>
        <w:pStyle w:val="null3"/>
      </w:pPr>
      <w:r>
        <w:rPr>
          <w:rFonts w:ascii="仿宋_GB2312" w:hAnsi="仿宋_GB2312" w:cs="仿宋_GB2312" w:eastAsia="仿宋_GB2312"/>
        </w:rPr>
        <w:t>采购包最高限价（元）: 1,050,700.00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采购包2（1330批次）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1,050,700.00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标的名称：采购包1（1180批次）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606"/>
              <w:gridCol w:w="854"/>
              <w:gridCol w:w="536"/>
              <w:gridCol w:w="546"/>
            </w:tblGrid>
            <w:tr>
              <w:tc>
                <w:tcPr>
                  <w:tcW w:type="dxa" w:w="6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标项</w:t>
                  </w:r>
                </w:p>
              </w:tc>
              <w:tc>
                <w:tcPr>
                  <w:tcW w:type="dxa" w:w="8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标项</w:t>
                  </w:r>
                  <w:r>
                    <w:rPr>
                      <w:rFonts w:ascii="仿宋_GB2312" w:hAnsi="仿宋_GB2312" w:cs="仿宋_GB2312" w:eastAsia="仿宋_GB2312"/>
                      <w:sz w:val="28"/>
                    </w:rPr>
                    <w:t>名称</w:t>
                  </w:r>
                </w:p>
                <w:p>
                  <w:pPr>
                    <w:pStyle w:val="null3"/>
                    <w:jc w:val="center"/>
                  </w:pPr>
                  <w:r>
                    <w:rPr>
                      <w:rFonts w:ascii="仿宋_GB2312" w:hAnsi="仿宋_GB2312" w:cs="仿宋_GB2312" w:eastAsia="仿宋_GB2312"/>
                      <w:sz w:val="28"/>
                    </w:rPr>
                    <w:t>(监管所)</w:t>
                  </w:r>
                </w:p>
              </w:tc>
              <w:tc>
                <w:tcPr>
                  <w:tcW w:type="dxa" w:w="5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拟分配</w:t>
                  </w:r>
                </w:p>
                <w:p>
                  <w:pPr>
                    <w:pStyle w:val="null3"/>
                    <w:jc w:val="center"/>
                  </w:pPr>
                  <w:r>
                    <w:rPr>
                      <w:rFonts w:ascii="仿宋_GB2312" w:hAnsi="仿宋_GB2312" w:cs="仿宋_GB2312" w:eastAsia="仿宋_GB2312"/>
                      <w:sz w:val="28"/>
                    </w:rPr>
                    <w:t>任务批次数</w:t>
                  </w:r>
                </w:p>
              </w:tc>
              <w:tc>
                <w:tcPr>
                  <w:tcW w:type="dxa" w:w="5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预算总金额</w:t>
                  </w:r>
                  <w:r>
                    <w:rPr>
                      <w:rFonts w:ascii="仿宋_GB2312" w:hAnsi="仿宋_GB2312" w:cs="仿宋_GB2312" w:eastAsia="仿宋_GB2312"/>
                      <w:sz w:val="28"/>
                    </w:rPr>
                    <w:t>(元)</w:t>
                  </w:r>
                </w:p>
              </w:tc>
            </w:tr>
            <w:tr>
              <w:tc>
                <w:tcPr>
                  <w:tcW w:type="dxa" w:w="6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采购包</w:t>
                  </w:r>
                  <w:r>
                    <w:rPr>
                      <w:rFonts w:ascii="仿宋_GB2312" w:hAnsi="仿宋_GB2312" w:cs="仿宋_GB2312" w:eastAsia="仿宋_GB2312"/>
                      <w:sz w:val="28"/>
                    </w:rPr>
                    <w:t>1</w:t>
                  </w:r>
                </w:p>
                <w:p>
                  <w:pPr>
                    <w:pStyle w:val="null3"/>
                    <w:jc w:val="center"/>
                  </w:pPr>
                  <w:r>
                    <w:rPr>
                      <w:rFonts w:ascii="仿宋_GB2312" w:hAnsi="仿宋_GB2312" w:cs="仿宋_GB2312" w:eastAsia="仿宋_GB2312"/>
                      <w:sz w:val="28"/>
                    </w:rPr>
                    <w:t>（</w:t>
                  </w:r>
                  <w:r>
                    <w:rPr>
                      <w:rFonts w:ascii="仿宋_GB2312" w:hAnsi="仿宋_GB2312" w:cs="仿宋_GB2312" w:eastAsia="仿宋_GB2312"/>
                      <w:sz w:val="28"/>
                    </w:rPr>
                    <w:t>1180批次</w:t>
                  </w:r>
                  <w:r>
                    <w:rPr>
                      <w:rFonts w:ascii="仿宋_GB2312" w:hAnsi="仿宋_GB2312" w:cs="仿宋_GB2312" w:eastAsia="仿宋_GB2312"/>
                      <w:sz w:val="28"/>
                    </w:rPr>
                    <w:t>）</w:t>
                  </w:r>
                </w:p>
              </w:tc>
              <w:tc>
                <w:tcPr>
                  <w:tcW w:type="dxa" w:w="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西一路</w:t>
                  </w:r>
                  <w:r>
                    <w:rPr>
                      <w:rFonts w:ascii="仿宋_GB2312" w:hAnsi="仿宋_GB2312" w:cs="仿宋_GB2312" w:eastAsia="仿宋_GB2312"/>
                      <w:sz w:val="28"/>
                    </w:rPr>
                    <w:t>市场监管所</w:t>
                  </w:r>
                </w:p>
              </w:tc>
              <w:tc>
                <w:tcPr>
                  <w:tcW w:type="dxa" w:w="5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3</w:t>
                  </w:r>
                  <w:r>
                    <w:rPr>
                      <w:rFonts w:ascii="仿宋_GB2312" w:hAnsi="仿宋_GB2312" w:cs="仿宋_GB2312" w:eastAsia="仿宋_GB2312"/>
                      <w:sz w:val="28"/>
                    </w:rPr>
                    <w:t>1</w:t>
                  </w:r>
                  <w:r>
                    <w:rPr>
                      <w:rFonts w:ascii="仿宋_GB2312" w:hAnsi="仿宋_GB2312" w:cs="仿宋_GB2312" w:eastAsia="仿宋_GB2312"/>
                      <w:sz w:val="28"/>
                    </w:rPr>
                    <w:t>0</w:t>
                  </w:r>
                </w:p>
              </w:tc>
              <w:tc>
                <w:tcPr>
                  <w:tcW w:type="dxa" w:w="54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932200</w:t>
                  </w:r>
                </w:p>
              </w:tc>
            </w:tr>
            <w:tr>
              <w:tc>
                <w:tcPr>
                  <w:tcW w:type="dxa" w:w="606"/>
                  <w:vMerge/>
                  <w:tcBorders>
                    <w:top w:val="none" w:color="000000" w:sz="4"/>
                    <w:left w:val="single" w:color="000000" w:sz="4"/>
                    <w:bottom w:val="single" w:color="000000" w:sz="4"/>
                    <w:right w:val="single" w:color="000000" w:sz="4"/>
                  </w:tcBorders>
                </w:tcPr>
                <w:p/>
              </w:tc>
              <w:tc>
                <w:tcPr>
                  <w:tcW w:type="dxa" w:w="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中山门</w:t>
                  </w:r>
                  <w:r>
                    <w:rPr>
                      <w:rFonts w:ascii="仿宋_GB2312" w:hAnsi="仿宋_GB2312" w:cs="仿宋_GB2312" w:eastAsia="仿宋_GB2312"/>
                      <w:sz w:val="28"/>
                    </w:rPr>
                    <w:t>市场监管所</w:t>
                  </w:r>
                </w:p>
              </w:tc>
              <w:tc>
                <w:tcPr>
                  <w:tcW w:type="dxa" w:w="5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210</w:t>
                  </w:r>
                </w:p>
              </w:tc>
              <w:tc>
                <w:tcPr>
                  <w:tcW w:type="dxa" w:w="546"/>
                  <w:vMerge/>
                  <w:tcBorders>
                    <w:top w:val="none" w:color="000000" w:sz="4"/>
                    <w:left w:val="single" w:color="000000" w:sz="4"/>
                    <w:bottom w:val="single" w:color="000000" w:sz="4"/>
                    <w:right w:val="single" w:color="000000" w:sz="4"/>
                  </w:tcBorders>
                </w:tcPr>
                <w:p/>
              </w:tc>
            </w:tr>
            <w:tr>
              <w:tc>
                <w:tcPr>
                  <w:tcW w:type="dxa" w:w="606"/>
                  <w:vMerge/>
                  <w:tcBorders>
                    <w:top w:val="none" w:color="000000" w:sz="4"/>
                    <w:left w:val="single" w:color="000000" w:sz="4"/>
                    <w:bottom w:val="single" w:color="000000" w:sz="4"/>
                    <w:right w:val="single" w:color="000000" w:sz="4"/>
                  </w:tcBorders>
                </w:tcPr>
                <w:p/>
              </w:tc>
              <w:tc>
                <w:tcPr>
                  <w:tcW w:type="dxa" w:w="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解放门</w:t>
                  </w:r>
                  <w:r>
                    <w:rPr>
                      <w:rFonts w:ascii="仿宋_GB2312" w:hAnsi="仿宋_GB2312" w:cs="仿宋_GB2312" w:eastAsia="仿宋_GB2312"/>
                      <w:sz w:val="28"/>
                    </w:rPr>
                    <w:t>市场监管所</w:t>
                  </w:r>
                </w:p>
              </w:tc>
              <w:tc>
                <w:tcPr>
                  <w:tcW w:type="dxa" w:w="5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19</w:t>
                  </w:r>
                  <w:r>
                    <w:rPr>
                      <w:rFonts w:ascii="仿宋_GB2312" w:hAnsi="仿宋_GB2312" w:cs="仿宋_GB2312" w:eastAsia="仿宋_GB2312"/>
                      <w:sz w:val="28"/>
                    </w:rPr>
                    <w:t>0</w:t>
                  </w:r>
                </w:p>
              </w:tc>
              <w:tc>
                <w:tcPr>
                  <w:tcW w:type="dxa" w:w="546"/>
                  <w:vMerge/>
                  <w:tcBorders>
                    <w:top w:val="none" w:color="000000" w:sz="4"/>
                    <w:left w:val="single" w:color="000000" w:sz="4"/>
                    <w:bottom w:val="single" w:color="000000" w:sz="4"/>
                    <w:right w:val="single" w:color="000000" w:sz="4"/>
                  </w:tcBorders>
                </w:tcPr>
                <w:p/>
              </w:tc>
            </w:tr>
            <w:tr>
              <w:tc>
                <w:tcPr>
                  <w:tcW w:type="dxa" w:w="606"/>
                  <w:vMerge/>
                  <w:tcBorders>
                    <w:top w:val="none" w:color="000000" w:sz="4"/>
                    <w:left w:val="single" w:color="000000" w:sz="4"/>
                    <w:bottom w:val="single" w:color="000000" w:sz="4"/>
                    <w:right w:val="single" w:color="000000" w:sz="4"/>
                  </w:tcBorders>
                </w:tcPr>
                <w:p/>
              </w:tc>
              <w:tc>
                <w:tcPr>
                  <w:tcW w:type="dxa" w:w="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自强路</w:t>
                  </w:r>
                  <w:r>
                    <w:rPr>
                      <w:rFonts w:ascii="仿宋_GB2312" w:hAnsi="仿宋_GB2312" w:cs="仿宋_GB2312" w:eastAsia="仿宋_GB2312"/>
                      <w:sz w:val="28"/>
                    </w:rPr>
                    <w:t>市场监管所</w:t>
                  </w:r>
                </w:p>
              </w:tc>
              <w:tc>
                <w:tcPr>
                  <w:tcW w:type="dxa" w:w="5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190</w:t>
                  </w:r>
                </w:p>
              </w:tc>
              <w:tc>
                <w:tcPr>
                  <w:tcW w:type="dxa" w:w="546"/>
                  <w:vMerge/>
                  <w:tcBorders>
                    <w:top w:val="none" w:color="000000" w:sz="4"/>
                    <w:left w:val="single" w:color="000000" w:sz="4"/>
                    <w:bottom w:val="single" w:color="000000" w:sz="4"/>
                    <w:right w:val="single" w:color="000000" w:sz="4"/>
                  </w:tcBorders>
                </w:tcPr>
                <w:p/>
              </w:tc>
            </w:tr>
            <w:tr>
              <w:tc>
                <w:tcPr>
                  <w:tcW w:type="dxa" w:w="606"/>
                  <w:vMerge/>
                  <w:tcBorders>
                    <w:top w:val="none" w:color="000000" w:sz="4"/>
                    <w:left w:val="single" w:color="000000" w:sz="4"/>
                    <w:bottom w:val="single" w:color="000000" w:sz="4"/>
                    <w:right w:val="single" w:color="000000" w:sz="4"/>
                  </w:tcBorders>
                </w:tcPr>
                <w:p/>
              </w:tc>
              <w:tc>
                <w:tcPr>
                  <w:tcW w:type="dxa" w:w="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太华路</w:t>
                  </w:r>
                  <w:r>
                    <w:rPr>
                      <w:rFonts w:ascii="仿宋_GB2312" w:hAnsi="仿宋_GB2312" w:cs="仿宋_GB2312" w:eastAsia="仿宋_GB2312"/>
                      <w:sz w:val="28"/>
                    </w:rPr>
                    <w:t>市场监管所</w:t>
                  </w:r>
                </w:p>
              </w:tc>
              <w:tc>
                <w:tcPr>
                  <w:tcW w:type="dxa" w:w="5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280</w:t>
                  </w:r>
                </w:p>
              </w:tc>
              <w:tc>
                <w:tcPr>
                  <w:tcW w:type="dxa" w:w="546"/>
                  <w:vMerge/>
                  <w:tcBorders>
                    <w:top w:val="none" w:color="000000" w:sz="4"/>
                    <w:left w:val="single" w:color="000000" w:sz="4"/>
                    <w:bottom w:val="single" w:color="000000" w:sz="4"/>
                    <w:right w:val="single" w:color="000000" w:sz="4"/>
                  </w:tcBorders>
                </w:tcPr>
                <w:p/>
              </w:tc>
            </w:tr>
          </w:tbl>
          <w:p>
            <w:pPr>
              <w:pStyle w:val="null3"/>
              <w:ind w:firstLine="640"/>
              <w:jc w:val="both"/>
            </w:pPr>
            <w:r>
              <w:rPr>
                <w:rFonts w:ascii="仿宋_GB2312" w:hAnsi="仿宋_GB2312" w:cs="仿宋_GB2312" w:eastAsia="仿宋_GB2312"/>
                <w:sz w:val="32"/>
              </w:rPr>
              <w:t>一、采购内容</w:t>
            </w:r>
            <w:r>
              <w:rPr>
                <w:rFonts w:ascii="仿宋_GB2312" w:hAnsi="仿宋_GB2312" w:cs="仿宋_GB2312" w:eastAsia="仿宋_GB2312"/>
                <w:sz w:val="32"/>
              </w:rPr>
              <w:t>:为更好地完成202</w:t>
            </w:r>
            <w:r>
              <w:rPr>
                <w:rFonts w:ascii="仿宋_GB2312" w:hAnsi="仿宋_GB2312" w:cs="仿宋_GB2312" w:eastAsia="仿宋_GB2312"/>
                <w:sz w:val="32"/>
              </w:rPr>
              <w:t>6</w:t>
            </w:r>
            <w:r>
              <w:rPr>
                <w:rFonts w:ascii="仿宋_GB2312" w:hAnsi="仿宋_GB2312" w:cs="仿宋_GB2312" w:eastAsia="仿宋_GB2312"/>
                <w:sz w:val="32"/>
              </w:rPr>
              <w:t>年食品安全抽检工作，采购负责承担新城区</w:t>
            </w:r>
            <w:r>
              <w:rPr>
                <w:rFonts w:ascii="仿宋_GB2312" w:hAnsi="仿宋_GB2312" w:cs="仿宋_GB2312" w:eastAsia="仿宋_GB2312"/>
                <w:sz w:val="32"/>
              </w:rPr>
              <w:t>9个街办辖区（共11个市场监管所）内202</w:t>
            </w:r>
            <w:r>
              <w:rPr>
                <w:rFonts w:ascii="仿宋_GB2312" w:hAnsi="仿宋_GB2312" w:cs="仿宋_GB2312" w:eastAsia="仿宋_GB2312"/>
                <w:sz w:val="32"/>
              </w:rPr>
              <w:t>6</w:t>
            </w:r>
            <w:r>
              <w:rPr>
                <w:rFonts w:ascii="仿宋_GB2312" w:hAnsi="仿宋_GB2312" w:cs="仿宋_GB2312" w:eastAsia="仿宋_GB2312"/>
                <w:sz w:val="32"/>
              </w:rPr>
              <w:t>年的食品安全抽检任务。</w:t>
            </w:r>
          </w:p>
          <w:p>
            <w:pPr>
              <w:pStyle w:val="null3"/>
              <w:ind w:firstLine="640"/>
              <w:jc w:val="both"/>
            </w:pPr>
            <w:r>
              <w:rPr>
                <w:rFonts w:ascii="仿宋_GB2312" w:hAnsi="仿宋_GB2312" w:cs="仿宋_GB2312" w:eastAsia="仿宋_GB2312"/>
                <w:sz w:val="32"/>
              </w:rPr>
              <w:t>二、服务要求：</w:t>
            </w:r>
          </w:p>
          <w:p>
            <w:pPr>
              <w:pStyle w:val="null3"/>
              <w:ind w:firstLine="640"/>
              <w:jc w:val="both"/>
            </w:pPr>
            <w:r>
              <w:rPr>
                <w:rFonts w:ascii="仿宋_GB2312" w:hAnsi="仿宋_GB2312" w:cs="仿宋_GB2312" w:eastAsia="仿宋_GB2312"/>
                <w:sz w:val="32"/>
              </w:rPr>
              <w:t>1、服务期限：自合同签订之日起12个月；</w:t>
            </w:r>
          </w:p>
          <w:p>
            <w:pPr>
              <w:pStyle w:val="null3"/>
              <w:ind w:firstLine="640"/>
              <w:jc w:val="both"/>
            </w:pPr>
            <w:r>
              <w:rPr>
                <w:rFonts w:ascii="仿宋_GB2312" w:hAnsi="仿宋_GB2312" w:cs="仿宋_GB2312" w:eastAsia="仿宋_GB2312"/>
                <w:sz w:val="32"/>
              </w:rPr>
              <w:t>2、能提供高效抽检服务，全年365天提供24小时服务，能接受抽样工作委托，有专门团队负责配合采样；</w:t>
            </w:r>
          </w:p>
          <w:p>
            <w:pPr>
              <w:pStyle w:val="null3"/>
              <w:ind w:firstLine="640"/>
              <w:jc w:val="both"/>
            </w:pPr>
            <w:r>
              <w:rPr>
                <w:rFonts w:ascii="仿宋_GB2312" w:hAnsi="仿宋_GB2312" w:cs="仿宋_GB2312" w:eastAsia="仿宋_GB2312"/>
                <w:sz w:val="32"/>
              </w:rPr>
              <w:t>3、抽检样品必须在当天进入食品检测实验室，以确保样品检测报告的准确性、报告复检维持率高；</w:t>
            </w:r>
          </w:p>
          <w:p>
            <w:pPr>
              <w:pStyle w:val="null3"/>
              <w:ind w:firstLine="640"/>
              <w:jc w:val="both"/>
            </w:pPr>
            <w:r>
              <w:rPr>
                <w:rFonts w:ascii="仿宋_GB2312" w:hAnsi="仿宋_GB2312" w:cs="仿宋_GB2312" w:eastAsia="仿宋_GB2312"/>
                <w:sz w:val="32"/>
              </w:rPr>
              <w:t>4、能够熟练运用各级抽检系统，及时准确地录入抽检、检验信息，辅助我局完成统计报表、信息公示等工作；</w:t>
            </w:r>
          </w:p>
          <w:p>
            <w:pPr>
              <w:pStyle w:val="null3"/>
              <w:ind w:firstLine="640"/>
              <w:jc w:val="both"/>
            </w:pPr>
            <w:r>
              <w:rPr>
                <w:rFonts w:ascii="仿宋_GB2312" w:hAnsi="仿宋_GB2312" w:cs="仿宋_GB2312" w:eastAsia="仿宋_GB2312"/>
                <w:sz w:val="32"/>
              </w:rPr>
              <w:t>5、有能满足采样、运输、检验等工作的车辆、设备等硬件；</w:t>
            </w:r>
          </w:p>
          <w:p>
            <w:pPr>
              <w:pStyle w:val="null3"/>
              <w:ind w:firstLine="640"/>
              <w:jc w:val="both"/>
            </w:pPr>
            <w:r>
              <w:rPr>
                <w:rFonts w:ascii="仿宋_GB2312" w:hAnsi="仿宋_GB2312" w:cs="仿宋_GB2312" w:eastAsia="仿宋_GB2312"/>
                <w:sz w:val="32"/>
              </w:rPr>
              <w:t>6、不得将检验任务外包或分包给其他检测机构检验；</w:t>
            </w:r>
          </w:p>
          <w:p>
            <w:pPr>
              <w:pStyle w:val="null3"/>
              <w:ind w:firstLine="640"/>
              <w:jc w:val="both"/>
            </w:pPr>
            <w:r>
              <w:rPr>
                <w:rFonts w:ascii="仿宋_GB2312" w:hAnsi="仿宋_GB2312" w:cs="仿宋_GB2312" w:eastAsia="仿宋_GB2312"/>
                <w:sz w:val="32"/>
              </w:rPr>
              <w:t>7、若供应商出具虚假、错误检验数据和结论，一经发现，立即取消合作资格；</w:t>
            </w:r>
          </w:p>
          <w:p>
            <w:pPr>
              <w:pStyle w:val="null3"/>
              <w:ind w:firstLine="640"/>
              <w:jc w:val="both"/>
            </w:pPr>
            <w:r>
              <w:rPr>
                <w:rFonts w:ascii="仿宋_GB2312" w:hAnsi="仿宋_GB2312" w:cs="仿宋_GB2312" w:eastAsia="仿宋_GB2312"/>
                <w:sz w:val="32"/>
              </w:rPr>
              <w:t>8、须提供相关的业务咨询、报告分析等服务；</w:t>
            </w:r>
          </w:p>
          <w:p>
            <w:pPr>
              <w:pStyle w:val="null3"/>
              <w:ind w:firstLine="640"/>
              <w:jc w:val="both"/>
            </w:pPr>
            <w:r>
              <w:rPr>
                <w:rFonts w:ascii="仿宋_GB2312" w:hAnsi="仿宋_GB2312" w:cs="仿宋_GB2312" w:eastAsia="仿宋_GB2312"/>
                <w:sz w:val="32"/>
              </w:rPr>
              <w:t>9、检验机构收到检品后15个工作日出具检验报告。对于特殊、涉案样品的检验，3天出结果，7天出报告；</w:t>
            </w:r>
          </w:p>
          <w:p>
            <w:pPr>
              <w:pStyle w:val="null3"/>
              <w:ind w:firstLine="640"/>
              <w:jc w:val="both"/>
            </w:pPr>
            <w:r>
              <w:rPr>
                <w:rFonts w:ascii="仿宋_GB2312" w:hAnsi="仿宋_GB2312" w:cs="仿宋_GB2312" w:eastAsia="仿宋_GB2312"/>
                <w:sz w:val="32"/>
              </w:rPr>
              <w:t>10、有完善的投诉受理机制，能够对委托检验人提出的异议做出有效回应；</w:t>
            </w:r>
          </w:p>
          <w:p>
            <w:pPr>
              <w:pStyle w:val="null3"/>
              <w:ind w:firstLine="640"/>
              <w:jc w:val="both"/>
            </w:pPr>
            <w:r>
              <w:rPr>
                <w:rFonts w:ascii="仿宋_GB2312" w:hAnsi="仿宋_GB2312" w:cs="仿宋_GB2312" w:eastAsia="仿宋_GB2312"/>
                <w:sz w:val="32"/>
              </w:rPr>
              <w:t>11、供应商检验检测项目未达到100%时，应承诺其余项目在服务合同签订后2个月内完成扩项，若中标后未能及时完成扩项，采购人有权终止合同；</w:t>
            </w:r>
          </w:p>
          <w:p>
            <w:pPr>
              <w:pStyle w:val="null3"/>
              <w:ind w:firstLine="640"/>
              <w:jc w:val="both"/>
            </w:pPr>
            <w:r>
              <w:rPr>
                <w:rFonts w:ascii="仿宋_GB2312" w:hAnsi="仿宋_GB2312" w:cs="仿宋_GB2312" w:eastAsia="仿宋_GB2312"/>
                <w:sz w:val="32"/>
              </w:rPr>
              <w:t>12、投标单位中标后，承担对应标段的检测任务，应逐月完成当月任务，并当月汇总本月的抽检清单；</w:t>
            </w:r>
          </w:p>
          <w:p>
            <w:pPr>
              <w:pStyle w:val="null3"/>
              <w:ind w:firstLine="640"/>
              <w:jc w:val="both"/>
            </w:pPr>
            <w:r>
              <w:rPr>
                <w:rFonts w:ascii="仿宋_GB2312" w:hAnsi="仿宋_GB2312" w:cs="仿宋_GB2312" w:eastAsia="仿宋_GB2312"/>
                <w:sz w:val="32"/>
              </w:rPr>
              <w:t>13、承检机构如在一个季度内未按照要求完成承检任务的或严重影响阶段性监督抽检考核任务的，采购人有权终止合同并按照完成任务的70%进行结算。</w:t>
            </w:r>
          </w:p>
          <w:p>
            <w:pPr>
              <w:pStyle w:val="null3"/>
              <w:ind w:firstLine="640"/>
              <w:jc w:val="both"/>
            </w:pPr>
            <w:r>
              <w:rPr>
                <w:rFonts w:ascii="仿宋_GB2312" w:hAnsi="仿宋_GB2312" w:cs="仿宋_GB2312" w:eastAsia="仿宋_GB2312"/>
                <w:sz w:val="30"/>
                <w:b/>
              </w:rPr>
              <w:t xml:space="preserve">             日常检测项目表</w:t>
            </w:r>
            <w:r>
              <w:rPr>
                <w:rFonts w:ascii="仿宋_GB2312" w:hAnsi="仿宋_GB2312" w:cs="仿宋_GB2312" w:eastAsia="仿宋_GB2312"/>
                <w:sz w:val="21"/>
              </w:rPr>
              <w:t xml:space="preserve"> </w:t>
            </w:r>
          </w:p>
          <w:tbl>
            <w:tblPr>
              <w:tblInd w:type="dxa" w:w="135"/>
              <w:tblBorders>
                <w:top w:val="none" w:color="000000" w:sz="4"/>
                <w:left w:val="none" w:color="000000" w:sz="4"/>
                <w:bottom w:val="none" w:color="000000" w:sz="4"/>
                <w:right w:val="none" w:color="000000" w:sz="4"/>
                <w:insideH w:val="none"/>
                <w:insideV w:val="none"/>
              </w:tblBorders>
            </w:tblPr>
            <w:tblGrid>
              <w:gridCol w:w="263"/>
              <w:gridCol w:w="666"/>
              <w:gridCol w:w="217"/>
              <w:gridCol w:w="887"/>
              <w:gridCol w:w="508"/>
            </w:tblGrid>
            <w:tr>
              <w:tc>
                <w:tcPr>
                  <w:tcW w:type="dxa" w:w="263"/>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序号</w:t>
                  </w:r>
                </w:p>
              </w:tc>
              <w:tc>
                <w:tcPr>
                  <w:tcW w:type="dxa" w:w="66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检测项目名称</w:t>
                  </w:r>
                </w:p>
              </w:tc>
              <w:tc>
                <w:tcPr>
                  <w:tcW w:type="dxa" w:w="21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序号</w:t>
                  </w:r>
                </w:p>
              </w:tc>
              <w:tc>
                <w:tcPr>
                  <w:tcW w:type="dxa" w:w="88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检测项目名称</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6-苄基腺嘌呤</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102</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硫酸盐</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4-氯苯氧乙酸钠</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103</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柠檬黄及其铝色淀</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3</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乙酸乙酯</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104</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六六六</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4</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安赛蜜</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105</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复原乳酸度</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乙酰甲胺磷</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106</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罗丹明</w:t>
                  </w:r>
                  <w:r>
                    <w:rPr>
                      <w:rFonts w:ascii="仿宋_GB2312" w:hAnsi="仿宋_GB2312" w:cs="仿宋_GB2312" w:eastAsia="仿宋_GB2312"/>
                      <w:sz w:val="24"/>
                      <w:color w:val="000000"/>
                    </w:rPr>
                    <w:t>B</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6</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氨基酸态氮</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107</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杂质度</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7</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罂粟碱</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108</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铝</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8</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百菌清</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109</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乳固体</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9</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荧光增白剂（限金针菇、白灵菇、双孢蘑菇）</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110</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铝残留量</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苯并（</w:t>
                  </w:r>
                  <w:r>
                    <w:rPr>
                      <w:rFonts w:ascii="仿宋_GB2312" w:hAnsi="仿宋_GB2312" w:cs="仿宋_GB2312" w:eastAsia="仿宋_GB2312"/>
                      <w:sz w:val="24"/>
                      <w:color w:val="000000"/>
                    </w:rPr>
                    <w:t>α）芘</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111</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钠他霉素</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11</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游离性余氯</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112</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氯化物</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12</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苯甲酸</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113</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氯菊酯</w:t>
                  </w:r>
                  <w:r>
                    <w:rPr>
                      <w:rFonts w:ascii="仿宋_GB2312" w:hAnsi="仿宋_GB2312" w:cs="仿宋_GB2312" w:eastAsia="仿宋_GB2312"/>
                      <w:sz w:val="24"/>
                      <w:color w:val="000000"/>
                    </w:rPr>
                    <w:t>C</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13</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原麦汁浓度</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114</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色度</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14</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丙酸及其钠盐</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115</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氯霉素</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15</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展青霉素</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116</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浑浊度</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16</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不溶于水杂质</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117</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界限指标</w:t>
                  </w:r>
                  <w:r>
                    <w:rPr>
                      <w:rFonts w:ascii="仿宋_GB2312" w:hAnsi="仿宋_GB2312" w:cs="仿宋_GB2312" w:eastAsia="仿宋_GB2312"/>
                      <w:sz w:val="24"/>
                      <w:color w:val="000000"/>
                    </w:rPr>
                    <w:t>-锂</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17</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蔗糖分</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118</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吗啡</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18</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茶多酚（茶饮料）</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119</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界限指标</w:t>
                  </w:r>
                  <w:r>
                    <w:rPr>
                      <w:rFonts w:ascii="仿宋_GB2312" w:hAnsi="仿宋_GB2312" w:cs="仿宋_GB2312" w:eastAsia="仿宋_GB2312"/>
                      <w:sz w:val="24"/>
                      <w:color w:val="000000"/>
                    </w:rPr>
                    <w:t>-锶</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19</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呈味核苷酸二钠</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120</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螨</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20</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志贺氏菌</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121</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界限指标</w:t>
                  </w:r>
                  <w:r>
                    <w:rPr>
                      <w:rFonts w:ascii="仿宋_GB2312" w:hAnsi="仿宋_GB2312" w:cs="仿宋_GB2312" w:eastAsia="仿宋_GB2312"/>
                      <w:sz w:val="24"/>
                      <w:color w:val="000000"/>
                    </w:rPr>
                    <w:t>-锌</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21</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大肠菌群</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122</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没食子酸丙酯类</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22</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致病菌</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123</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界限指标</w:t>
                  </w:r>
                  <w:r>
                    <w:rPr>
                      <w:rFonts w:ascii="仿宋_GB2312" w:hAnsi="仿宋_GB2312" w:cs="仿宋_GB2312" w:eastAsia="仿宋_GB2312"/>
                      <w:sz w:val="24"/>
                      <w:color w:val="000000"/>
                    </w:rPr>
                    <w:t>-碘化物</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23</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总汞</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124</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霉菌</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24</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蛋白质</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125</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界限指标</w:t>
                  </w:r>
                  <w:r>
                    <w:rPr>
                      <w:rFonts w:ascii="仿宋_GB2312" w:hAnsi="仿宋_GB2312" w:cs="仿宋_GB2312" w:eastAsia="仿宋_GB2312"/>
                      <w:sz w:val="24"/>
                      <w:color w:val="000000"/>
                    </w:rPr>
                    <w:t>-偏硅酸</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25</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总灰分</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126</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霉菌计数</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26</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滴滴涕（</w:t>
                  </w:r>
                  <w:r>
                    <w:rPr>
                      <w:rFonts w:ascii="仿宋_GB2312" w:hAnsi="仿宋_GB2312" w:cs="仿宋_GB2312" w:eastAsia="仿宋_GB2312"/>
                      <w:sz w:val="24"/>
                      <w:color w:val="000000"/>
                    </w:rPr>
                    <w:t>DDT）</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127</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界限指标</w:t>
                  </w:r>
                  <w:r>
                    <w:rPr>
                      <w:rFonts w:ascii="仿宋_GB2312" w:hAnsi="仿宋_GB2312" w:cs="仿宋_GB2312" w:eastAsia="仿宋_GB2312"/>
                      <w:sz w:val="24"/>
                      <w:color w:val="000000"/>
                    </w:rPr>
                    <w:t>-硒</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27</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敌敌畏</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128</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那可丁</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28</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总砷</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129</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界限指标</w:t>
                  </w:r>
                  <w:r>
                    <w:rPr>
                      <w:rFonts w:ascii="仿宋_GB2312" w:hAnsi="仿宋_GB2312" w:cs="仿宋_GB2312" w:eastAsia="仿宋_GB2312"/>
                      <w:sz w:val="24"/>
                      <w:color w:val="000000"/>
                    </w:rPr>
                    <w:t>-溶解性总固体</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29</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蒂巴因</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130</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脲酶活性</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30</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总酸</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131</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铜</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31</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总糖</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132</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纽甜</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32</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总脂</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133</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锰</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33</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丁基羟基茴香醚（</w:t>
                  </w:r>
                  <w:r>
                    <w:rPr>
                      <w:rFonts w:ascii="仿宋_GB2312" w:hAnsi="仿宋_GB2312" w:cs="仿宋_GB2312" w:eastAsia="仿宋_GB2312"/>
                      <w:sz w:val="24"/>
                      <w:color w:val="000000"/>
                    </w:rPr>
                    <w:t>BHA)</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134</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硼砂或硼酸</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34</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酸性橙</w:t>
                  </w:r>
                  <w:r>
                    <w:rPr>
                      <w:rFonts w:ascii="仿宋_GB2312" w:hAnsi="仿宋_GB2312" w:cs="仿宋_GB2312" w:eastAsia="仿宋_GB2312"/>
                      <w:sz w:val="24"/>
                      <w:color w:val="000000"/>
                    </w:rPr>
                    <w:t>Ⅱ</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135</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地美硝唑</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35</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二丁基羟基甲苯（</w:t>
                  </w:r>
                  <w:r>
                    <w:rPr>
                      <w:rFonts w:ascii="仿宋_GB2312" w:hAnsi="仿宋_GB2312" w:cs="仿宋_GB2312" w:eastAsia="仿宋_GB2312"/>
                      <w:sz w:val="24"/>
                      <w:color w:val="000000"/>
                    </w:rPr>
                    <w:t>BHT）</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136</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铅</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36</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玉米赤霉烯酮</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137</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溴酸盐</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37</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二氧化硫</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138</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氰化物</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38</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脱氧雪腐镰刀菌烯酮</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139</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硼酸盐</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39</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二氧化硫残留量</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140</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溶剂残留</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40</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氯氰菊酯</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141</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耗氧量</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41</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二氧化钛</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142</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挥发酚</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42</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二氧化碳</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143</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三聚氰胺</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43</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溴氰菊酯</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144</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粪链球菌</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44</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泛酸</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145</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三氯蔗糖</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45</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溴酸钾</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146</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色值</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46</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非糖固形物</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147</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三氯甲烷</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47</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赭曲霉毒素</w:t>
                  </w:r>
                  <w:r>
                    <w:rPr>
                      <w:rFonts w:ascii="仿宋_GB2312" w:hAnsi="仿宋_GB2312" w:cs="仿宋_GB2312" w:eastAsia="仿宋_GB2312"/>
                      <w:sz w:val="24"/>
                      <w:color w:val="000000"/>
                    </w:rPr>
                    <w:t>A</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148</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杀螟硫磷</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48</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氟氰戊菊酯</w:t>
                  </w:r>
                  <w:r>
                    <w:rPr>
                      <w:rFonts w:ascii="仿宋_GB2312" w:hAnsi="仿宋_GB2312" w:cs="仿宋_GB2312" w:eastAsia="仿宋_GB2312"/>
                      <w:sz w:val="24"/>
                      <w:color w:val="000000"/>
                    </w:rPr>
                    <w:t>C</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149</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四氯化碳</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49</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马拉硫磷</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150</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沙丁胺醇</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50</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富马酸二甲酯</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151</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挥发性酚</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51</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多菌灵</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152</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沙门氏菌</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52</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钙</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153</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山梨酸</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53</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甲基毒死蜱</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154</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山梨酸钾</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54</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甲萘威</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155</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脲酶试验</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55</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干浸出物</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156</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商业无菌</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56</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镉</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157</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砷</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57</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溶剂残留量</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158</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咖啡因</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58</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铬</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159</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水分</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59</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反式脂肪酸（</w:t>
                  </w:r>
                  <w:r>
                    <w:rPr>
                      <w:rFonts w:ascii="仿宋_GB2312" w:hAnsi="仿宋_GB2312" w:cs="仿宋_GB2312" w:eastAsia="仿宋_GB2312"/>
                      <w:sz w:val="24"/>
                      <w:color w:val="000000"/>
                    </w:rPr>
                    <w:t>C18:1T）</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160</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顺式氰戊菊酯</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60</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汞</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161</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四环素</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61</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反式脂肪酸（</w:t>
                  </w:r>
                  <w:r>
                    <w:rPr>
                      <w:rFonts w:ascii="仿宋_GB2312" w:hAnsi="仿宋_GB2312" w:cs="仿宋_GB2312" w:eastAsia="仿宋_GB2312"/>
                      <w:sz w:val="24"/>
                      <w:color w:val="000000"/>
                    </w:rPr>
                    <w:t>C18:2T+C18:3T）</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162</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联苯菊酯</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62</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谷氨酸钠</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163</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苏丹红（</w:t>
                  </w:r>
                  <w:r>
                    <w:rPr>
                      <w:rFonts w:ascii="仿宋_GB2312" w:hAnsi="仿宋_GB2312" w:cs="仿宋_GB2312" w:eastAsia="仿宋_GB2312"/>
                      <w:sz w:val="24"/>
                      <w:color w:val="000000"/>
                    </w:rPr>
                    <w:t>I-IV）</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63</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钡（以</w:t>
                  </w:r>
                  <w:r>
                    <w:rPr>
                      <w:rFonts w:ascii="仿宋_GB2312" w:hAnsi="仿宋_GB2312" w:cs="仿宋_GB2312" w:eastAsia="仿宋_GB2312"/>
                      <w:sz w:val="24"/>
                      <w:color w:val="000000"/>
                    </w:rPr>
                    <w:t>Ba计）</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164</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灭多威</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64</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过氧化苯甲酰</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165</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酸价</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65</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丙二醛</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166</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糖精钠</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66</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过氧化值</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167</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三氯杀螨醇</w:t>
                  </w:r>
                </w:p>
              </w:tc>
              <w:tc>
                <w:tcPr>
                  <w:tcW w:type="dxa" w:w="508"/>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center"/>
                  </w:pP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67</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还原糖分</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168</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特丁基对苯二酚</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68</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铵盐</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169</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氧乐果</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69</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合成着色剂（亮蓝、柠檬黄、日落黄、苋菜红、诱惑红、赤藓红、新红）</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170</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甜蜜素</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70</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乙酰磺胺酸钾</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171</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甲醛</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71</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滑石粉</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172</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铜绿假单胞菌</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72</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环己基氨基磺酸钠</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173</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土霉素</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73</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黄曲霉毒素</w:t>
                  </w:r>
                  <w:r>
                    <w:rPr>
                      <w:rFonts w:ascii="仿宋_GB2312" w:hAnsi="仿宋_GB2312" w:cs="仿宋_GB2312" w:eastAsia="仿宋_GB2312"/>
                      <w:sz w:val="24"/>
                      <w:color w:val="000000"/>
                    </w:rPr>
                    <w:t>B1</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174</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脱氢乙酸</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74</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流离矿酸</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175</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维生素</w:t>
                  </w:r>
                  <w:r>
                    <w:rPr>
                      <w:rFonts w:ascii="仿宋_GB2312" w:hAnsi="仿宋_GB2312" w:cs="仿宋_GB2312" w:eastAsia="仿宋_GB2312"/>
                      <w:sz w:val="24"/>
                      <w:color w:val="000000"/>
                    </w:rPr>
                    <w:t>A</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75</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黄曲霉毒素</w:t>
                  </w:r>
                  <w:r>
                    <w:rPr>
                      <w:rFonts w:ascii="仿宋_GB2312" w:hAnsi="仿宋_GB2312" w:cs="仿宋_GB2312" w:eastAsia="仿宋_GB2312"/>
                      <w:sz w:val="24"/>
                      <w:color w:val="000000"/>
                    </w:rPr>
                    <w:t>M1</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176</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维生素</w:t>
                  </w:r>
                  <w:r>
                    <w:rPr>
                      <w:rFonts w:ascii="仿宋_GB2312" w:hAnsi="仿宋_GB2312" w:cs="仿宋_GB2312" w:eastAsia="仿宋_GB2312"/>
                      <w:sz w:val="24"/>
                      <w:color w:val="000000"/>
                    </w:rPr>
                    <w:t>B1、</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76</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碱性橙</w:t>
                  </w:r>
                  <w:r>
                    <w:rPr>
                      <w:rFonts w:ascii="仿宋_GB2312" w:hAnsi="仿宋_GB2312" w:cs="仿宋_GB2312" w:eastAsia="仿宋_GB2312"/>
                      <w:sz w:val="24"/>
                      <w:color w:val="000000"/>
                    </w:rPr>
                    <w:t>Ⅱ，21,22</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177</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霉菌和酵母菌计数</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77</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己酸乙酯</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178</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二甲硝咪唑</w:t>
                  </w:r>
                  <w:r>
                    <w:rPr>
                      <w:rFonts w:ascii="仿宋_GB2312" w:hAnsi="仿宋_GB2312" w:cs="仿宋_GB2312" w:eastAsia="仿宋_GB2312"/>
                      <w:sz w:val="24"/>
                      <w:color w:val="000000"/>
                    </w:rPr>
                    <w:t>/洛硝哒唑代谢物</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78</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抗氧化剂（</w:t>
                  </w:r>
                  <w:r>
                    <w:rPr>
                      <w:rFonts w:ascii="仿宋_GB2312" w:hAnsi="仿宋_GB2312" w:cs="仿宋_GB2312" w:eastAsia="仿宋_GB2312"/>
                      <w:sz w:val="24"/>
                    </w:rPr>
                    <w:t>BHA，BHT、TBHQ）</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179</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副溶血性弧菌</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79</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己烯雌酚</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180</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维生素</w:t>
                  </w:r>
                  <w:r>
                    <w:rPr>
                      <w:rFonts w:ascii="仿宋_GB2312" w:hAnsi="仿宋_GB2312" w:cs="仿宋_GB2312" w:eastAsia="仿宋_GB2312"/>
                      <w:sz w:val="24"/>
                      <w:color w:val="000000"/>
                    </w:rPr>
                    <w:t>B2</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80</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N-二甲基亚硝胺</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181</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挥发性盐基氮</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81</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甲醇</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182</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果糖和葡萄糖</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82</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甲基对硫磷</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183</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蔗糖</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83</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单核细胞增生李斯特氏菌</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184</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特丁硫磷</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84</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甲醛</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185</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吡蚜酮</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85</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大肠埃希氏菌</w:t>
                  </w:r>
                  <w:r>
                    <w:rPr>
                      <w:rFonts w:ascii="仿宋_GB2312" w:hAnsi="仿宋_GB2312" w:cs="仿宋_GB2312" w:eastAsia="仿宋_GB2312"/>
                      <w:sz w:val="24"/>
                      <w:color w:val="000000"/>
                    </w:rPr>
                    <w:t>0157：H7</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186</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苯甲酸盐</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86</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甲醛次硫酸氢钠</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187</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酵母计数</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87</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钾</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188</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极性组分</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88</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非脂乳固体</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189</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锡</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89</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酵母菌</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190</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硝基呋喃代谢物（</w:t>
                  </w:r>
                  <w:r>
                    <w:rPr>
                      <w:rFonts w:ascii="仿宋_GB2312" w:hAnsi="仿宋_GB2312" w:cs="仿宋_GB2312" w:eastAsia="仿宋_GB2312"/>
                      <w:sz w:val="24"/>
                      <w:color w:val="000000"/>
                    </w:rPr>
                    <w:t>AMOZ、SEM、AHD、AOZ）</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90</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酸度</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191</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过氧化物</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91</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金黄色葡萄球菌</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192</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硝酸盐</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92</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酒精度</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193</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锌</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93</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菌落总数</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194</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致病性微生物</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94</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可待因</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195</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溴氰菊酯</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95</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阿斯巴甜</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196</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砷含量</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96</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克百威</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197</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亚硫酸盐（以二氧化硫计）</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97</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日落黄及其铝色淀</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198</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洛硝哒唑</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98</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孔雀石绿及隐色孔雀石绿</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199</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亚硝酸盐</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99</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胭脂红及其铝色淀</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200</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氯化物（以</w:t>
                  </w:r>
                  <w:r>
                    <w:rPr>
                      <w:rFonts w:ascii="仿宋_GB2312" w:hAnsi="仿宋_GB2312" w:cs="仿宋_GB2312" w:eastAsia="仿宋_GB2312"/>
                      <w:sz w:val="24"/>
                      <w:color w:val="000000"/>
                    </w:rPr>
                    <w:t>NaCl计）及硫酸盐（以Na</w:t>
                  </w:r>
                  <w:r>
                    <w:rPr>
                      <w:rFonts w:ascii="仿宋_GB2312" w:hAnsi="仿宋_GB2312" w:cs="仿宋_GB2312" w:eastAsia="仿宋_GB2312"/>
                      <w:sz w:val="24"/>
                      <w:color w:val="000000"/>
                      <w:vertAlign w:val="subscript"/>
                    </w:rPr>
                    <w:t>2</w:t>
                  </w:r>
                  <w:r>
                    <w:rPr>
                      <w:rFonts w:ascii="仿宋_GB2312" w:hAnsi="仿宋_GB2312" w:cs="仿宋_GB2312" w:eastAsia="仿宋_GB2312"/>
                      <w:sz w:val="24"/>
                      <w:color w:val="000000"/>
                    </w:rPr>
                    <w:t>SO</w:t>
                  </w:r>
                  <w:r>
                    <w:rPr>
                      <w:rFonts w:ascii="仿宋_GB2312" w:hAnsi="仿宋_GB2312" w:cs="仿宋_GB2312" w:eastAsia="仿宋_GB2312"/>
                      <w:sz w:val="24"/>
                      <w:color w:val="000000"/>
                      <w:vertAlign w:val="subscript"/>
                    </w:rPr>
                    <w:t>4</w:t>
                  </w:r>
                  <w:r>
                    <w:rPr>
                      <w:rFonts w:ascii="仿宋_GB2312" w:hAnsi="仿宋_GB2312" w:cs="仿宋_GB2312" w:eastAsia="仿宋_GB2312"/>
                      <w:sz w:val="24"/>
                      <w:color w:val="000000"/>
                    </w:rPr>
                    <w:t>计）</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100</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莱克多巴胺</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201</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盐酸克伦特罗</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101</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亮蓝及其铝色淀</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202</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氧乐果</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203</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阿维菌素</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204</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丙溴磷</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205</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恩诺沙星</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206</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氟苯尼考</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207</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甲拌磷</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208</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联苯肼酯</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209</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苯醚甲环唑</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210</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杀扑磷</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211</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灭线磷</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212</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洛美沙星</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213</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双甲脒</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214</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氧氟沙星</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215</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诺氟沙星</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216</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甲基汞</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217</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氯氟氰菊酯</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218</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乙霉威</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219</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啶虫脒</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220</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嘧霉胺</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221</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烯酰吗啉</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222</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噻嗪酮</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223</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丙森锌</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224</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噻虫嗪</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225</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虫酰肼</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226</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氯氟氰菊酯</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227</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甲基异柳磷</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228</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蚍虫啉</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229</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嘧霉胺</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230</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磺胺类</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231</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马拉硫磷</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232</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氟胺氰菊酯</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233</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崩解时限</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234</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胶囊壳中的铬</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235</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西布曲明</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236</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麻黄碱</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237</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甲苯磺丁脲</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238</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格列本脲</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239</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那红地那非</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240</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红地那非</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241</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西地那非</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242</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地西泮</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243</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硝西泮</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244</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氯氮卓</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245</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奥沙西泮</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246</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阿替洛尔</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247</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盐酸可乐定</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248</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氢氯噻嗪</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249</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卡托普利</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250</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能量</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251</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蛋白质</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252</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脂肪</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253</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亚油酸</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254</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维生素</w:t>
                  </w:r>
                  <w:r>
                    <w:rPr>
                      <w:rFonts w:ascii="仿宋_GB2312" w:hAnsi="仿宋_GB2312" w:cs="仿宋_GB2312" w:eastAsia="仿宋_GB2312"/>
                      <w:sz w:val="24"/>
                      <w:color w:val="000000"/>
                    </w:rPr>
                    <w:t>A、C、D、B1、B2、B6、E</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255</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总钠</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256</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铁</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257</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硒</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258</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镁</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259</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叶酸</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260</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生物素</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261</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胆碱</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262</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亚油酸</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263</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α</w:t>
                  </w:r>
                  <w:r>
                    <w:rPr>
                      <w:rFonts w:ascii="仿宋_GB2312" w:hAnsi="仿宋_GB2312" w:cs="仿宋_GB2312" w:eastAsia="仿宋_GB2312"/>
                      <w:sz w:val="24"/>
                      <w:color w:val="000000"/>
                    </w:rPr>
                    <w:t>-亚麻酸</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264</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反式脂肪酸最高含量与总脂肪酸比值</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265</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三聚氰胺</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266</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碳水化合物</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267</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乳糖占碳水化合物总量</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268</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烟酸</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269</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左旋肉碱</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270</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香兰素</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271</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磷酸盐</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bl>
          <w:p>
            <w:pPr>
              <w:pStyle w:val="null3"/>
              <w:jc w:val="both"/>
            </w:pPr>
            <w:r>
              <w:rPr>
                <w:rFonts w:ascii="仿宋_GB2312" w:hAnsi="仿宋_GB2312" w:cs="仿宋_GB2312" w:eastAsia="仿宋_GB2312"/>
                <w:sz w:val="28"/>
                <w:b/>
              </w:rPr>
              <w:t>（备注：未涉及的抽检品种，检验项目可根据采购人实际情况予以增补）</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标的名称：采购包2（1330批次）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606"/>
              <w:gridCol w:w="854"/>
              <w:gridCol w:w="536"/>
              <w:gridCol w:w="546"/>
            </w:tblGrid>
            <w:tr>
              <w:tc>
                <w:tcPr>
                  <w:tcW w:type="dxa" w:w="6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标项</w:t>
                  </w:r>
                </w:p>
              </w:tc>
              <w:tc>
                <w:tcPr>
                  <w:tcW w:type="dxa" w:w="8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标项</w:t>
                  </w:r>
                  <w:r>
                    <w:rPr>
                      <w:rFonts w:ascii="仿宋_GB2312" w:hAnsi="仿宋_GB2312" w:cs="仿宋_GB2312" w:eastAsia="仿宋_GB2312"/>
                      <w:sz w:val="28"/>
                    </w:rPr>
                    <w:t>名称</w:t>
                  </w:r>
                </w:p>
                <w:p>
                  <w:pPr>
                    <w:pStyle w:val="null3"/>
                    <w:jc w:val="center"/>
                  </w:pPr>
                  <w:r>
                    <w:rPr>
                      <w:rFonts w:ascii="仿宋_GB2312" w:hAnsi="仿宋_GB2312" w:cs="仿宋_GB2312" w:eastAsia="仿宋_GB2312"/>
                      <w:sz w:val="28"/>
                    </w:rPr>
                    <w:t>(监管所)</w:t>
                  </w:r>
                </w:p>
              </w:tc>
              <w:tc>
                <w:tcPr>
                  <w:tcW w:type="dxa" w:w="5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拟分配</w:t>
                  </w:r>
                </w:p>
                <w:p>
                  <w:pPr>
                    <w:pStyle w:val="null3"/>
                    <w:jc w:val="center"/>
                  </w:pPr>
                  <w:r>
                    <w:rPr>
                      <w:rFonts w:ascii="仿宋_GB2312" w:hAnsi="仿宋_GB2312" w:cs="仿宋_GB2312" w:eastAsia="仿宋_GB2312"/>
                      <w:sz w:val="28"/>
                    </w:rPr>
                    <w:t>任务批次数</w:t>
                  </w:r>
                </w:p>
              </w:tc>
              <w:tc>
                <w:tcPr>
                  <w:tcW w:type="dxa" w:w="5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预算总金额</w:t>
                  </w:r>
                  <w:r>
                    <w:rPr>
                      <w:rFonts w:ascii="仿宋_GB2312" w:hAnsi="仿宋_GB2312" w:cs="仿宋_GB2312" w:eastAsia="仿宋_GB2312"/>
                      <w:sz w:val="28"/>
                    </w:rPr>
                    <w:t>(元)</w:t>
                  </w:r>
                </w:p>
              </w:tc>
            </w:tr>
            <w:tr>
              <w:tc>
                <w:tcPr>
                  <w:tcW w:type="dxa" w:w="6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采购包</w:t>
                  </w:r>
                  <w:r>
                    <w:rPr>
                      <w:rFonts w:ascii="仿宋_GB2312" w:hAnsi="仿宋_GB2312" w:cs="仿宋_GB2312" w:eastAsia="仿宋_GB2312"/>
                      <w:sz w:val="28"/>
                    </w:rPr>
                    <w:t>2</w:t>
                  </w:r>
                </w:p>
                <w:p>
                  <w:pPr>
                    <w:pStyle w:val="null3"/>
                    <w:jc w:val="center"/>
                  </w:pPr>
                  <w:r>
                    <w:rPr>
                      <w:rFonts w:ascii="仿宋_GB2312" w:hAnsi="仿宋_GB2312" w:cs="仿宋_GB2312" w:eastAsia="仿宋_GB2312"/>
                      <w:sz w:val="28"/>
                    </w:rPr>
                    <w:t>（</w:t>
                  </w:r>
                  <w:r>
                    <w:rPr>
                      <w:rFonts w:ascii="仿宋_GB2312" w:hAnsi="仿宋_GB2312" w:cs="仿宋_GB2312" w:eastAsia="仿宋_GB2312"/>
                      <w:sz w:val="28"/>
                    </w:rPr>
                    <w:t>13</w:t>
                  </w:r>
                  <w:r>
                    <w:rPr>
                      <w:rFonts w:ascii="仿宋_GB2312" w:hAnsi="仿宋_GB2312" w:cs="仿宋_GB2312" w:eastAsia="仿宋_GB2312"/>
                      <w:sz w:val="28"/>
                    </w:rPr>
                    <w:t>30</w:t>
                  </w:r>
                  <w:r>
                    <w:rPr>
                      <w:rFonts w:ascii="仿宋_GB2312" w:hAnsi="仿宋_GB2312" w:cs="仿宋_GB2312" w:eastAsia="仿宋_GB2312"/>
                      <w:sz w:val="28"/>
                    </w:rPr>
                    <w:t>批次）</w:t>
                  </w:r>
                </w:p>
              </w:tc>
              <w:tc>
                <w:tcPr>
                  <w:tcW w:type="dxa" w:w="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长乐</w:t>
                  </w:r>
                  <w:r>
                    <w:rPr>
                      <w:rFonts w:ascii="仿宋_GB2312" w:hAnsi="仿宋_GB2312" w:cs="仿宋_GB2312" w:eastAsia="仿宋_GB2312"/>
                      <w:sz w:val="28"/>
                    </w:rPr>
                    <w:t>西</w:t>
                  </w:r>
                  <w:r>
                    <w:rPr>
                      <w:rFonts w:ascii="仿宋_GB2312" w:hAnsi="仿宋_GB2312" w:cs="仿宋_GB2312" w:eastAsia="仿宋_GB2312"/>
                      <w:sz w:val="28"/>
                    </w:rPr>
                    <w:t>路</w:t>
                  </w:r>
                  <w:r>
                    <w:rPr>
                      <w:rFonts w:ascii="仿宋_GB2312" w:hAnsi="仿宋_GB2312" w:cs="仿宋_GB2312" w:eastAsia="仿宋_GB2312"/>
                      <w:sz w:val="28"/>
                    </w:rPr>
                    <w:t>市场监管所</w:t>
                  </w:r>
                </w:p>
              </w:tc>
              <w:tc>
                <w:tcPr>
                  <w:tcW w:type="dxa" w:w="5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280</w:t>
                  </w:r>
                </w:p>
              </w:tc>
              <w:tc>
                <w:tcPr>
                  <w:tcW w:type="dxa" w:w="54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10507</w:t>
                  </w:r>
                  <w:r>
                    <w:rPr>
                      <w:rFonts w:ascii="仿宋_GB2312" w:hAnsi="仿宋_GB2312" w:cs="仿宋_GB2312" w:eastAsia="仿宋_GB2312"/>
                      <w:sz w:val="28"/>
                    </w:rPr>
                    <w:t>00</w:t>
                  </w:r>
                </w:p>
              </w:tc>
            </w:tr>
            <w:tr>
              <w:tc>
                <w:tcPr>
                  <w:tcW w:type="dxa" w:w="606"/>
                  <w:vMerge/>
                  <w:tcBorders>
                    <w:top w:val="none" w:color="000000" w:sz="4"/>
                    <w:left w:val="single" w:color="000000" w:sz="4"/>
                    <w:bottom w:val="single" w:color="000000" w:sz="4"/>
                    <w:right w:val="single" w:color="000000" w:sz="4"/>
                  </w:tcBorders>
                </w:tcPr>
                <w:p/>
              </w:tc>
              <w:tc>
                <w:tcPr>
                  <w:tcW w:type="dxa" w:w="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长乐</w:t>
                  </w:r>
                  <w:r>
                    <w:rPr>
                      <w:rFonts w:ascii="仿宋_GB2312" w:hAnsi="仿宋_GB2312" w:cs="仿宋_GB2312" w:eastAsia="仿宋_GB2312"/>
                      <w:sz w:val="28"/>
                    </w:rPr>
                    <w:t>中</w:t>
                  </w:r>
                  <w:r>
                    <w:rPr>
                      <w:rFonts w:ascii="仿宋_GB2312" w:hAnsi="仿宋_GB2312" w:cs="仿宋_GB2312" w:eastAsia="仿宋_GB2312"/>
                      <w:sz w:val="28"/>
                    </w:rPr>
                    <w:t>路</w:t>
                  </w:r>
                  <w:r>
                    <w:rPr>
                      <w:rFonts w:ascii="仿宋_GB2312" w:hAnsi="仿宋_GB2312" w:cs="仿宋_GB2312" w:eastAsia="仿宋_GB2312"/>
                      <w:sz w:val="28"/>
                    </w:rPr>
                    <w:t>市场监管所</w:t>
                  </w:r>
                </w:p>
              </w:tc>
              <w:tc>
                <w:tcPr>
                  <w:tcW w:type="dxa" w:w="5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280</w:t>
                  </w:r>
                </w:p>
              </w:tc>
              <w:tc>
                <w:tcPr>
                  <w:tcW w:type="dxa" w:w="546"/>
                  <w:vMerge/>
                  <w:tcBorders>
                    <w:top w:val="none" w:color="000000" w:sz="4"/>
                    <w:left w:val="single" w:color="000000" w:sz="4"/>
                    <w:bottom w:val="single" w:color="000000" w:sz="4"/>
                    <w:right w:val="single" w:color="000000" w:sz="4"/>
                  </w:tcBorders>
                </w:tcPr>
                <w:p/>
              </w:tc>
            </w:tr>
            <w:tr>
              <w:tc>
                <w:tcPr>
                  <w:tcW w:type="dxa" w:w="606"/>
                  <w:vMerge/>
                  <w:tcBorders>
                    <w:top w:val="none" w:color="000000" w:sz="4"/>
                    <w:left w:val="single" w:color="000000" w:sz="4"/>
                    <w:bottom w:val="single" w:color="000000" w:sz="4"/>
                    <w:right w:val="single" w:color="000000" w:sz="4"/>
                  </w:tcBorders>
                </w:tcPr>
                <w:p/>
              </w:tc>
              <w:tc>
                <w:tcPr>
                  <w:tcW w:type="dxa" w:w="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韩森寨</w:t>
                  </w:r>
                  <w:r>
                    <w:rPr>
                      <w:rFonts w:ascii="仿宋_GB2312" w:hAnsi="仿宋_GB2312" w:cs="仿宋_GB2312" w:eastAsia="仿宋_GB2312"/>
                      <w:sz w:val="28"/>
                    </w:rPr>
                    <w:t>市场监管所</w:t>
                  </w:r>
                </w:p>
              </w:tc>
              <w:tc>
                <w:tcPr>
                  <w:tcW w:type="dxa" w:w="5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280</w:t>
                  </w:r>
                </w:p>
              </w:tc>
              <w:tc>
                <w:tcPr>
                  <w:tcW w:type="dxa" w:w="546"/>
                  <w:vMerge/>
                  <w:tcBorders>
                    <w:top w:val="none" w:color="000000" w:sz="4"/>
                    <w:left w:val="single" w:color="000000" w:sz="4"/>
                    <w:bottom w:val="single" w:color="000000" w:sz="4"/>
                    <w:right w:val="single" w:color="000000" w:sz="4"/>
                  </w:tcBorders>
                </w:tcPr>
                <w:p/>
              </w:tc>
            </w:tr>
            <w:tr>
              <w:tc>
                <w:tcPr>
                  <w:tcW w:type="dxa" w:w="606"/>
                  <w:vMerge/>
                  <w:tcBorders>
                    <w:top w:val="none" w:color="000000" w:sz="4"/>
                    <w:left w:val="single" w:color="000000" w:sz="4"/>
                    <w:bottom w:val="single" w:color="000000" w:sz="4"/>
                    <w:right w:val="single" w:color="000000" w:sz="4"/>
                  </w:tcBorders>
                </w:tcPr>
                <w:p/>
              </w:tc>
              <w:tc>
                <w:tcPr>
                  <w:tcW w:type="dxa" w:w="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胡家庙</w:t>
                  </w:r>
                  <w:r>
                    <w:rPr>
                      <w:rFonts w:ascii="仿宋_GB2312" w:hAnsi="仿宋_GB2312" w:cs="仿宋_GB2312" w:eastAsia="仿宋_GB2312"/>
                      <w:sz w:val="28"/>
                    </w:rPr>
                    <w:t>市场监管所</w:t>
                  </w:r>
                </w:p>
              </w:tc>
              <w:tc>
                <w:tcPr>
                  <w:tcW w:type="dxa" w:w="5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3</w:t>
                  </w:r>
                  <w:r>
                    <w:rPr>
                      <w:rFonts w:ascii="仿宋_GB2312" w:hAnsi="仿宋_GB2312" w:cs="仿宋_GB2312" w:eastAsia="仿宋_GB2312"/>
                      <w:sz w:val="28"/>
                    </w:rPr>
                    <w:t>1</w:t>
                  </w:r>
                  <w:r>
                    <w:rPr>
                      <w:rFonts w:ascii="仿宋_GB2312" w:hAnsi="仿宋_GB2312" w:cs="仿宋_GB2312" w:eastAsia="仿宋_GB2312"/>
                      <w:sz w:val="28"/>
                    </w:rPr>
                    <w:t>0</w:t>
                  </w:r>
                </w:p>
              </w:tc>
              <w:tc>
                <w:tcPr>
                  <w:tcW w:type="dxa" w:w="546"/>
                  <w:vMerge/>
                  <w:tcBorders>
                    <w:top w:val="none" w:color="000000" w:sz="4"/>
                    <w:left w:val="single" w:color="000000" w:sz="4"/>
                    <w:bottom w:val="single" w:color="000000" w:sz="4"/>
                    <w:right w:val="single" w:color="000000" w:sz="4"/>
                  </w:tcBorders>
                </w:tcPr>
                <w:p/>
              </w:tc>
            </w:tr>
            <w:tr>
              <w:tc>
                <w:tcPr>
                  <w:tcW w:type="dxa" w:w="606"/>
                  <w:vMerge/>
                  <w:tcBorders>
                    <w:top w:val="none" w:color="000000" w:sz="4"/>
                    <w:left w:val="single" w:color="000000" w:sz="4"/>
                    <w:bottom w:val="single" w:color="000000" w:sz="4"/>
                    <w:right w:val="single" w:color="000000" w:sz="4"/>
                  </w:tcBorders>
                </w:tcPr>
                <w:p/>
              </w:tc>
              <w:tc>
                <w:tcPr>
                  <w:tcW w:type="dxa" w:w="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康复路市场监管所</w:t>
                  </w:r>
                </w:p>
              </w:tc>
              <w:tc>
                <w:tcPr>
                  <w:tcW w:type="dxa" w:w="5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110</w:t>
                  </w:r>
                </w:p>
              </w:tc>
              <w:tc>
                <w:tcPr>
                  <w:tcW w:type="dxa" w:w="546"/>
                  <w:vMerge/>
                  <w:tcBorders>
                    <w:top w:val="none" w:color="000000" w:sz="4"/>
                    <w:left w:val="single" w:color="000000" w:sz="4"/>
                    <w:bottom w:val="single" w:color="000000" w:sz="4"/>
                    <w:right w:val="single" w:color="000000" w:sz="4"/>
                  </w:tcBorders>
                </w:tcPr>
                <w:p/>
              </w:tc>
            </w:tr>
            <w:tr>
              <w:tc>
                <w:tcPr>
                  <w:tcW w:type="dxa" w:w="606"/>
                  <w:vMerge/>
                  <w:tcBorders>
                    <w:top w:val="none" w:color="000000" w:sz="4"/>
                    <w:left w:val="single" w:color="000000" w:sz="4"/>
                    <w:bottom w:val="single" w:color="000000" w:sz="4"/>
                    <w:right w:val="single" w:color="000000" w:sz="4"/>
                  </w:tcBorders>
                </w:tcPr>
                <w:p/>
              </w:tc>
              <w:tc>
                <w:tcPr>
                  <w:tcW w:type="dxa" w:w="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轻工市场监管所</w:t>
                  </w:r>
                </w:p>
              </w:tc>
              <w:tc>
                <w:tcPr>
                  <w:tcW w:type="dxa" w:w="5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7</w:t>
                  </w:r>
                  <w:r>
                    <w:rPr>
                      <w:rFonts w:ascii="仿宋_GB2312" w:hAnsi="仿宋_GB2312" w:cs="仿宋_GB2312" w:eastAsia="仿宋_GB2312"/>
                      <w:sz w:val="28"/>
                    </w:rPr>
                    <w:t>0</w:t>
                  </w:r>
                </w:p>
              </w:tc>
              <w:tc>
                <w:tcPr>
                  <w:tcW w:type="dxa" w:w="546"/>
                  <w:vMerge/>
                  <w:tcBorders>
                    <w:top w:val="none" w:color="000000" w:sz="4"/>
                    <w:left w:val="single" w:color="000000" w:sz="4"/>
                    <w:bottom w:val="single" w:color="000000" w:sz="4"/>
                    <w:right w:val="single" w:color="000000" w:sz="4"/>
                  </w:tcBorders>
                </w:tcPr>
                <w:p/>
              </w:tc>
            </w:tr>
          </w:tbl>
          <w:p>
            <w:pPr>
              <w:pStyle w:val="null3"/>
              <w:ind w:firstLine="640"/>
              <w:jc w:val="both"/>
            </w:pPr>
            <w:r>
              <w:rPr>
                <w:rFonts w:ascii="仿宋_GB2312" w:hAnsi="仿宋_GB2312" w:cs="仿宋_GB2312" w:eastAsia="仿宋_GB2312"/>
                <w:sz w:val="32"/>
              </w:rPr>
              <w:t>一、采购内容</w:t>
            </w:r>
            <w:r>
              <w:rPr>
                <w:rFonts w:ascii="仿宋_GB2312" w:hAnsi="仿宋_GB2312" w:cs="仿宋_GB2312" w:eastAsia="仿宋_GB2312"/>
                <w:sz w:val="32"/>
              </w:rPr>
              <w:t>:为更好地完成202</w:t>
            </w:r>
            <w:r>
              <w:rPr>
                <w:rFonts w:ascii="仿宋_GB2312" w:hAnsi="仿宋_GB2312" w:cs="仿宋_GB2312" w:eastAsia="仿宋_GB2312"/>
                <w:sz w:val="32"/>
              </w:rPr>
              <w:t>6</w:t>
            </w:r>
            <w:r>
              <w:rPr>
                <w:rFonts w:ascii="仿宋_GB2312" w:hAnsi="仿宋_GB2312" w:cs="仿宋_GB2312" w:eastAsia="仿宋_GB2312"/>
                <w:sz w:val="32"/>
              </w:rPr>
              <w:t>年食品安全抽检工作，采购负责承担新城区</w:t>
            </w:r>
            <w:r>
              <w:rPr>
                <w:rFonts w:ascii="仿宋_GB2312" w:hAnsi="仿宋_GB2312" w:cs="仿宋_GB2312" w:eastAsia="仿宋_GB2312"/>
                <w:sz w:val="32"/>
              </w:rPr>
              <w:t>9个街办辖区（共11个市场监管所）内202</w:t>
            </w:r>
            <w:r>
              <w:rPr>
                <w:rFonts w:ascii="仿宋_GB2312" w:hAnsi="仿宋_GB2312" w:cs="仿宋_GB2312" w:eastAsia="仿宋_GB2312"/>
                <w:sz w:val="32"/>
              </w:rPr>
              <w:t>6</w:t>
            </w:r>
            <w:r>
              <w:rPr>
                <w:rFonts w:ascii="仿宋_GB2312" w:hAnsi="仿宋_GB2312" w:cs="仿宋_GB2312" w:eastAsia="仿宋_GB2312"/>
                <w:sz w:val="32"/>
              </w:rPr>
              <w:t>年的食品安全抽检任务。</w:t>
            </w:r>
          </w:p>
          <w:p>
            <w:pPr>
              <w:pStyle w:val="null3"/>
              <w:ind w:firstLine="640"/>
              <w:jc w:val="both"/>
            </w:pPr>
            <w:r>
              <w:rPr>
                <w:rFonts w:ascii="仿宋_GB2312" w:hAnsi="仿宋_GB2312" w:cs="仿宋_GB2312" w:eastAsia="仿宋_GB2312"/>
                <w:sz w:val="32"/>
              </w:rPr>
              <w:t>二、服务要求：</w:t>
            </w:r>
          </w:p>
          <w:p>
            <w:pPr>
              <w:pStyle w:val="null3"/>
              <w:ind w:firstLine="640"/>
              <w:jc w:val="both"/>
            </w:pPr>
            <w:r>
              <w:rPr>
                <w:rFonts w:ascii="仿宋_GB2312" w:hAnsi="仿宋_GB2312" w:cs="仿宋_GB2312" w:eastAsia="仿宋_GB2312"/>
                <w:sz w:val="32"/>
              </w:rPr>
              <w:t>1、服务期限：自合同签订之日起12个月；</w:t>
            </w:r>
          </w:p>
          <w:p>
            <w:pPr>
              <w:pStyle w:val="null3"/>
              <w:ind w:firstLine="640"/>
              <w:jc w:val="both"/>
            </w:pPr>
            <w:r>
              <w:rPr>
                <w:rFonts w:ascii="仿宋_GB2312" w:hAnsi="仿宋_GB2312" w:cs="仿宋_GB2312" w:eastAsia="仿宋_GB2312"/>
                <w:sz w:val="32"/>
              </w:rPr>
              <w:t>2、能提供高效抽检服务，全年365天提供24小时服务，能接受抽样工作委托，有专门团队负责配合采样；</w:t>
            </w:r>
          </w:p>
          <w:p>
            <w:pPr>
              <w:pStyle w:val="null3"/>
              <w:ind w:firstLine="640"/>
              <w:jc w:val="both"/>
            </w:pPr>
            <w:r>
              <w:rPr>
                <w:rFonts w:ascii="仿宋_GB2312" w:hAnsi="仿宋_GB2312" w:cs="仿宋_GB2312" w:eastAsia="仿宋_GB2312"/>
                <w:sz w:val="32"/>
              </w:rPr>
              <w:t>3、抽检样品必须在当天进入食品检测实验室，以确保样品检测报告的准确性、报告复检维持率高；</w:t>
            </w:r>
          </w:p>
          <w:p>
            <w:pPr>
              <w:pStyle w:val="null3"/>
              <w:ind w:firstLine="640"/>
              <w:jc w:val="both"/>
            </w:pPr>
            <w:r>
              <w:rPr>
                <w:rFonts w:ascii="仿宋_GB2312" w:hAnsi="仿宋_GB2312" w:cs="仿宋_GB2312" w:eastAsia="仿宋_GB2312"/>
                <w:sz w:val="32"/>
              </w:rPr>
              <w:t>4、能够熟练运用各级抽检系统，及时准确地录入抽检、检验信息，辅助我局完成统计报表、信息公示等工作；</w:t>
            </w:r>
          </w:p>
          <w:p>
            <w:pPr>
              <w:pStyle w:val="null3"/>
              <w:ind w:firstLine="640"/>
              <w:jc w:val="both"/>
            </w:pPr>
            <w:r>
              <w:rPr>
                <w:rFonts w:ascii="仿宋_GB2312" w:hAnsi="仿宋_GB2312" w:cs="仿宋_GB2312" w:eastAsia="仿宋_GB2312"/>
                <w:sz w:val="32"/>
              </w:rPr>
              <w:t>5、有能满足采样、运输、检验等工作的车辆、设备等硬件；</w:t>
            </w:r>
          </w:p>
          <w:p>
            <w:pPr>
              <w:pStyle w:val="null3"/>
              <w:ind w:firstLine="640"/>
              <w:jc w:val="both"/>
            </w:pPr>
            <w:r>
              <w:rPr>
                <w:rFonts w:ascii="仿宋_GB2312" w:hAnsi="仿宋_GB2312" w:cs="仿宋_GB2312" w:eastAsia="仿宋_GB2312"/>
                <w:sz w:val="32"/>
              </w:rPr>
              <w:t>6、不得将检验任务外包或分包给其他检测机构检验；</w:t>
            </w:r>
          </w:p>
          <w:p>
            <w:pPr>
              <w:pStyle w:val="null3"/>
              <w:ind w:firstLine="640"/>
              <w:jc w:val="both"/>
            </w:pPr>
            <w:r>
              <w:rPr>
                <w:rFonts w:ascii="仿宋_GB2312" w:hAnsi="仿宋_GB2312" w:cs="仿宋_GB2312" w:eastAsia="仿宋_GB2312"/>
                <w:sz w:val="32"/>
              </w:rPr>
              <w:t>7、若供应商出具虚假、错误检验数据和结论，一经发现，立即取消合作资格；</w:t>
            </w:r>
          </w:p>
          <w:p>
            <w:pPr>
              <w:pStyle w:val="null3"/>
              <w:ind w:firstLine="640"/>
              <w:jc w:val="both"/>
            </w:pPr>
            <w:r>
              <w:rPr>
                <w:rFonts w:ascii="仿宋_GB2312" w:hAnsi="仿宋_GB2312" w:cs="仿宋_GB2312" w:eastAsia="仿宋_GB2312"/>
                <w:sz w:val="32"/>
              </w:rPr>
              <w:t>8、须提供相关的业务咨询、报告分析等服务；</w:t>
            </w:r>
          </w:p>
          <w:p>
            <w:pPr>
              <w:pStyle w:val="null3"/>
              <w:ind w:firstLine="640"/>
              <w:jc w:val="both"/>
            </w:pPr>
            <w:r>
              <w:rPr>
                <w:rFonts w:ascii="仿宋_GB2312" w:hAnsi="仿宋_GB2312" w:cs="仿宋_GB2312" w:eastAsia="仿宋_GB2312"/>
                <w:sz w:val="32"/>
              </w:rPr>
              <w:t>9、检验机构收到检品后15个工作日出具检验报告。对于特殊、涉案样品的检验，3天出结果，7天出报告；</w:t>
            </w:r>
          </w:p>
          <w:p>
            <w:pPr>
              <w:pStyle w:val="null3"/>
              <w:ind w:firstLine="640"/>
              <w:jc w:val="both"/>
            </w:pPr>
            <w:r>
              <w:rPr>
                <w:rFonts w:ascii="仿宋_GB2312" w:hAnsi="仿宋_GB2312" w:cs="仿宋_GB2312" w:eastAsia="仿宋_GB2312"/>
                <w:sz w:val="32"/>
              </w:rPr>
              <w:t>10、有完善的投诉受理机制，能够对委托检验人提出的异议做出有效回应；</w:t>
            </w:r>
          </w:p>
          <w:p>
            <w:pPr>
              <w:pStyle w:val="null3"/>
              <w:ind w:firstLine="640"/>
              <w:jc w:val="both"/>
            </w:pPr>
            <w:r>
              <w:rPr>
                <w:rFonts w:ascii="仿宋_GB2312" w:hAnsi="仿宋_GB2312" w:cs="仿宋_GB2312" w:eastAsia="仿宋_GB2312"/>
                <w:sz w:val="32"/>
              </w:rPr>
              <w:t>11、供应商检验检测项目未达到100%时，应承诺其余项目在服务合同签订后2个月内完成扩项，若中标后未能及时完成扩项，采购人有权终止合同；</w:t>
            </w:r>
          </w:p>
          <w:p>
            <w:pPr>
              <w:pStyle w:val="null3"/>
              <w:ind w:firstLine="640"/>
              <w:jc w:val="both"/>
            </w:pPr>
            <w:r>
              <w:rPr>
                <w:rFonts w:ascii="仿宋_GB2312" w:hAnsi="仿宋_GB2312" w:cs="仿宋_GB2312" w:eastAsia="仿宋_GB2312"/>
                <w:sz w:val="32"/>
              </w:rPr>
              <w:t>12、投标单位中标后，承担对应标段的检测任务，应逐月完成当月任务，并当月汇总本月的抽检清单；</w:t>
            </w:r>
          </w:p>
          <w:p>
            <w:pPr>
              <w:pStyle w:val="null3"/>
              <w:ind w:firstLine="640"/>
              <w:jc w:val="both"/>
            </w:pPr>
            <w:r>
              <w:rPr>
                <w:rFonts w:ascii="仿宋_GB2312" w:hAnsi="仿宋_GB2312" w:cs="仿宋_GB2312" w:eastAsia="仿宋_GB2312"/>
                <w:sz w:val="32"/>
              </w:rPr>
              <w:t>13、承检机构如在一个季度内未按照要求完成承检任务的或严重影响阶段性监督抽检考核任务的，采购人有权终止合同并按照完成任务的70%进行结算。</w:t>
            </w:r>
          </w:p>
          <w:p>
            <w:pPr>
              <w:pStyle w:val="null3"/>
              <w:ind w:firstLine="640"/>
              <w:jc w:val="both"/>
            </w:pPr>
            <w:r>
              <w:rPr>
                <w:rFonts w:ascii="仿宋_GB2312" w:hAnsi="仿宋_GB2312" w:cs="仿宋_GB2312" w:eastAsia="仿宋_GB2312"/>
                <w:sz w:val="30"/>
                <w:b/>
              </w:rPr>
              <w:t xml:space="preserve">             日常检测项目表</w:t>
            </w:r>
            <w:r>
              <w:rPr>
                <w:rFonts w:ascii="仿宋_GB2312" w:hAnsi="仿宋_GB2312" w:cs="仿宋_GB2312" w:eastAsia="仿宋_GB2312"/>
                <w:sz w:val="21"/>
              </w:rPr>
              <w:t xml:space="preserve"> </w:t>
            </w:r>
          </w:p>
          <w:tbl>
            <w:tblPr>
              <w:tblInd w:type="dxa" w:w="135"/>
              <w:tblBorders>
                <w:top w:val="none" w:color="000000" w:sz="4"/>
                <w:left w:val="none" w:color="000000" w:sz="4"/>
                <w:bottom w:val="none" w:color="000000" w:sz="4"/>
                <w:right w:val="none" w:color="000000" w:sz="4"/>
                <w:insideH w:val="none"/>
                <w:insideV w:val="none"/>
              </w:tblBorders>
            </w:tblPr>
            <w:tblGrid>
              <w:gridCol w:w="263"/>
              <w:gridCol w:w="666"/>
              <w:gridCol w:w="217"/>
              <w:gridCol w:w="887"/>
              <w:gridCol w:w="508"/>
            </w:tblGrid>
            <w:tr>
              <w:tc>
                <w:tcPr>
                  <w:tcW w:type="dxa" w:w="263"/>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序号</w:t>
                  </w:r>
                </w:p>
              </w:tc>
              <w:tc>
                <w:tcPr>
                  <w:tcW w:type="dxa" w:w="66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检测项目名称</w:t>
                  </w:r>
                </w:p>
              </w:tc>
              <w:tc>
                <w:tcPr>
                  <w:tcW w:type="dxa" w:w="21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序号</w:t>
                  </w:r>
                </w:p>
              </w:tc>
              <w:tc>
                <w:tcPr>
                  <w:tcW w:type="dxa" w:w="88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检测项目名称</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6-苄基腺嘌呤</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102</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硫酸盐</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4-氯苯氧乙酸钠</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103</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柠檬黄及其铝色淀</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3</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乙酸乙酯</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104</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六六六</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4</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安赛蜜</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105</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复原乳酸度</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乙酰甲胺磷</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106</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罗丹明</w:t>
                  </w:r>
                  <w:r>
                    <w:rPr>
                      <w:rFonts w:ascii="仿宋_GB2312" w:hAnsi="仿宋_GB2312" w:cs="仿宋_GB2312" w:eastAsia="仿宋_GB2312"/>
                      <w:sz w:val="24"/>
                      <w:color w:val="000000"/>
                    </w:rPr>
                    <w:t>B</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6</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氨基酸态氮</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107</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杂质度</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7</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罂粟碱</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108</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铝</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8</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百菌清</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109</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乳固体</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9</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荧光增白剂（限金针菇、白灵菇、双孢蘑菇）</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110</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铝残留量</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苯并（</w:t>
                  </w:r>
                  <w:r>
                    <w:rPr>
                      <w:rFonts w:ascii="仿宋_GB2312" w:hAnsi="仿宋_GB2312" w:cs="仿宋_GB2312" w:eastAsia="仿宋_GB2312"/>
                      <w:sz w:val="24"/>
                      <w:color w:val="000000"/>
                    </w:rPr>
                    <w:t>α）芘</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111</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钠他霉素</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11</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游离性余氯</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112</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氯化物</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12</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苯甲酸</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113</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氯菊酯</w:t>
                  </w:r>
                  <w:r>
                    <w:rPr>
                      <w:rFonts w:ascii="仿宋_GB2312" w:hAnsi="仿宋_GB2312" w:cs="仿宋_GB2312" w:eastAsia="仿宋_GB2312"/>
                      <w:sz w:val="24"/>
                      <w:color w:val="000000"/>
                    </w:rPr>
                    <w:t>C</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13</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原麦汁浓度</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114</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色度</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14</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丙酸及其钠盐</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115</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氯霉素</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15</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展青霉素</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116</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浑浊度</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16</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不溶于水杂质</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117</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界限指标</w:t>
                  </w:r>
                  <w:r>
                    <w:rPr>
                      <w:rFonts w:ascii="仿宋_GB2312" w:hAnsi="仿宋_GB2312" w:cs="仿宋_GB2312" w:eastAsia="仿宋_GB2312"/>
                      <w:sz w:val="24"/>
                      <w:color w:val="000000"/>
                    </w:rPr>
                    <w:t>-锂</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17</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蔗糖分</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118</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吗啡</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18</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茶多酚（茶饮料）</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119</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界限指标</w:t>
                  </w:r>
                  <w:r>
                    <w:rPr>
                      <w:rFonts w:ascii="仿宋_GB2312" w:hAnsi="仿宋_GB2312" w:cs="仿宋_GB2312" w:eastAsia="仿宋_GB2312"/>
                      <w:sz w:val="24"/>
                      <w:color w:val="000000"/>
                    </w:rPr>
                    <w:t>-锶</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19</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呈味核苷酸二钠</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120</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螨</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20</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志贺氏菌</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121</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界限指标</w:t>
                  </w:r>
                  <w:r>
                    <w:rPr>
                      <w:rFonts w:ascii="仿宋_GB2312" w:hAnsi="仿宋_GB2312" w:cs="仿宋_GB2312" w:eastAsia="仿宋_GB2312"/>
                      <w:sz w:val="24"/>
                      <w:color w:val="000000"/>
                    </w:rPr>
                    <w:t>-锌</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21</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大肠菌群</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122</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没食子酸丙酯类</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22</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致病菌</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123</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界限指标</w:t>
                  </w:r>
                  <w:r>
                    <w:rPr>
                      <w:rFonts w:ascii="仿宋_GB2312" w:hAnsi="仿宋_GB2312" w:cs="仿宋_GB2312" w:eastAsia="仿宋_GB2312"/>
                      <w:sz w:val="24"/>
                      <w:color w:val="000000"/>
                    </w:rPr>
                    <w:t>-碘化物</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23</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总汞</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124</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霉菌</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24</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蛋白质</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125</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界限指标</w:t>
                  </w:r>
                  <w:r>
                    <w:rPr>
                      <w:rFonts w:ascii="仿宋_GB2312" w:hAnsi="仿宋_GB2312" w:cs="仿宋_GB2312" w:eastAsia="仿宋_GB2312"/>
                      <w:sz w:val="24"/>
                      <w:color w:val="000000"/>
                    </w:rPr>
                    <w:t>-偏硅酸</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25</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总灰分</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126</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霉菌计数</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26</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滴滴涕（</w:t>
                  </w:r>
                  <w:r>
                    <w:rPr>
                      <w:rFonts w:ascii="仿宋_GB2312" w:hAnsi="仿宋_GB2312" w:cs="仿宋_GB2312" w:eastAsia="仿宋_GB2312"/>
                      <w:sz w:val="24"/>
                      <w:color w:val="000000"/>
                    </w:rPr>
                    <w:t>DDT）</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127</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界限指标</w:t>
                  </w:r>
                  <w:r>
                    <w:rPr>
                      <w:rFonts w:ascii="仿宋_GB2312" w:hAnsi="仿宋_GB2312" w:cs="仿宋_GB2312" w:eastAsia="仿宋_GB2312"/>
                      <w:sz w:val="24"/>
                      <w:color w:val="000000"/>
                    </w:rPr>
                    <w:t>-硒</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27</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敌敌畏</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128</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那可丁</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28</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总砷</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129</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界限指标</w:t>
                  </w:r>
                  <w:r>
                    <w:rPr>
                      <w:rFonts w:ascii="仿宋_GB2312" w:hAnsi="仿宋_GB2312" w:cs="仿宋_GB2312" w:eastAsia="仿宋_GB2312"/>
                      <w:sz w:val="24"/>
                      <w:color w:val="000000"/>
                    </w:rPr>
                    <w:t>-溶解性总固体</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29</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蒂巴因</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130</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脲酶活性</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30</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总酸</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131</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铜</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31</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总糖</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132</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纽甜</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32</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总脂</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133</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锰</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33</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丁基羟基茴香醚（</w:t>
                  </w:r>
                  <w:r>
                    <w:rPr>
                      <w:rFonts w:ascii="仿宋_GB2312" w:hAnsi="仿宋_GB2312" w:cs="仿宋_GB2312" w:eastAsia="仿宋_GB2312"/>
                      <w:sz w:val="24"/>
                      <w:color w:val="000000"/>
                    </w:rPr>
                    <w:t>BHA)</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134</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硼砂或硼酸</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34</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酸性橙</w:t>
                  </w:r>
                  <w:r>
                    <w:rPr>
                      <w:rFonts w:ascii="仿宋_GB2312" w:hAnsi="仿宋_GB2312" w:cs="仿宋_GB2312" w:eastAsia="仿宋_GB2312"/>
                      <w:sz w:val="24"/>
                      <w:color w:val="000000"/>
                    </w:rPr>
                    <w:t>Ⅱ</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135</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地美硝唑</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35</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二丁基羟基甲苯（</w:t>
                  </w:r>
                  <w:r>
                    <w:rPr>
                      <w:rFonts w:ascii="仿宋_GB2312" w:hAnsi="仿宋_GB2312" w:cs="仿宋_GB2312" w:eastAsia="仿宋_GB2312"/>
                      <w:sz w:val="24"/>
                      <w:color w:val="000000"/>
                    </w:rPr>
                    <w:t>BHT）</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136</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铅</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36</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玉米赤霉烯酮</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137</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溴酸盐</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37</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二氧化硫</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138</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氰化物</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38</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脱氧雪腐镰刀菌烯酮</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139</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硼酸盐</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39</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二氧化硫残留量</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140</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溶剂残留</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40</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氯氰菊酯</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141</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耗氧量</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41</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二氧化钛</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142</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挥发酚</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42</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二氧化碳</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143</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三聚氰胺</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43</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溴氰菊酯</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144</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粪链球菌</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44</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泛酸</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145</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三氯蔗糖</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45</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溴酸钾</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146</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色值</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46</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非糖固形物</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147</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三氯甲烷</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47</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赭曲霉毒素</w:t>
                  </w:r>
                  <w:r>
                    <w:rPr>
                      <w:rFonts w:ascii="仿宋_GB2312" w:hAnsi="仿宋_GB2312" w:cs="仿宋_GB2312" w:eastAsia="仿宋_GB2312"/>
                      <w:sz w:val="24"/>
                      <w:color w:val="000000"/>
                    </w:rPr>
                    <w:t>A</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148</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杀螟硫磷</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48</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氟氰戊菊酯</w:t>
                  </w:r>
                  <w:r>
                    <w:rPr>
                      <w:rFonts w:ascii="仿宋_GB2312" w:hAnsi="仿宋_GB2312" w:cs="仿宋_GB2312" w:eastAsia="仿宋_GB2312"/>
                      <w:sz w:val="24"/>
                      <w:color w:val="000000"/>
                    </w:rPr>
                    <w:t>C</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149</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四氯化碳</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49</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马拉硫磷</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150</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沙丁胺醇</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50</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富马酸二甲酯</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151</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挥发性酚</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51</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多菌灵</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152</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沙门氏菌</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52</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钙</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153</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山梨酸</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53</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甲基毒死蜱</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154</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山梨酸钾</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54</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甲萘威</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155</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脲酶试验</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55</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干浸出物</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156</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商业无菌</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56</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镉</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157</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砷</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57</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溶剂残留量</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158</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咖啡因</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58</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铬</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159</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水分</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59</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反式脂肪酸（</w:t>
                  </w:r>
                  <w:r>
                    <w:rPr>
                      <w:rFonts w:ascii="仿宋_GB2312" w:hAnsi="仿宋_GB2312" w:cs="仿宋_GB2312" w:eastAsia="仿宋_GB2312"/>
                      <w:sz w:val="24"/>
                      <w:color w:val="000000"/>
                    </w:rPr>
                    <w:t>C18:1T）</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160</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顺式氰戊菊酯</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60</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汞</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161</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四环素</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61</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反式脂肪酸（</w:t>
                  </w:r>
                  <w:r>
                    <w:rPr>
                      <w:rFonts w:ascii="仿宋_GB2312" w:hAnsi="仿宋_GB2312" w:cs="仿宋_GB2312" w:eastAsia="仿宋_GB2312"/>
                      <w:sz w:val="24"/>
                      <w:color w:val="000000"/>
                    </w:rPr>
                    <w:t>C18:2T+C18:3T）</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162</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联苯菊酯</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62</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谷氨酸钠</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163</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苏丹红（</w:t>
                  </w:r>
                  <w:r>
                    <w:rPr>
                      <w:rFonts w:ascii="仿宋_GB2312" w:hAnsi="仿宋_GB2312" w:cs="仿宋_GB2312" w:eastAsia="仿宋_GB2312"/>
                      <w:sz w:val="24"/>
                      <w:color w:val="000000"/>
                    </w:rPr>
                    <w:t>I-IV）</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63</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钡（以</w:t>
                  </w:r>
                  <w:r>
                    <w:rPr>
                      <w:rFonts w:ascii="仿宋_GB2312" w:hAnsi="仿宋_GB2312" w:cs="仿宋_GB2312" w:eastAsia="仿宋_GB2312"/>
                      <w:sz w:val="24"/>
                      <w:color w:val="000000"/>
                    </w:rPr>
                    <w:t>Ba计）</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164</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灭多威</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64</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过氧化苯甲酰</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165</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酸价</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65</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丙二醛</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166</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糖精钠</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66</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过氧化值</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167</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三氯杀螨醇</w:t>
                  </w:r>
                </w:p>
              </w:tc>
              <w:tc>
                <w:tcPr>
                  <w:tcW w:type="dxa" w:w="508"/>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center"/>
                  </w:pP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67</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还原糖分</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168</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特丁基对苯二酚</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68</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铵盐</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169</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氧乐果</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69</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合成着色剂（亮蓝、柠檬黄、日落黄、苋菜红、诱惑红、赤藓红、新红）</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170</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甜蜜素</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70</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乙酰磺胺酸钾</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171</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甲醛</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71</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滑石粉</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172</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铜绿假单胞菌</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72</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环己基氨基磺酸钠</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173</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土霉素</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73</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黄曲霉毒素</w:t>
                  </w:r>
                  <w:r>
                    <w:rPr>
                      <w:rFonts w:ascii="仿宋_GB2312" w:hAnsi="仿宋_GB2312" w:cs="仿宋_GB2312" w:eastAsia="仿宋_GB2312"/>
                      <w:sz w:val="24"/>
                      <w:color w:val="000000"/>
                    </w:rPr>
                    <w:t>B1</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174</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脱氢乙酸</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74</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流离矿酸</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175</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维生素</w:t>
                  </w:r>
                  <w:r>
                    <w:rPr>
                      <w:rFonts w:ascii="仿宋_GB2312" w:hAnsi="仿宋_GB2312" w:cs="仿宋_GB2312" w:eastAsia="仿宋_GB2312"/>
                      <w:sz w:val="24"/>
                      <w:color w:val="000000"/>
                    </w:rPr>
                    <w:t>A</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75</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黄曲霉毒素</w:t>
                  </w:r>
                  <w:r>
                    <w:rPr>
                      <w:rFonts w:ascii="仿宋_GB2312" w:hAnsi="仿宋_GB2312" w:cs="仿宋_GB2312" w:eastAsia="仿宋_GB2312"/>
                      <w:sz w:val="24"/>
                      <w:color w:val="000000"/>
                    </w:rPr>
                    <w:t>M1</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176</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维生素</w:t>
                  </w:r>
                  <w:r>
                    <w:rPr>
                      <w:rFonts w:ascii="仿宋_GB2312" w:hAnsi="仿宋_GB2312" w:cs="仿宋_GB2312" w:eastAsia="仿宋_GB2312"/>
                      <w:sz w:val="24"/>
                      <w:color w:val="000000"/>
                    </w:rPr>
                    <w:t>B1、</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76</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碱性橙</w:t>
                  </w:r>
                  <w:r>
                    <w:rPr>
                      <w:rFonts w:ascii="仿宋_GB2312" w:hAnsi="仿宋_GB2312" w:cs="仿宋_GB2312" w:eastAsia="仿宋_GB2312"/>
                      <w:sz w:val="24"/>
                      <w:color w:val="000000"/>
                    </w:rPr>
                    <w:t>Ⅱ，21,22</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177</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霉菌和酵母菌计数</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77</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己酸乙酯</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178</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二甲硝咪唑</w:t>
                  </w:r>
                  <w:r>
                    <w:rPr>
                      <w:rFonts w:ascii="仿宋_GB2312" w:hAnsi="仿宋_GB2312" w:cs="仿宋_GB2312" w:eastAsia="仿宋_GB2312"/>
                      <w:sz w:val="24"/>
                      <w:color w:val="000000"/>
                    </w:rPr>
                    <w:t>/洛硝哒唑代谢物</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78</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抗氧化剂（</w:t>
                  </w:r>
                  <w:r>
                    <w:rPr>
                      <w:rFonts w:ascii="仿宋_GB2312" w:hAnsi="仿宋_GB2312" w:cs="仿宋_GB2312" w:eastAsia="仿宋_GB2312"/>
                      <w:sz w:val="24"/>
                    </w:rPr>
                    <w:t>BHA，BHT、TBHQ）</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179</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副溶血性弧菌</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79</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己烯雌酚</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180</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维生素</w:t>
                  </w:r>
                  <w:r>
                    <w:rPr>
                      <w:rFonts w:ascii="仿宋_GB2312" w:hAnsi="仿宋_GB2312" w:cs="仿宋_GB2312" w:eastAsia="仿宋_GB2312"/>
                      <w:sz w:val="24"/>
                      <w:color w:val="000000"/>
                    </w:rPr>
                    <w:t>B2</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80</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N-二甲基亚硝胺</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181</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挥发性盐基氮</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81</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甲醇</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182</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果糖和葡萄糖</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82</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甲基对硫磷</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183</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蔗糖</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83</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单核细胞增生李斯特氏菌</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184</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特丁硫磷</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84</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甲醛</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185</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吡蚜酮</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85</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大肠埃希氏菌</w:t>
                  </w:r>
                  <w:r>
                    <w:rPr>
                      <w:rFonts w:ascii="仿宋_GB2312" w:hAnsi="仿宋_GB2312" w:cs="仿宋_GB2312" w:eastAsia="仿宋_GB2312"/>
                      <w:sz w:val="24"/>
                      <w:color w:val="000000"/>
                    </w:rPr>
                    <w:t>0157：H7</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186</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苯甲酸盐</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86</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甲醛次硫酸氢钠</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187</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酵母计数</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87</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钾</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188</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极性组分</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88</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非脂乳固体</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189</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锡</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89</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酵母菌</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190</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硝基呋喃代谢物（</w:t>
                  </w:r>
                  <w:r>
                    <w:rPr>
                      <w:rFonts w:ascii="仿宋_GB2312" w:hAnsi="仿宋_GB2312" w:cs="仿宋_GB2312" w:eastAsia="仿宋_GB2312"/>
                      <w:sz w:val="24"/>
                      <w:color w:val="000000"/>
                    </w:rPr>
                    <w:t>AMOZ、SEM、AHD、AOZ）</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90</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酸度</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191</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过氧化物</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91</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金黄色葡萄球菌</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192</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硝酸盐</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92</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酒精度</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193</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锌</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93</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菌落总数</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194</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致病性微生物</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94</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可待因</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195</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溴氰菊酯</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95</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阿斯巴甜</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196</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砷含量</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96</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克百威</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197</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亚硫酸盐（以二氧化硫计）</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97</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日落黄及其铝色淀</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198</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洛硝哒唑</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98</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孔雀石绿及隐色孔雀石绿</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199</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亚硝酸盐</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99</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胭脂红及其铝色淀</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200</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氯化物（以</w:t>
                  </w:r>
                  <w:r>
                    <w:rPr>
                      <w:rFonts w:ascii="仿宋_GB2312" w:hAnsi="仿宋_GB2312" w:cs="仿宋_GB2312" w:eastAsia="仿宋_GB2312"/>
                      <w:sz w:val="24"/>
                      <w:color w:val="000000"/>
                    </w:rPr>
                    <w:t>NaCl计）及硫酸盐（以Na</w:t>
                  </w:r>
                  <w:r>
                    <w:rPr>
                      <w:rFonts w:ascii="仿宋_GB2312" w:hAnsi="仿宋_GB2312" w:cs="仿宋_GB2312" w:eastAsia="仿宋_GB2312"/>
                      <w:sz w:val="24"/>
                      <w:color w:val="000000"/>
                      <w:vertAlign w:val="subscript"/>
                    </w:rPr>
                    <w:t>2</w:t>
                  </w:r>
                  <w:r>
                    <w:rPr>
                      <w:rFonts w:ascii="仿宋_GB2312" w:hAnsi="仿宋_GB2312" w:cs="仿宋_GB2312" w:eastAsia="仿宋_GB2312"/>
                      <w:sz w:val="24"/>
                      <w:color w:val="000000"/>
                    </w:rPr>
                    <w:t>SO</w:t>
                  </w:r>
                  <w:r>
                    <w:rPr>
                      <w:rFonts w:ascii="仿宋_GB2312" w:hAnsi="仿宋_GB2312" w:cs="仿宋_GB2312" w:eastAsia="仿宋_GB2312"/>
                      <w:sz w:val="24"/>
                      <w:color w:val="000000"/>
                      <w:vertAlign w:val="subscript"/>
                    </w:rPr>
                    <w:t>4</w:t>
                  </w:r>
                  <w:r>
                    <w:rPr>
                      <w:rFonts w:ascii="仿宋_GB2312" w:hAnsi="仿宋_GB2312" w:cs="仿宋_GB2312" w:eastAsia="仿宋_GB2312"/>
                      <w:sz w:val="24"/>
                      <w:color w:val="000000"/>
                    </w:rPr>
                    <w:t>计）</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100</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莱克多巴胺</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201</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盐酸克伦特罗</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101</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亮蓝及其铝色淀</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202</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氧乐果</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203</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阿维菌素</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204</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丙溴磷</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205</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恩诺沙星</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206</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氟苯尼考</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207</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甲拌磷</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208</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联苯肼酯</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209</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苯醚甲环唑</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210</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杀扑磷</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211</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灭线磷</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212</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洛美沙星</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213</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双甲脒</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214</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氧氟沙星</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215</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诺氟沙星</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216</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甲基汞</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217</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氯氟氰菊酯</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218</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乙霉威</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219</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啶虫脒</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220</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嘧霉胺</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221</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烯酰吗啉</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222</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噻嗪酮</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223</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丙森锌</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224</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噻虫嗪</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225</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虫酰肼</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226</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氯氟氰菊酯</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227</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甲基异柳磷</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228</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蚍虫啉</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229</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嘧霉胺</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230</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磺胺类</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231</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马拉硫磷</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232</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氟胺氰菊酯</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233</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崩解时限</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234</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胶囊壳中的铬</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235</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西布曲明</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236</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麻黄碱</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237</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甲苯磺丁脲</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238</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格列本脲</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239</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那红地那非</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240</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红地那非</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241</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西地那非</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242</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地西泮</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243</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硝西泮</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244</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氯氮卓</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245</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奥沙西泮</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246</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阿替洛尔</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247</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盐酸可乐定</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248</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氢氯噻嗪</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249</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卡托普利</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250</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能量</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251</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蛋白质</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252</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脂肪</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253</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亚油酸</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254</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维生素</w:t>
                  </w:r>
                  <w:r>
                    <w:rPr>
                      <w:rFonts w:ascii="仿宋_GB2312" w:hAnsi="仿宋_GB2312" w:cs="仿宋_GB2312" w:eastAsia="仿宋_GB2312"/>
                      <w:sz w:val="24"/>
                      <w:color w:val="000000"/>
                    </w:rPr>
                    <w:t>A、C、D、B1、B2、B6、E</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255</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总钠</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256</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铁</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257</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硒</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258</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镁</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259</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叶酸</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260</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生物素</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261</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胆碱</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262</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亚油酸</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263</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α</w:t>
                  </w:r>
                  <w:r>
                    <w:rPr>
                      <w:rFonts w:ascii="仿宋_GB2312" w:hAnsi="仿宋_GB2312" w:cs="仿宋_GB2312" w:eastAsia="仿宋_GB2312"/>
                      <w:sz w:val="24"/>
                      <w:color w:val="000000"/>
                    </w:rPr>
                    <w:t>-亚麻酸</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264</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反式脂肪酸最高含量与总脂肪酸比值</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265</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三聚氰胺</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266</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碳水化合物</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267</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乳糖占碳水化合物总量</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268</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烟酸</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269</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左旋肉碱</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270</w:t>
                  </w: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香兰素</w:t>
                  </w: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271</w:t>
                  </w:r>
                </w:p>
              </w:tc>
              <w:tc>
                <w:tcPr>
                  <w:tcW w:type="dxa" w:w="6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磷酸盐</w:t>
                  </w:r>
                </w:p>
              </w:tc>
              <w:tc>
                <w:tcPr>
                  <w:tcW w:type="dxa" w:w="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8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508"/>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bl>
          <w:p>
            <w:pPr>
              <w:pStyle w:val="null3"/>
              <w:jc w:val="both"/>
            </w:pPr>
            <w:r>
              <w:rPr>
                <w:rFonts w:ascii="仿宋_GB2312" w:hAnsi="仿宋_GB2312" w:cs="仿宋_GB2312" w:eastAsia="仿宋_GB2312"/>
                <w:sz w:val="28"/>
                <w:b/>
              </w:rPr>
              <w:t>（备注：未涉及的抽检品种，检验项目可根据采购人实际情况予以增补）</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供应商针对本项目配备专业服务团队</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供应商针对本项目配备专业服务团队</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供应商针对本项目配备足以满足项目需求的设施设备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供应商针对本项目配备足以满足项目需求的设施设备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自合同签订之日起12个月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自合同签订之日起12个月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1、检测后，甲方根据乙方提供的检测报告进行验收，确认检测结果真实、有效、合理。 2、验收合格后，乙方应与甲方办理相关的验收交接手续，填写交接验收单，验收各方签字后送合同各方。 3、验收依据：（1）合同文本（2）国内相应的标准、规范（3）竞争性磋商文件、响应文件、承诺。 4、其他未尽事宜以后续所签订的合同内容规定为准。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1、检测后，甲方根据乙方提供的检测报告进行验收，确认检测结果真实、有效、合理。 2、验收合格后，乙方应与甲方办理相关的验收交接手续，填写交接验收单，验收各方签字后送合同各方。 3、验收依据：（1）合同文本（2）国内相应的标准、规范（3）竞争性磋商文件、响应文件、承诺。 4、其他未尽事宜以后续所签订的合同内容规定为准。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检测完成，验收合格后，有效期结束一次性付清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 xml:space="preserve">检测完成，验收合格后，有效期结束一次性付清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1.如果乙方未按照政府采购合同规定的要求提供服务；或乙方未能履行政府采购合同规定的任何其它义务时，甲方有权向乙方发出违约通知书，乙方应按照甲方选择的一种或多种方式承担赔偿责任； 2.在甲方同意延长的期限内提供服务并承担由此给甲方造成的一切损失； 3.在甲方规定的时间内，用符合政府采购合同规定的服务以达到政府采购合同规定的要求，乙方应承担由此发生的一切费用和风险。此时，相关服务的期限也应相应延长； 4.甲方有权部分或全部解除政府采购合同并要求乙方赔偿由此造成的损失。此时甲方可采取必要的补救措施，相关费用由乙方承担。 5.如果乙方在收到甲方的违约通知书后10日内未作答复也没有按照甲方选择的方式承担违约责任，则甲方有权从履约保证金（如有）、尚未支付的政府采购合同价款中扣回索赔金额。如果这些金额不足以补偿，甲方有权向乙方提出不足部分的赔偿要求。 6.以上各项交付的违约金并不影响违约方履行政府采购合同的各项义务。 7.甲方和乙方应通过友好协商，解决在执行本政府采购合同过程中所发生的或与本政府采购合同有关的一切争端。 8.如果协商不成，双方中的任何一方可向甲方所在地的人民法院提起诉讼。 9.因政府采购合同部分履行引发诉讼的，在诉讼期间，除正在进行诉讼的部分外，本政府采购合同的其它部分应继续执行。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1.如果乙方未按照政府采购合同规定的要求提供服务；或乙方未能履行政府采购合同规定的任何其它义务时，甲方有权向乙方发出违约通知书，乙方应按照甲方选择的一种或多种方式承担赔偿责任； 2.在甲方同意延长的期限内提供服务并承担由此给甲方造成的一切损失； 3.在甲方规定的时间内，用符合政府采购合同规定的服务以达到政府采购合同规定的要求，乙方应承担由此发生的一切费用和风险。此时，相关服务的期限也应相应延长； 4.甲方有权部分或全部解除政府采购合同并要求乙方赔偿由此造成的损失。此时甲方可采取必要的补救措施，相关费用由乙方承担。 5.如果乙方在收到甲方的违约通知书后10日内未作答复也没有按照甲方选择的方式承担违约责任，则甲方有权从履约保证金（如有）、尚未支付的政府采购合同价款中扣回索赔金额。如果这些金额不足以补偿，甲方有权向乙方提出不足部分的赔偿要求。 6.以上各项交付的违约金并不影响违约方履行政府采购合同的各项义务。 7.甲方和乙方应通过友好协商，解决在执行本政府采购合同过程中所发生的或与本政府采购合同有关的一切争端。 8.如果协商不成，双方中的任何一方可向甲方所在地的人民法院提起诉讼。 9.因政府采购合同部分履行引发诉讼的，在诉讼期间，除正在进行诉讼的部分外，本政府采购合同的其它部分应继续执行。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主体资格证明文件</w:t>
            </w:r>
          </w:p>
        </w:tc>
        <w:tc>
          <w:tcPr>
            <w:tcW w:type="dxa" w:w="3322"/>
          </w:tcPr>
          <w:p>
            <w:pPr>
              <w:pStyle w:val="null3"/>
            </w:pPr>
            <w:r>
              <w:rPr>
                <w:rFonts w:ascii="仿宋_GB2312" w:hAnsi="仿宋_GB2312" w:cs="仿宋_GB2312" w:eastAsia="仿宋_GB2312"/>
              </w:rPr>
              <w:t>具有独立承担民事责任能力的法人或其他组织，提供有效存续的营业执照或事业单位法人证书或非企业专业服务机构执业许可证或民办非企业单位登记证书或自然人的身份证明；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身份证复印件）及被授权人身份证复印件（法定代表人直接参加投标只需提供法定代表人身份证明及法定代表人身份证复印件）。自然人只需提供身份证；备注：分支机构由分支机构负责人授权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2024年或2025年财务报告，包括“四表一注”（即资产负债表、利润表、现金流量表、所有者权益变动表（没有可不提供）及其附注，成立时间至提交响应文件截止时间不足一年的可提供成立后任意时段的资产负债表）或在开标日期前六个月内其开户银行出具的资信证明，以上两种形式的资料提供任何一种即可（分支机构如无法提供财务审计报告，须出具包含分支机构的财务数据的总公司财务审计报告）；事业单位零余额账户提供相应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提供已缴纳的2025年4月至今任意一个月的纳税证明或完税证明，纳税证明或完税证明上应有代收机构或税务机关的公章或业务专用章。依法免税的供应商应提供相关文件证明；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已缴存的2025年4月至今任意一个月的社会保障资金缴存单据或社保机构开具的社会保险参保缴费情况证明，单据或证明上应有社保机构或代收机构的公章或业务专用章。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具有履行合同所必需的设备和专业技术能力的承诺</w:t>
            </w:r>
          </w:p>
        </w:tc>
        <w:tc>
          <w:tcPr>
            <w:tcW w:type="dxa" w:w="3322"/>
          </w:tcPr>
          <w:p>
            <w:pPr>
              <w:pStyle w:val="null3"/>
            </w:pPr>
            <w:r>
              <w:rPr>
                <w:rFonts w:ascii="仿宋_GB2312" w:hAnsi="仿宋_GB2312" w:cs="仿宋_GB2312" w:eastAsia="仿宋_GB2312"/>
              </w:rPr>
              <w:t>供应商须提供具有履行合同所必需的设备和专业技术能力的承诺；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三年内无重大违记录声明</w:t>
            </w:r>
          </w:p>
        </w:tc>
        <w:tc>
          <w:tcPr>
            <w:tcW w:type="dxa" w:w="3322"/>
          </w:tcPr>
          <w:p>
            <w:pPr>
              <w:pStyle w:val="null3"/>
            </w:pPr>
            <w:r>
              <w:rPr>
                <w:rFonts w:ascii="仿宋_GB2312" w:hAnsi="仿宋_GB2312" w:cs="仿宋_GB2312" w:eastAsia="仿宋_GB2312"/>
              </w:rPr>
              <w:t>出具参加本次政府采购活动前三年内在经营活动中没有重大违法记录的书面声明；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供应商在递交响应文件截止时间前被“信用中国”网站列入失信被执行人或税收违法黑名单的，或在中国政府采购网（www.ccgp.gov.cn）列入政府采购严重违法失信行为记录名单的，不得参加投标；</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具有检验检测机构资质认定证书CMA（证书附表要包含食品）、农产品质量安全检测机构考核合格证书（CATL）</w:t>
            </w:r>
          </w:p>
        </w:tc>
        <w:tc>
          <w:tcPr>
            <w:tcW w:type="dxa" w:w="3322"/>
          </w:tcPr>
          <w:p>
            <w:pPr>
              <w:pStyle w:val="null3"/>
            </w:pPr>
            <w:r>
              <w:rPr>
                <w:rFonts w:ascii="仿宋_GB2312" w:hAnsi="仿宋_GB2312" w:cs="仿宋_GB2312" w:eastAsia="仿宋_GB2312"/>
              </w:rPr>
              <w:t>具有检验检测机构资质认定证书CMA（证书附表要包含食品）、农产品质量安全检测机构考核合格证书（CATL）；</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本项目不接受联合体磋商（提供书面声明）。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主体资格证明文件</w:t>
            </w:r>
          </w:p>
        </w:tc>
        <w:tc>
          <w:tcPr>
            <w:tcW w:type="dxa" w:w="3322"/>
          </w:tcPr>
          <w:p>
            <w:pPr>
              <w:pStyle w:val="null3"/>
            </w:pPr>
            <w:r>
              <w:rPr>
                <w:rFonts w:ascii="仿宋_GB2312" w:hAnsi="仿宋_GB2312" w:cs="仿宋_GB2312" w:eastAsia="仿宋_GB2312"/>
              </w:rPr>
              <w:t>具有独立承担民事责任能力的法人或其他组织，提供有效存续的营业执照或事业单位法人证书或非企业专业服务机构执业许可证或民办非企业单位登记证书或自然人的身份证明；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身份证复印件）及被授权人身份证复印件（法定代表人直接参加投标只需提供法定代表人身份证明及法定代表人身份证复印件）。自然人只需提供身份证；备注：分支机构由分支机构负责人授权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2024年或2025年财务报告，包括“四表一注”（即资产负债表、利润表、现金流量表、所有者权益变动表（没有可不提供）及其附注，成立时间至提交响应文件截止时间不足一年的可提供成立后任意时段的资产负债表）或在开标日期前六个月内其开户银行出具的资信证明，以上两种形式的资料提供任何一种即可（分支机构如无法提供财务审计报告，须出具包含分支机构的财务数据的总公司财务审计报告）；事业单位零余额账户提供相应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提供已缴纳的2025年4月至今任意一个月的纳税证明或完税证明，纳税证明或完税证明上应有代收机构或税务机关的公章或业务专用章。依法免税的供应商应提供相关文件证明；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已缴存的2025年4月至今任意一个月的社会保障资金缴存单据或社保机构开具的社会保险参保缴费情况证明，单据或证明上应有社保机构或代收机构的公章或业务专用章。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具有履行合同所必需的设备和专业技术能力的承诺</w:t>
            </w:r>
          </w:p>
        </w:tc>
        <w:tc>
          <w:tcPr>
            <w:tcW w:type="dxa" w:w="3322"/>
          </w:tcPr>
          <w:p>
            <w:pPr>
              <w:pStyle w:val="null3"/>
            </w:pPr>
            <w:r>
              <w:rPr>
                <w:rFonts w:ascii="仿宋_GB2312" w:hAnsi="仿宋_GB2312" w:cs="仿宋_GB2312" w:eastAsia="仿宋_GB2312"/>
              </w:rPr>
              <w:t>供应商须提供具有履行合同所必需的设备和专业技术能力的承诺；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三年内无重大违记录声明</w:t>
            </w:r>
          </w:p>
        </w:tc>
        <w:tc>
          <w:tcPr>
            <w:tcW w:type="dxa" w:w="3322"/>
          </w:tcPr>
          <w:p>
            <w:pPr>
              <w:pStyle w:val="null3"/>
            </w:pPr>
            <w:r>
              <w:rPr>
                <w:rFonts w:ascii="仿宋_GB2312" w:hAnsi="仿宋_GB2312" w:cs="仿宋_GB2312" w:eastAsia="仿宋_GB2312"/>
              </w:rPr>
              <w:t>出具参加本次政府采购活动前三年内在经营活动中没有重大违法记录的书面声明；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供应商在递交响应文件截止时间前被“信用中国”网站列入失信被执行人或税收违法黑名单的，或在中国政府采购网（www.ccgp.gov.cn）列入政府采购严重违法失信行为记录名单的，不得参加投标；</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具有检验检测机构资质认定证书CMA（证书附表要包含食品）、农产品质量安全检测机构考核合格证书（CATL）</w:t>
            </w:r>
          </w:p>
        </w:tc>
        <w:tc>
          <w:tcPr>
            <w:tcW w:type="dxa" w:w="3322"/>
          </w:tcPr>
          <w:p>
            <w:pPr>
              <w:pStyle w:val="null3"/>
            </w:pPr>
            <w:r>
              <w:rPr>
                <w:rFonts w:ascii="仿宋_GB2312" w:hAnsi="仿宋_GB2312" w:cs="仿宋_GB2312" w:eastAsia="仿宋_GB2312"/>
              </w:rPr>
              <w:t>具有检验检测机构资质认定证书CMA（证书附表要包含食品）、农产品质量安全检测机构考核合格证书（CATL）；</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本项目不接受联合体磋商（提供书面声明）。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均按磋商文件要求签字、盖章；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响应内容的完整性</w:t>
            </w:r>
          </w:p>
        </w:tc>
        <w:tc>
          <w:tcPr>
            <w:tcW w:type="dxa" w:w="3322"/>
          </w:tcPr>
          <w:p>
            <w:pPr>
              <w:pStyle w:val="null3"/>
            </w:pPr>
            <w:r>
              <w:rPr>
                <w:rFonts w:ascii="仿宋_GB2312" w:hAnsi="仿宋_GB2312" w:cs="仿宋_GB2312" w:eastAsia="仿宋_GB2312"/>
              </w:rPr>
              <w:t>按照磋商文件格式编写，无缺漏项;</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符合磋商文件要求，未超出采购预算或磋商文件规定的最高限价，报价符合唯一性要求无选择性报价;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响应审查</w:t>
            </w:r>
          </w:p>
        </w:tc>
        <w:tc>
          <w:tcPr>
            <w:tcW w:type="dxa" w:w="3322"/>
          </w:tcPr>
          <w:p>
            <w:pPr>
              <w:pStyle w:val="null3"/>
            </w:pPr>
            <w:r>
              <w:rPr>
                <w:rFonts w:ascii="仿宋_GB2312" w:hAnsi="仿宋_GB2312" w:cs="仿宋_GB2312" w:eastAsia="仿宋_GB2312"/>
              </w:rPr>
              <w:t>完整响应磋商文件服务内容及服务要求、商务条款；</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完全理解并接受法律法规和磋商文件对工供应商合法经营的各类规约和责任义务要求，没有出现法律法规或磋商文件规定的其他无效情形。</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均按磋商文件要求签字、盖章；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响应内容的完整性</w:t>
            </w:r>
          </w:p>
        </w:tc>
        <w:tc>
          <w:tcPr>
            <w:tcW w:type="dxa" w:w="3322"/>
          </w:tcPr>
          <w:p>
            <w:pPr>
              <w:pStyle w:val="null3"/>
            </w:pPr>
            <w:r>
              <w:rPr>
                <w:rFonts w:ascii="仿宋_GB2312" w:hAnsi="仿宋_GB2312" w:cs="仿宋_GB2312" w:eastAsia="仿宋_GB2312"/>
              </w:rPr>
              <w:t>按照磋商文件格式编写，无缺漏项;</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符合磋商文件要求，未超出采购预算或磋商文件规定的最高限价，报价符合唯一性要求无选择性报价;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响应审查</w:t>
            </w:r>
          </w:p>
        </w:tc>
        <w:tc>
          <w:tcPr>
            <w:tcW w:type="dxa" w:w="3322"/>
          </w:tcPr>
          <w:p>
            <w:pPr>
              <w:pStyle w:val="null3"/>
            </w:pPr>
            <w:r>
              <w:rPr>
                <w:rFonts w:ascii="仿宋_GB2312" w:hAnsi="仿宋_GB2312" w:cs="仿宋_GB2312" w:eastAsia="仿宋_GB2312"/>
              </w:rPr>
              <w:t>完整响应磋商文件服务内容及服务要求、商务条款；</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完全理解并接受法律法规和磋商文件对工供应商合法经营的各类规约和责任义务要求，没有出现法律法规或磋商文件规定的其他无效情形。</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抽检靶向性要求</w:t>
            </w:r>
          </w:p>
        </w:tc>
        <w:tc>
          <w:tcPr>
            <w:tcW w:type="dxa" w:w="2492"/>
          </w:tcPr>
          <w:p>
            <w:pPr>
              <w:pStyle w:val="null3"/>
            </w:pPr>
            <w:r>
              <w:rPr>
                <w:rFonts w:ascii="仿宋_GB2312" w:hAnsi="仿宋_GB2312" w:cs="仿宋_GB2312" w:eastAsia="仿宋_GB2312"/>
              </w:rPr>
              <w:t>抽检靶向性要求：总问题发现率≧3.5%得5分，《3.5%且≧3.0%得3分，《3.0%且≧2.6得2分，《2.6%不得分。（提供2025年度与三家区（县）市级以上（含区（县）市级）合作单位签订的200批次以上食品检验合同并提供与合作单位问题发现率的相关证明或国抽系统截图，提供每份合同任意3份不合格检验报告，以问题发现率平均值为准，提供虚假证明资料，一票否决）。</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检验项目覆盖本次所列参数项目需求情况</w:t>
            </w:r>
          </w:p>
        </w:tc>
        <w:tc>
          <w:tcPr>
            <w:tcW w:type="dxa" w:w="2492"/>
          </w:tcPr>
          <w:p>
            <w:pPr>
              <w:pStyle w:val="null3"/>
            </w:pPr>
            <w:r>
              <w:rPr>
                <w:rFonts w:ascii="仿宋_GB2312" w:hAnsi="仿宋_GB2312" w:cs="仿宋_GB2312" w:eastAsia="仿宋_GB2312"/>
              </w:rPr>
              <w:t>检验项目应当覆盖本次所列参数项目需求：符合率100%得5分；符合率95%-100%（不含）得3分；符合率90%-95%（不含）得1分；低于90%不得分。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检测设备配备情况</w:t>
            </w:r>
          </w:p>
        </w:tc>
        <w:tc>
          <w:tcPr>
            <w:tcW w:type="dxa" w:w="2492"/>
          </w:tcPr>
          <w:p>
            <w:pPr>
              <w:pStyle w:val="null3"/>
            </w:pPr>
            <w:r>
              <w:rPr>
                <w:rFonts w:ascii="仿宋_GB2312" w:hAnsi="仿宋_GB2312" w:cs="仿宋_GB2312" w:eastAsia="仿宋_GB2312"/>
              </w:rPr>
              <w:t>配备的检测仪器，评审内容：①检测仪器的种类及数量；②检测仪器的功能；③检测仪器的技术指标④检测仪器的检测标准情况（提供购置发票、相关图片和仪器检定或校准合格证书，复印件加盖单位公章为准）： 评审依据：每一项内容描述详细，切实可行符合项目实际内容得3分，①～④项合计得12分。内容①～④项任意一项缺项扣3分；内容①～④项里有一项内容缺陷（缺陷是指：拟投入检测仪器配备不合理，配备数量不足、检测仪器精度差、检测仪器功能不完整、检测标准不达标、检测仪器缺乏针对性存在不适用项目实际情况的情形等）扣0.5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样品检测报告的准确性</w:t>
            </w:r>
          </w:p>
        </w:tc>
        <w:tc>
          <w:tcPr>
            <w:tcW w:type="dxa" w:w="2492"/>
          </w:tcPr>
          <w:p>
            <w:pPr>
              <w:pStyle w:val="null3"/>
            </w:pPr>
            <w:r>
              <w:rPr>
                <w:rFonts w:ascii="仿宋_GB2312" w:hAnsi="仿宋_GB2312" w:cs="仿宋_GB2312" w:eastAsia="仿宋_GB2312"/>
              </w:rPr>
              <w:t>样品检测报告的准确性，评审内容：满足样品当天进入实验室，确保样品检测报告的准确性。评审依据：根据供应商提供的相关证明材料齐全、确保检测报告的准确性高得5分，内容有缺陷（缺陷是指：提供的相关证明材料不全、不完全确保检测报告的准确性、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抽检系统运用熟练度要求</w:t>
            </w:r>
          </w:p>
        </w:tc>
        <w:tc>
          <w:tcPr>
            <w:tcW w:type="dxa" w:w="2492"/>
          </w:tcPr>
          <w:p>
            <w:pPr>
              <w:pStyle w:val="null3"/>
            </w:pPr>
            <w:r>
              <w:rPr>
                <w:rFonts w:ascii="仿宋_GB2312" w:hAnsi="仿宋_GB2312" w:cs="仿宋_GB2312" w:eastAsia="仿宋_GB2312"/>
              </w:rPr>
              <w:t>抽检系统运用熟练度要求，评审内容：①供应商能够熟练运用各级抽检系统；②及时准确的录入抽检、检验信息；③具有专门人员/部门且有录入经验。评审依据：每一项内容描述详细，切实可行符合项目实际内容得2分，①～③项合计得6分。内容①～③项任意一项缺项扣2分；内容①～③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食品安全抽检监测承检机构盲样考核要求</w:t>
            </w:r>
          </w:p>
        </w:tc>
        <w:tc>
          <w:tcPr>
            <w:tcW w:type="dxa" w:w="2492"/>
          </w:tcPr>
          <w:p>
            <w:pPr>
              <w:pStyle w:val="null3"/>
            </w:pPr>
            <w:r>
              <w:rPr>
                <w:rFonts w:ascii="仿宋_GB2312" w:hAnsi="仿宋_GB2312" w:cs="仿宋_GB2312" w:eastAsia="仿宋_GB2312"/>
              </w:rPr>
              <w:t>参加市级或以上部门组织的2025年全省食品安全抽检监测承检机构盲样考核，全部满意（含基本满意）得5分，出现一项不满意项目得3分，出现二项及以上不满意项目得1分（供应商响应文件中提供相关证明材料，未提供不得分，提供虚假资料按废标处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具体实施方案</w:t>
            </w:r>
          </w:p>
        </w:tc>
        <w:tc>
          <w:tcPr>
            <w:tcW w:type="dxa" w:w="2492"/>
          </w:tcPr>
          <w:p>
            <w:pPr>
              <w:pStyle w:val="null3"/>
            </w:pPr>
            <w:r>
              <w:rPr>
                <w:rFonts w:ascii="仿宋_GB2312" w:hAnsi="仿宋_GB2312" w:cs="仿宋_GB2312" w:eastAsia="仿宋_GB2312"/>
              </w:rPr>
              <w:t>具体实施方案，评审内容：：①服务可行性；②时间效率；③工作方法；④质量控制措施方法内容；⑤预防性管理方法内容；⑥报告送达时间。评审依据：每一项内容描述详细，切实可行符合项目实际内容得3分，①～⑥项合计得18分。内容①～⑥项任意一项缺项扣3分；内容①～⑥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风险分析报告经验要求</w:t>
            </w:r>
          </w:p>
        </w:tc>
        <w:tc>
          <w:tcPr>
            <w:tcW w:type="dxa" w:w="2492"/>
          </w:tcPr>
          <w:p>
            <w:pPr>
              <w:pStyle w:val="null3"/>
            </w:pPr>
            <w:r>
              <w:rPr>
                <w:rFonts w:ascii="仿宋_GB2312" w:hAnsi="仿宋_GB2312" w:cs="仿宋_GB2312" w:eastAsia="仿宋_GB2312"/>
              </w:rPr>
              <w:t>风险分析报告经验要求，评审内容：供应商具有撰写风险分析报告经验（需提交两年内撰写的食品安全监督抽检风险分析报告）。评审依据：根据撰写风险分析报告经验情况赋分，方案详尽完善，切实可行得3分，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进度保障措施</w:t>
            </w:r>
          </w:p>
        </w:tc>
        <w:tc>
          <w:tcPr>
            <w:tcW w:type="dxa" w:w="2492"/>
          </w:tcPr>
          <w:p>
            <w:pPr>
              <w:pStyle w:val="null3"/>
            </w:pPr>
            <w:r>
              <w:rPr>
                <w:rFonts w:ascii="仿宋_GB2312" w:hAnsi="仿宋_GB2312" w:cs="仿宋_GB2312" w:eastAsia="仿宋_GB2312"/>
              </w:rPr>
              <w:t>进度保障措施，评审内容：①工作进度计划安排；②工作进度计划保障措施。 评审依据：每一项内容描述详细，切实可行符合项目实际内容得1.5分，①～②项合计得3分。内容①～②项任意一项缺项扣1.5分；内容①～②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项目售后服务措施承诺</w:t>
            </w:r>
          </w:p>
        </w:tc>
        <w:tc>
          <w:tcPr>
            <w:tcW w:type="dxa" w:w="2492"/>
          </w:tcPr>
          <w:p>
            <w:pPr>
              <w:pStyle w:val="null3"/>
            </w:pPr>
            <w:r>
              <w:rPr>
                <w:rFonts w:ascii="仿宋_GB2312" w:hAnsi="仿宋_GB2312" w:cs="仿宋_GB2312" w:eastAsia="仿宋_GB2312"/>
              </w:rPr>
              <w:t>项目售后服务措施承诺，评审内容：①服务承诺；②其他有利于本项目实施的承诺。 评审依据：每一项内容描述详细，切实可行符合项目实际内容得2分，①～②项合计得4分。内容①～②项任意一项缺项扣2分；内容①～②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人员配备、管理方案</w:t>
            </w:r>
          </w:p>
        </w:tc>
        <w:tc>
          <w:tcPr>
            <w:tcW w:type="dxa" w:w="2492"/>
          </w:tcPr>
          <w:p>
            <w:pPr>
              <w:pStyle w:val="null3"/>
            </w:pPr>
            <w:r>
              <w:rPr>
                <w:rFonts w:ascii="仿宋_GB2312" w:hAnsi="仿宋_GB2312" w:cs="仿宋_GB2312" w:eastAsia="仿宋_GB2312"/>
              </w:rPr>
              <w:t>人员配备、管理方案，评审内容：①拟派项目组织机构；②项目成员分工；③项目成员专业素养；④项目成员岗位职责（提供相关证明材料复印件加盖公章，提供虚假资料按无效投标处理）：⑤项目人员管理方案； 评审依据：每一项内容描述详细，切实可行符合项目实际内容得3分，①～⑤项合计得15分。内容①～⑤项任意一项缺项扣3分；内容①～⑤项里有一项内容缺陷（缺陷是指：拟投入项目人员设置不合理，人员配备数量不足、专业素养差、人员职责不明确、分工混乱、相关项目实施经验缺乏存在不适用项目实际情况的情形等）扣0.5分，扣完为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食品安全突发事件的应急响应方案</w:t>
            </w:r>
          </w:p>
        </w:tc>
        <w:tc>
          <w:tcPr>
            <w:tcW w:type="dxa" w:w="2492"/>
          </w:tcPr>
          <w:p>
            <w:pPr>
              <w:pStyle w:val="null3"/>
            </w:pPr>
            <w:r>
              <w:rPr>
                <w:rFonts w:ascii="仿宋_GB2312" w:hAnsi="仿宋_GB2312" w:cs="仿宋_GB2312" w:eastAsia="仿宋_GB2312"/>
              </w:rPr>
              <w:t>评审内容：①市场变化；②突发事件；③政策变化。 评审依据：每一项内容描述详细，切实可行符合项目实际内容得2分，①～③项合计得6分。内容①～③项任意一项缺项扣2分；内容①～③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企业类似业绩</w:t>
            </w:r>
          </w:p>
        </w:tc>
        <w:tc>
          <w:tcPr>
            <w:tcW w:type="dxa" w:w="2492"/>
          </w:tcPr>
          <w:p>
            <w:pPr>
              <w:pStyle w:val="null3"/>
            </w:pPr>
            <w:r>
              <w:rPr>
                <w:rFonts w:ascii="仿宋_GB2312" w:hAnsi="仿宋_GB2312" w:cs="仿宋_GB2312" w:eastAsia="仿宋_GB2312"/>
              </w:rPr>
              <w:t>供应商应出具2023年5月1日以来类似项目业绩合同，每一个有效合同得1分，满分得3分。（以合同为准，文件中附加盖公章的合同复印件）。</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磋商报价采用低价优先法计算，即满足竞争性磋商文件要求且最后磋商报价最低的报价为评审基准价，其价格分为满分。其他供应商的价格分统一按照下列公式计算：磋商报价得分=（评审基准价/最后磋商报价）×10说明：本项目专门面对中小企业采购，故不再对各供应商价格进行优惠评审。</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抽检靶向性要求</w:t>
            </w:r>
          </w:p>
        </w:tc>
        <w:tc>
          <w:tcPr>
            <w:tcW w:type="dxa" w:w="2492"/>
          </w:tcPr>
          <w:p>
            <w:pPr>
              <w:pStyle w:val="null3"/>
            </w:pPr>
            <w:r>
              <w:rPr>
                <w:rFonts w:ascii="仿宋_GB2312" w:hAnsi="仿宋_GB2312" w:cs="仿宋_GB2312" w:eastAsia="仿宋_GB2312"/>
              </w:rPr>
              <w:t>抽检靶向性要求：总问题发现率≧3.5%得5分，《3.5%且≧3.0%得3分，《3.0%且≧2.6得2分，《2.6%不得分。（提供2025年度与三家区（县）市级以上（含区（县）市级）合作单位签订的200批次以上食品检验合同并提供与合作单位问题发现率的相关证明或国抽系统截图，提供每份合同任意3份不合格检验报告，以问题发现率平均值为准，提供虚假证明资料，一票否决）。</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检验项目覆盖本次所列参数项目需求情况</w:t>
            </w:r>
          </w:p>
        </w:tc>
        <w:tc>
          <w:tcPr>
            <w:tcW w:type="dxa" w:w="2492"/>
          </w:tcPr>
          <w:p>
            <w:pPr>
              <w:pStyle w:val="null3"/>
            </w:pPr>
            <w:r>
              <w:rPr>
                <w:rFonts w:ascii="仿宋_GB2312" w:hAnsi="仿宋_GB2312" w:cs="仿宋_GB2312" w:eastAsia="仿宋_GB2312"/>
              </w:rPr>
              <w:t>检验项目应当覆盖本次所列参数项目需求：符合率100%得5分；符合率95%-100%（不含）得3分；符合率90%-95%（不含）得1分；低于90%不得分。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检测设备配备情况</w:t>
            </w:r>
          </w:p>
        </w:tc>
        <w:tc>
          <w:tcPr>
            <w:tcW w:type="dxa" w:w="2492"/>
          </w:tcPr>
          <w:p>
            <w:pPr>
              <w:pStyle w:val="null3"/>
            </w:pPr>
            <w:r>
              <w:rPr>
                <w:rFonts w:ascii="仿宋_GB2312" w:hAnsi="仿宋_GB2312" w:cs="仿宋_GB2312" w:eastAsia="仿宋_GB2312"/>
              </w:rPr>
              <w:t>配备的检测仪器，评审内容：①检测仪器的种类及数量；②检测仪器的功能；③检测仪器的技术指标④检测仪器的检测标准情况（提供购置发票、相关图片和仪器检定或校准合格证书，复印件加盖单位公章为准）： 评审依据：每一项内容描述详细，切实可行符合项目实际内容得3分，①～④项合计得12分。内容①～④项任意一项缺项扣3分；内容①～④项里有一项内容缺陷（缺陷是指：拟投入检测仪器配备不合理，配备数量不足、检测仪器精度差、检测仪器功能不完整、检测标准不达标、检测仪器缺乏针对性存在不适用项目实际情况的情形等）扣0.5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样品检测报告的准确性</w:t>
            </w:r>
          </w:p>
        </w:tc>
        <w:tc>
          <w:tcPr>
            <w:tcW w:type="dxa" w:w="2492"/>
          </w:tcPr>
          <w:p>
            <w:pPr>
              <w:pStyle w:val="null3"/>
            </w:pPr>
            <w:r>
              <w:rPr>
                <w:rFonts w:ascii="仿宋_GB2312" w:hAnsi="仿宋_GB2312" w:cs="仿宋_GB2312" w:eastAsia="仿宋_GB2312"/>
              </w:rPr>
              <w:t>样品检测报告的准确性，评审内容：满足样品当天进入实验室，确保样品检测报告的准确性。评审依据：根据供应商提供的相关证明材料齐全、确保检测报告的准确性高得5分，内容有缺陷（缺陷是指：提供的相关证明材料不全、不完全确保检测报告的准确性、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抽检系统运用熟练度要求</w:t>
            </w:r>
          </w:p>
        </w:tc>
        <w:tc>
          <w:tcPr>
            <w:tcW w:type="dxa" w:w="2492"/>
          </w:tcPr>
          <w:p>
            <w:pPr>
              <w:pStyle w:val="null3"/>
            </w:pPr>
            <w:r>
              <w:rPr>
                <w:rFonts w:ascii="仿宋_GB2312" w:hAnsi="仿宋_GB2312" w:cs="仿宋_GB2312" w:eastAsia="仿宋_GB2312"/>
              </w:rPr>
              <w:t>抽检系统运用熟练度要求，评审内容：①供应商能够熟练运用各级抽检系统；②及时准确的录入抽检、检验信息；③具有专门人员/部门且有录入经验。评审依据：每一项内容描述详细，切实可行符合项目实际内容得2分，①～③项合计得6分。内容①～③项任意一项缺项扣2分；内容①～③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食品安全抽检监测承检机构盲样考核要求</w:t>
            </w:r>
          </w:p>
        </w:tc>
        <w:tc>
          <w:tcPr>
            <w:tcW w:type="dxa" w:w="2492"/>
          </w:tcPr>
          <w:p>
            <w:pPr>
              <w:pStyle w:val="null3"/>
            </w:pPr>
            <w:r>
              <w:rPr>
                <w:rFonts w:ascii="仿宋_GB2312" w:hAnsi="仿宋_GB2312" w:cs="仿宋_GB2312" w:eastAsia="仿宋_GB2312"/>
              </w:rPr>
              <w:t>参加市级或以上部门组织的2025年全省食品安全抽检监测承检机构盲样考核，全部满意（含基本满意）得5分，出现一项不满意项目得3分，出现二项及以上不满意项目得1分（供应商响应文件中提供相关证明材料，未提供不得分，提供虚假资料按废标处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具体实施方案</w:t>
            </w:r>
          </w:p>
        </w:tc>
        <w:tc>
          <w:tcPr>
            <w:tcW w:type="dxa" w:w="2492"/>
          </w:tcPr>
          <w:p>
            <w:pPr>
              <w:pStyle w:val="null3"/>
            </w:pPr>
            <w:r>
              <w:rPr>
                <w:rFonts w:ascii="仿宋_GB2312" w:hAnsi="仿宋_GB2312" w:cs="仿宋_GB2312" w:eastAsia="仿宋_GB2312"/>
              </w:rPr>
              <w:t>具体实施方案，评审内容：：①服务可行性；②时间效率；③工作方法；④质量控制措施方法内容；⑤预防性管理方法内容；⑥报告送达时间。评审依据：每一项内容描述详细，切实可行符合项目实际内容得3分，①～⑥项合计得18分。内容①～⑥项任意一项缺项扣3分；内容①～⑥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风险分析报告经验要求</w:t>
            </w:r>
          </w:p>
        </w:tc>
        <w:tc>
          <w:tcPr>
            <w:tcW w:type="dxa" w:w="2492"/>
          </w:tcPr>
          <w:p>
            <w:pPr>
              <w:pStyle w:val="null3"/>
            </w:pPr>
            <w:r>
              <w:rPr>
                <w:rFonts w:ascii="仿宋_GB2312" w:hAnsi="仿宋_GB2312" w:cs="仿宋_GB2312" w:eastAsia="仿宋_GB2312"/>
              </w:rPr>
              <w:t>风险分析报告经验要求，评审内容：供应商具有撰写风险分析报告经验（需提交两年内撰写的食品安全监督抽检风险分析报告）。评审依据：根据撰写风险分析报告经验情况赋分，方案详尽完善，切实可行得3分，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进度保障措施</w:t>
            </w:r>
          </w:p>
        </w:tc>
        <w:tc>
          <w:tcPr>
            <w:tcW w:type="dxa" w:w="2492"/>
          </w:tcPr>
          <w:p>
            <w:pPr>
              <w:pStyle w:val="null3"/>
            </w:pPr>
            <w:r>
              <w:rPr>
                <w:rFonts w:ascii="仿宋_GB2312" w:hAnsi="仿宋_GB2312" w:cs="仿宋_GB2312" w:eastAsia="仿宋_GB2312"/>
              </w:rPr>
              <w:t>进度保障措施，评审内容：①工作进度计划安排；②工作进度计划保障措施。 评审依据：每一项内容描述详细，切实可行符合项目实际内容得1.5分，①～②项合计得3分。内容①～②项任意一项缺项扣1.5分；内容①～②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项目售后服务措施承诺</w:t>
            </w:r>
          </w:p>
        </w:tc>
        <w:tc>
          <w:tcPr>
            <w:tcW w:type="dxa" w:w="2492"/>
          </w:tcPr>
          <w:p>
            <w:pPr>
              <w:pStyle w:val="null3"/>
            </w:pPr>
            <w:r>
              <w:rPr>
                <w:rFonts w:ascii="仿宋_GB2312" w:hAnsi="仿宋_GB2312" w:cs="仿宋_GB2312" w:eastAsia="仿宋_GB2312"/>
              </w:rPr>
              <w:t>项目售后服务措施承诺，评审内容：①服务承诺；②其他有利于本项目实施的承诺。 评审依据：每一项内容描述详细，切实可行符合项目实际内容得2分，①～②项合计得4分。内容①～②项任意一项缺项扣2分；内容①～②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人员配备、管理方案</w:t>
            </w:r>
          </w:p>
        </w:tc>
        <w:tc>
          <w:tcPr>
            <w:tcW w:type="dxa" w:w="2492"/>
          </w:tcPr>
          <w:p>
            <w:pPr>
              <w:pStyle w:val="null3"/>
            </w:pPr>
            <w:r>
              <w:rPr>
                <w:rFonts w:ascii="仿宋_GB2312" w:hAnsi="仿宋_GB2312" w:cs="仿宋_GB2312" w:eastAsia="仿宋_GB2312"/>
              </w:rPr>
              <w:t>人员配备、管理方案，评审内容：①拟派项目组织机构；②项目成员分工；③项目成员专业素养；④项目成员岗位职责（提供相关证明材料复印件加盖公章，提供虚假资料按无效投标处理）：⑤项目人员管理方案； 评审依据：每一项内容描述详细，切实可行符合项目实际内容得3分，①～⑤项合计得15分。内容①～⑤项任意一项缺项扣3分；内容①～⑤项里有一项内容缺陷（缺陷是指：拟投入项目人员设置不合理，人员配备数量不足、专业素养差、人员职责不明确、分工混乱、相关项目实施经验缺乏存在不适用项目实际情况的情形等）扣0.5分，扣完为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食品安全突发事件的应急响应方案</w:t>
            </w:r>
          </w:p>
        </w:tc>
        <w:tc>
          <w:tcPr>
            <w:tcW w:type="dxa" w:w="2492"/>
          </w:tcPr>
          <w:p>
            <w:pPr>
              <w:pStyle w:val="null3"/>
            </w:pPr>
            <w:r>
              <w:rPr>
                <w:rFonts w:ascii="仿宋_GB2312" w:hAnsi="仿宋_GB2312" w:cs="仿宋_GB2312" w:eastAsia="仿宋_GB2312"/>
              </w:rPr>
              <w:t>评审内容：①市场变化；②突发事件；③政策变化。 评审依据：每一项内容描述详细，切实可行符合项目实际内容得2分，①～③项合计得6分。内容①～③项任意一项缺项扣2分；内容①～③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企业类似业绩</w:t>
            </w:r>
          </w:p>
        </w:tc>
        <w:tc>
          <w:tcPr>
            <w:tcW w:type="dxa" w:w="2492"/>
          </w:tcPr>
          <w:p>
            <w:pPr>
              <w:pStyle w:val="null3"/>
            </w:pPr>
            <w:r>
              <w:rPr>
                <w:rFonts w:ascii="仿宋_GB2312" w:hAnsi="仿宋_GB2312" w:cs="仿宋_GB2312" w:eastAsia="仿宋_GB2312"/>
              </w:rPr>
              <w:t>供应商应出具2023年5月1日以来类似项目业绩合同，每一个有效合同得1分，满分得3分。（以合同为准，文件中附加盖公章的合同复印件）。</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磋商报价采用低价优先法计算，即满足竞争性磋商文件要求且最后磋商报价最低的报价为评审基准价，其价格分为满分。其他供应商的价格分统一按照下列公式计算：磋商报价得分=（评审基准价/最后磋商报价）×10说明：本项目专门面对中小企业采购，故不再对各供应商价格进行优惠评审。</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