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版本号：LZBE2026-204.1B120260427001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校园文化建设项目（擎云青少年科学院文化建设）(二次)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LZBE2026-204.1B1</w:t>
      </w:r>
      <w:r>
        <w:br/>
      </w:r>
      <w:r>
        <w:br/>
      </w:r>
      <w:r>
        <w:br/>
      </w:r>
    </w:p>
    <w:p>
      <w:pPr>
        <w:pStyle w:val="null3"/>
        <w:jc w:val="center"/>
        <w:outlineLvl w:val="2"/>
      </w:pPr>
      <w:r>
        <w:rPr>
          <w:rFonts w:ascii="仿宋_GB2312" w:hAnsi="仿宋_GB2312" w:cs="仿宋_GB2312" w:eastAsia="仿宋_GB2312"/>
          <w:sz w:val="28"/>
          <w:b/>
        </w:rPr>
        <w:t>西安市黄河中学</w:t>
      </w:r>
    </w:p>
    <w:p>
      <w:pPr>
        <w:pStyle w:val="null3"/>
        <w:jc w:val="center"/>
        <w:outlineLvl w:val="2"/>
      </w:pPr>
      <w:r>
        <w:rPr>
          <w:rFonts w:ascii="仿宋_GB2312" w:hAnsi="仿宋_GB2312" w:cs="仿宋_GB2312" w:eastAsia="仿宋_GB2312"/>
          <w:sz w:val="28"/>
          <w:b/>
        </w:rPr>
        <w:t>龙寰项目管理咨询有限公司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龙寰项目管理咨询有限公司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西安市黄河中学</w:t>
      </w:r>
      <w:r>
        <w:rPr>
          <w:rFonts w:ascii="仿宋_GB2312" w:hAnsi="仿宋_GB2312" w:cs="仿宋_GB2312" w:eastAsia="仿宋_GB2312"/>
        </w:rPr>
        <w:t>委托，拟对</w:t>
      </w:r>
      <w:r>
        <w:rPr>
          <w:rFonts w:ascii="仿宋_GB2312" w:hAnsi="仿宋_GB2312" w:cs="仿宋_GB2312" w:eastAsia="仿宋_GB2312"/>
        </w:rPr>
        <w:t>校园文化建设项目（擎云青少年科学院文化建设）(二次)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LZBE2026-204.1B1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校园文化建设项目（擎云青少年科学院文化建设）(二次)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西安市黄河中学校园文化建设项目（擎云青少年科学院文化建设），施工内容详见工程量清单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采购包1（校园文化建设项目（擎云青少年科学院文化建设））：属于专门面向中小企业采购。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2026年1月至2026年3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6、履行合同所必需的设备和专业技术能力书面声明函：具有履行合同所必需的设备和专业技术能力书面声明函，供应商需在项目电子化交易系统中按要求上传相应证明文件并进行电子签章</w:t>
      </w:r>
    </w:p>
    <w:p>
      <w:pPr>
        <w:pStyle w:val="null3"/>
      </w:pPr>
      <w:r>
        <w:rPr>
          <w:rFonts w:ascii="仿宋_GB2312" w:hAnsi="仿宋_GB2312" w:cs="仿宋_GB2312" w:eastAsia="仿宋_GB2312"/>
        </w:rPr>
        <w:t>7、供应商资质要求：供应商须具有建筑装饰装修工程二级及以上资质，并具有有效的安全生产许可证，供应商需在项目电子化交易系统中按要求上传相应证明文件并进行电子签章</w:t>
      </w:r>
    </w:p>
    <w:p>
      <w:pPr>
        <w:pStyle w:val="null3"/>
      </w:pPr>
      <w:r>
        <w:rPr>
          <w:rFonts w:ascii="仿宋_GB2312" w:hAnsi="仿宋_GB2312" w:cs="仿宋_GB2312" w:eastAsia="仿宋_GB2312"/>
        </w:rPr>
        <w:t>8、拟派项目经理证书：供应商拟派项目经理具有本企业注册的建筑工程专业二级及以上注册建造师证书及安全考核合格证,且无在建（无在建承诺格式及内容自拟），供应商需在项目电子化交易系统中按要求上传相应证明文件并进行电子签章</w:t>
      </w:r>
    </w:p>
    <w:p>
      <w:pPr>
        <w:pStyle w:val="null3"/>
      </w:pPr>
      <w:r>
        <w:rPr>
          <w:rFonts w:ascii="仿宋_GB2312" w:hAnsi="仿宋_GB2312" w:cs="仿宋_GB2312" w:eastAsia="仿宋_GB2312"/>
        </w:rPr>
        <w:t>9、其他要求：单位负责人为同一人或者存在直接控股、管理关系的不同供应商不得参加同一合同项下的政府采购活动；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p>
      <w:pPr>
        <w:pStyle w:val="null3"/>
      </w:pPr>
      <w:r>
        <w:rPr>
          <w:rFonts w:ascii="仿宋_GB2312" w:hAnsi="仿宋_GB2312" w:cs="仿宋_GB2312" w:eastAsia="仿宋_GB2312"/>
        </w:rPr>
        <w:t>10、信用状况：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开标后的网站查询记录为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西安市黄河中学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金康路8号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029-83210299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龙寰项目管理咨询有限公司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西安市太白南路181号西部电子社区A座A区501室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庞冰倩、陈钊、刘强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029-88228899-653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西安市新城区政府采购管理股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刘婷</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87438480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采购包1：611,987.86元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代理服务费收费标准：1、本项目采购代理服务费以成交价作为收费基数，参照计价格[2002]1980号、发改价格[2011]534号、发改办价格〔2003〕857号中工程类执行。 2、成交单位在领取成交通知书之前，须向采购代理机构支付招标代理服务费。招标代理服务费以转账或现金形式缴纳至以下账户：开户名称：龙寰项目管理咨询有限公司；开户银行：平安银行西安高新路支行；账号：30201278018297</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西安市黄河中学</w:t>
      </w:r>
      <w:r>
        <w:rPr>
          <w:rFonts w:ascii="仿宋_GB2312" w:hAnsi="仿宋_GB2312" w:cs="仿宋_GB2312" w:eastAsia="仿宋_GB2312"/>
        </w:rPr>
        <w:t>和</w:t>
      </w:r>
      <w:r>
        <w:rPr>
          <w:rFonts w:ascii="仿宋_GB2312" w:hAnsi="仿宋_GB2312" w:cs="仿宋_GB2312" w:eastAsia="仿宋_GB2312"/>
        </w:rPr>
        <w:t>龙寰项目管理咨询有限公司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西安市黄河中学</w:t>
      </w:r>
      <w:r>
        <w:rPr>
          <w:rFonts w:ascii="仿宋_GB2312" w:hAnsi="仿宋_GB2312" w:cs="仿宋_GB2312" w:eastAsia="仿宋_GB2312"/>
        </w:rPr>
        <w:t>负责解释。除上述磋商文件内容，其他内容由</w:t>
      </w:r>
      <w:r>
        <w:rPr>
          <w:rFonts w:ascii="仿宋_GB2312" w:hAnsi="仿宋_GB2312" w:cs="仿宋_GB2312" w:eastAsia="仿宋_GB2312"/>
        </w:rPr>
        <w:t>龙寰项目管理咨询有限公司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西安市黄河中学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龙寰项目管理咨询有限公司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合格工程，满足施工规范及验收规范要求。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龙寰项目管理咨询有限公司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联系人：庞冰倩、陈钊、刘强</w:t>
      </w:r>
    </w:p>
    <w:p>
      <w:pPr>
        <w:pStyle w:val="null3"/>
      </w:pPr>
      <w:r>
        <w:rPr>
          <w:rFonts w:ascii="仿宋_GB2312" w:hAnsi="仿宋_GB2312" w:cs="仿宋_GB2312" w:eastAsia="仿宋_GB2312"/>
        </w:rPr>
        <w:t>联系电话：029-88228899-653</w:t>
      </w:r>
    </w:p>
    <w:p>
      <w:pPr>
        <w:pStyle w:val="null3"/>
      </w:pPr>
      <w:r>
        <w:rPr>
          <w:rFonts w:ascii="仿宋_GB2312" w:hAnsi="仿宋_GB2312" w:cs="仿宋_GB2312" w:eastAsia="仿宋_GB2312"/>
        </w:rPr>
        <w:t>地址：西安市太白南路181号西部电子社区A座A区501室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611,987.86</w:t>
      </w:r>
    </w:p>
    <w:p>
      <w:pPr>
        <w:pStyle w:val="null3"/>
      </w:pPr>
      <w:r>
        <w:rPr>
          <w:rFonts w:ascii="仿宋_GB2312" w:hAnsi="仿宋_GB2312" w:cs="仿宋_GB2312" w:eastAsia="仿宋_GB2312"/>
        </w:rPr>
        <w:t>采购包最高限价（元）: 611,987.86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校园文化建设项目（擎云青少年科学院文化建设）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611,987.86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标的名称：校园文化建设项目（擎云青少年科学院文化建设）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一、工程概况</w:t>
            </w:r>
          </w:p>
          <w:p>
            <w:pPr>
              <w:pStyle w:val="null3"/>
              <w:jc w:val="both"/>
            </w:pPr>
            <w:r>
              <w:rPr>
                <w:rFonts w:ascii="仿宋_GB2312" w:hAnsi="仿宋_GB2312" w:cs="仿宋_GB2312" w:eastAsia="仿宋_GB2312"/>
              </w:rPr>
              <w:t>1.项目名称：</w:t>
            </w:r>
            <w:r>
              <w:rPr>
                <w:rFonts w:ascii="仿宋_GB2312" w:hAnsi="仿宋_GB2312" w:cs="仿宋_GB2312" w:eastAsia="仿宋_GB2312"/>
              </w:rPr>
              <w:t>西安黄河中学校园文化建设项目（擎云青少年科学院文化建设）</w:t>
            </w:r>
            <w:r>
              <w:rPr>
                <w:rFonts w:ascii="仿宋_GB2312" w:hAnsi="仿宋_GB2312" w:cs="仿宋_GB2312" w:eastAsia="仿宋_GB2312"/>
              </w:rPr>
              <w:t>。</w:t>
            </w:r>
          </w:p>
          <w:p>
            <w:pPr>
              <w:pStyle w:val="null3"/>
              <w:jc w:val="both"/>
            </w:pPr>
            <w:r>
              <w:rPr>
                <w:rFonts w:ascii="仿宋_GB2312" w:hAnsi="仿宋_GB2312" w:cs="仿宋_GB2312" w:eastAsia="仿宋_GB2312"/>
              </w:rPr>
              <w:t>2.项目概况：该项目位于陕西省西安市。包括室内六楼AI人工智能实训室、机器人教室、3D打印与激光雕刻教室、科技成果展示区、黄河集团展示室、走廊的装修及电气等工程内容。</w:t>
            </w:r>
          </w:p>
          <w:p>
            <w:pPr>
              <w:pStyle w:val="null3"/>
              <w:jc w:val="both"/>
            </w:pPr>
            <w:r>
              <w:rPr>
                <w:rFonts w:ascii="仿宋_GB2312" w:hAnsi="仿宋_GB2312" w:cs="仿宋_GB2312" w:eastAsia="仿宋_GB2312"/>
              </w:rPr>
              <w:t>二、编制范围</w:t>
            </w:r>
          </w:p>
          <w:p>
            <w:pPr>
              <w:pStyle w:val="null3"/>
              <w:jc w:val="both"/>
            </w:pPr>
            <w:r>
              <w:rPr>
                <w:rFonts w:ascii="仿宋_GB2312" w:hAnsi="仿宋_GB2312" w:cs="仿宋_GB2312" w:eastAsia="仿宋_GB2312"/>
              </w:rPr>
              <w:t>主要建设内容为：</w:t>
            </w:r>
            <w:r>
              <w:rPr>
                <w:rFonts w:ascii="仿宋_GB2312" w:hAnsi="仿宋_GB2312" w:cs="仿宋_GB2312" w:eastAsia="仿宋_GB2312"/>
              </w:rPr>
              <w:t>西安黄河中学校园文化建设项目（擎云青少年科学院文化建设）</w:t>
            </w:r>
            <w:r>
              <w:rPr>
                <w:rFonts w:ascii="仿宋_GB2312" w:hAnsi="仿宋_GB2312" w:cs="仿宋_GB2312" w:eastAsia="仿宋_GB2312"/>
              </w:rPr>
              <w:t>。</w:t>
            </w:r>
          </w:p>
          <w:p>
            <w:pPr>
              <w:pStyle w:val="null3"/>
              <w:jc w:val="both"/>
            </w:pPr>
            <w:r>
              <w:rPr>
                <w:rFonts w:ascii="仿宋_GB2312" w:hAnsi="仿宋_GB2312" w:cs="仿宋_GB2312" w:eastAsia="仿宋_GB2312"/>
              </w:rPr>
              <w:t>三、编制依据</w:t>
            </w:r>
          </w:p>
          <w:p>
            <w:pPr>
              <w:pStyle w:val="null3"/>
              <w:jc w:val="both"/>
            </w:pPr>
            <w:r>
              <w:rPr>
                <w:rFonts w:ascii="仿宋_GB2312" w:hAnsi="仿宋_GB2312" w:cs="仿宋_GB2312" w:eastAsia="仿宋_GB2312"/>
              </w:rPr>
              <w:t>1.施工图纸及相关资料；</w:t>
            </w:r>
          </w:p>
          <w:p>
            <w:pPr>
              <w:pStyle w:val="null3"/>
              <w:jc w:val="both"/>
            </w:pPr>
            <w:r>
              <w:rPr>
                <w:rFonts w:ascii="仿宋_GB2312" w:hAnsi="仿宋_GB2312" w:cs="仿宋_GB2312" w:eastAsia="仿宋_GB2312"/>
              </w:rPr>
              <w:t>2.《陕西省建设工程费用规则》（2025）；</w:t>
            </w:r>
          </w:p>
          <w:p>
            <w:pPr>
              <w:pStyle w:val="null3"/>
              <w:jc w:val="both"/>
            </w:pPr>
            <w:r>
              <w:rPr>
                <w:rFonts w:ascii="仿宋_GB2312" w:hAnsi="仿宋_GB2312" w:cs="仿宋_GB2312" w:eastAsia="仿宋_GB2312"/>
              </w:rPr>
              <w:t>3.《陕西省房屋建筑与装饰工程基价表》（2025）；</w:t>
            </w:r>
          </w:p>
          <w:p>
            <w:pPr>
              <w:pStyle w:val="null3"/>
              <w:jc w:val="both"/>
            </w:pPr>
            <w:r>
              <w:rPr>
                <w:rFonts w:ascii="仿宋_GB2312" w:hAnsi="仿宋_GB2312" w:cs="仿宋_GB2312" w:eastAsia="仿宋_GB2312"/>
              </w:rPr>
              <w:t>4.《陕西省通用安装工程基价表》（2025）；</w:t>
            </w:r>
          </w:p>
          <w:p>
            <w:pPr>
              <w:pStyle w:val="null3"/>
              <w:jc w:val="both"/>
            </w:pPr>
            <w:r>
              <w:rPr>
                <w:rFonts w:ascii="仿宋_GB2312" w:hAnsi="仿宋_GB2312" w:cs="仿宋_GB2312" w:eastAsia="仿宋_GB2312"/>
              </w:rPr>
              <w:t>5.《陕西省市政工程基价表》（2025）；</w:t>
            </w:r>
          </w:p>
          <w:p>
            <w:pPr>
              <w:pStyle w:val="null3"/>
              <w:jc w:val="both"/>
            </w:pPr>
            <w:r>
              <w:rPr>
                <w:rFonts w:ascii="仿宋_GB2312" w:hAnsi="仿宋_GB2312" w:cs="仿宋_GB2312" w:eastAsia="仿宋_GB2312"/>
              </w:rPr>
              <w:t>6.《陕西省园林绿化工程基价表》（2025）；</w:t>
            </w:r>
          </w:p>
          <w:p>
            <w:pPr>
              <w:pStyle w:val="null3"/>
              <w:jc w:val="both"/>
            </w:pPr>
            <w:r>
              <w:rPr>
                <w:rFonts w:ascii="仿宋_GB2312" w:hAnsi="仿宋_GB2312" w:cs="仿宋_GB2312" w:eastAsia="仿宋_GB2312"/>
              </w:rPr>
              <w:t>7.《陕西省房屋建筑与装饰工程消耗量定额》（2025）；</w:t>
            </w:r>
          </w:p>
          <w:p>
            <w:pPr>
              <w:pStyle w:val="null3"/>
              <w:jc w:val="both"/>
            </w:pPr>
            <w:r>
              <w:rPr>
                <w:rFonts w:ascii="仿宋_GB2312" w:hAnsi="仿宋_GB2312" w:cs="仿宋_GB2312" w:eastAsia="仿宋_GB2312"/>
              </w:rPr>
              <w:t>8.《陕西省市政工程消耗量定额》（2025）；</w:t>
            </w:r>
          </w:p>
          <w:p>
            <w:pPr>
              <w:pStyle w:val="null3"/>
              <w:jc w:val="both"/>
            </w:pPr>
            <w:r>
              <w:rPr>
                <w:rFonts w:ascii="仿宋_GB2312" w:hAnsi="仿宋_GB2312" w:cs="仿宋_GB2312" w:eastAsia="仿宋_GB2312"/>
              </w:rPr>
              <w:t>9.《陕西省园林绿化工程消耗量定额》（2025）；</w:t>
            </w:r>
          </w:p>
          <w:p>
            <w:pPr>
              <w:pStyle w:val="null3"/>
              <w:jc w:val="both"/>
            </w:pPr>
            <w:r>
              <w:rPr>
                <w:rFonts w:ascii="仿宋_GB2312" w:hAnsi="仿宋_GB2312" w:cs="仿宋_GB2312" w:eastAsia="仿宋_GB2312"/>
              </w:rPr>
              <w:t>10.《陕西省通用安装工程消耗量定额》（2025）；</w:t>
            </w:r>
          </w:p>
          <w:p>
            <w:pPr>
              <w:pStyle w:val="null3"/>
              <w:jc w:val="both"/>
            </w:pPr>
            <w:r>
              <w:rPr>
                <w:rFonts w:ascii="仿宋_GB2312" w:hAnsi="仿宋_GB2312" w:cs="仿宋_GB2312" w:eastAsia="仿宋_GB2312"/>
              </w:rPr>
              <w:t>11.《陕西省建设工程施工机械台班费用定额》（2025）及相关配套文件；</w:t>
            </w:r>
          </w:p>
          <w:p>
            <w:pPr>
              <w:pStyle w:val="null3"/>
              <w:jc w:val="both"/>
            </w:pPr>
            <w:r>
              <w:rPr>
                <w:rFonts w:ascii="仿宋_GB2312" w:hAnsi="仿宋_GB2312" w:cs="仿宋_GB2312" w:eastAsia="仿宋_GB2312"/>
              </w:rPr>
              <w:t>12.建设工程项目有关的标准、规范、图集、技术资料；</w:t>
            </w:r>
          </w:p>
          <w:p>
            <w:pPr>
              <w:pStyle w:val="null3"/>
              <w:jc w:val="both"/>
            </w:pPr>
            <w:r>
              <w:rPr>
                <w:rFonts w:ascii="仿宋_GB2312" w:hAnsi="仿宋_GB2312" w:cs="仿宋_GB2312" w:eastAsia="仿宋_GB2312"/>
              </w:rPr>
              <w:t>四、其他说明</w:t>
            </w:r>
          </w:p>
          <w:p>
            <w:pPr>
              <w:pStyle w:val="null3"/>
              <w:jc w:val="both"/>
            </w:pPr>
            <w:r>
              <w:rPr>
                <w:rFonts w:ascii="仿宋_GB2312" w:hAnsi="仿宋_GB2312" w:cs="仿宋_GB2312" w:eastAsia="仿宋_GB2312"/>
              </w:rPr>
              <w:t>1.本工程软件采用广联达云计价平台 GCCP7.0 版本号 7.5000.23.2；</w:t>
            </w:r>
          </w:p>
          <w:p>
            <w:pPr>
              <w:pStyle w:val="null3"/>
              <w:jc w:val="both"/>
            </w:pPr>
            <w:r>
              <w:rPr>
                <w:rFonts w:ascii="仿宋_GB2312" w:hAnsi="仿宋_GB2312" w:cs="仿宋_GB2312" w:eastAsia="仿宋_GB2312"/>
              </w:rPr>
              <w:t>2.本工程量清单所提供工程项目特征仅表达了主要工程做法，组价时应依据设计图纸、相关图集，技术规范、图纸等进行组价；</w:t>
            </w:r>
          </w:p>
          <w:p>
            <w:pPr>
              <w:pStyle w:val="null3"/>
              <w:jc w:val="both"/>
            </w:pPr>
            <w:r>
              <w:rPr>
                <w:rFonts w:ascii="仿宋_GB2312" w:hAnsi="仿宋_GB2312" w:cs="仿宋_GB2312" w:eastAsia="仿宋_GB2312"/>
              </w:rPr>
              <w:t>3.主要材料价格执行《陕西省工程造价管理信息》陕西省信息价2026年2月份及市场价。</w:t>
            </w:r>
          </w:p>
          <w:p>
            <w:pPr>
              <w:pStyle w:val="null3"/>
              <w:jc w:val="both"/>
            </w:pPr>
            <w:r>
              <w:rPr>
                <w:rFonts w:ascii="仿宋_GB2312" w:hAnsi="仿宋_GB2312" w:cs="仿宋_GB2312" w:eastAsia="仿宋_GB2312"/>
              </w:rPr>
              <w:t>五</w:t>
            </w:r>
            <w:r>
              <w:rPr>
                <w:rFonts w:ascii="仿宋_GB2312" w:hAnsi="仿宋_GB2312" w:cs="仿宋_GB2312" w:eastAsia="仿宋_GB2312"/>
              </w:rPr>
              <w:t>、具体工程量详见工程量清单</w:t>
            </w:r>
          </w:p>
          <w:p>
            <w:pPr>
              <w:pStyle w:val="null3"/>
            </w:pPr>
            <w:r>
              <w:rPr>
                <w:rFonts w:ascii="仿宋_GB2312" w:hAnsi="仿宋_GB2312" w:cs="仿宋_GB2312" w:eastAsia="仿宋_GB2312"/>
                <w:sz w:val="21"/>
              </w:rPr>
              <w:t>六</w:t>
            </w:r>
            <w:r>
              <w:rPr>
                <w:rFonts w:ascii="仿宋_GB2312" w:hAnsi="仿宋_GB2312" w:cs="仿宋_GB2312" w:eastAsia="仿宋_GB2312"/>
                <w:sz w:val="21"/>
              </w:rPr>
              <w:t>、本项目施工工期：</w:t>
            </w:r>
            <w:r>
              <w:rPr>
                <w:rFonts w:ascii="仿宋_GB2312" w:hAnsi="仿宋_GB2312" w:cs="仿宋_GB2312" w:eastAsia="仿宋_GB2312"/>
                <w:sz w:val="21"/>
              </w:rPr>
              <w:t>45天</w:t>
            </w:r>
          </w:p>
          <w:p>
            <w:pPr>
              <w:pStyle w:val="null3"/>
            </w:pPr>
            <w:r>
              <w:rPr>
                <w:rFonts w:ascii="仿宋_GB2312" w:hAnsi="仿宋_GB2312" w:cs="仿宋_GB2312" w:eastAsia="仿宋_GB2312"/>
                <w:sz w:val="21"/>
              </w:rPr>
              <w:t>七、质量标准：</w:t>
            </w:r>
            <w:r>
              <w:rPr>
                <w:rFonts w:ascii="仿宋_GB2312" w:hAnsi="仿宋_GB2312" w:cs="仿宋_GB2312" w:eastAsia="仿宋_GB2312"/>
              </w:rPr>
              <w:t>合格工程，满足施工规范及验收规范要求。</w:t>
            </w:r>
          </w:p>
          <w:p>
            <w:pPr>
              <w:pStyle w:val="null3"/>
            </w:pPr>
            <w:r>
              <w:rPr>
                <w:rFonts w:ascii="仿宋_GB2312" w:hAnsi="仿宋_GB2312" w:cs="仿宋_GB2312" w:eastAsia="仿宋_GB2312"/>
                <w:sz w:val="21"/>
              </w:rPr>
              <w:t>八、项目地点：陕西省西安市黄河中学</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合格工程，满足施工规范及验收规范要求。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满足磋商文件、工程量清单要求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采购标的对应的中小企业划分标准所属行业为建筑业。建筑业的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2、供应商需要在线提交所有通过电子化交易平台实施的政府采购项目的响应文件，同时，线下提交纸质响应文件壹份，具体要求详见磋商公告。3、由于系统原因，本项目最后报价、确定供应商及签订合同分别按以下执行：（1）在进行最后报价时，须以附件形式提供本项目报价组成证明材料。（2）采购代理机构在评审结束之日起1个工作日内将磋商报告送交采购人。采购人在收到磋商报告后4个工作日内，在磋商报告推荐的成交候选供应商名单中按顺序确定成交供应商。采购代理机构应当自成交供应商确定之日起1个工作日内，发出成交通知书，并在省级以上人民政府财政部门指定的媒体上公告成交结果，采购文件随成交结果同时公告。（3）采购人应在成交通知书发出之日起二十五日内与成交供应商签订采购合同。4、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5、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以下简称《声明函》）或财政部会同有关部门规定的有关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2026年1月至2026年3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磋商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供应商提供2024年度或2025年度有效的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履行合同所必需的设备和专业技术能力书面声明函</w:t>
            </w:r>
          </w:p>
        </w:tc>
        <w:tc>
          <w:tcPr>
            <w:tcW w:type="dxa" w:w="3322"/>
          </w:tcPr>
          <w:p>
            <w:pPr>
              <w:pStyle w:val="null3"/>
            </w:pPr>
            <w:r>
              <w:rPr>
                <w:rFonts w:ascii="仿宋_GB2312" w:hAnsi="仿宋_GB2312" w:cs="仿宋_GB2312" w:eastAsia="仿宋_GB2312"/>
              </w:rPr>
              <w:t>具有履行合同所必需的设备和专业技术能力书面声明函，供应商需在项目电子化交易系统中按要求上传相应证明文件并进行电子签章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供应商须具有建筑装饰装修工程二级及以上资质，并具有有效的安全生产许可证，供应商需在项目电子化交易系统中按要求上传相应证明文件并进行电子签章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拟派项目经理证书</w:t>
            </w:r>
          </w:p>
        </w:tc>
        <w:tc>
          <w:tcPr>
            <w:tcW w:type="dxa" w:w="3322"/>
          </w:tcPr>
          <w:p>
            <w:pPr>
              <w:pStyle w:val="null3"/>
            </w:pPr>
            <w:r>
              <w:rPr>
                <w:rFonts w:ascii="仿宋_GB2312" w:hAnsi="仿宋_GB2312" w:cs="仿宋_GB2312" w:eastAsia="仿宋_GB2312"/>
              </w:rPr>
              <w:t>供应商拟派项目经理具有本企业注册的建筑工程专业二级及以上注册建造师证书及安全考核合格证,且无在建（无在建承诺格式及内容自拟），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信用状况</w:t>
            </w:r>
          </w:p>
        </w:tc>
        <w:tc>
          <w:tcPr>
            <w:tcW w:type="dxa" w:w="3322"/>
          </w:tcPr>
          <w:p>
            <w:pPr>
              <w:pStyle w:val="null3"/>
            </w:pPr>
            <w:r>
              <w:rPr>
                <w:rFonts w:ascii="仿宋_GB2312" w:hAnsi="仿宋_GB2312" w:cs="仿宋_GB2312" w:eastAsia="仿宋_GB2312"/>
              </w:rPr>
              <w:t>不得为“中国执行信息公开网”（https://zxgk.court.gov.cn/）中列入失信被执行人的供应商，不得为“信用中国”网站（www.creditchina.gov.cn）中重大税收违法失信主体的供应商，不得为中国政府采购网（www.ccgp.gov.cn）政府采购严重违法失信行为记录名单中被财政部门禁止参加政府采购活动的供应商，以开标后的网站查询记录为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已标价工程量清单 报价函 标的清单 磋商第一次报价表.docx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内容无重大缺漏项，报价唯一，且没有超过采购预算或限价</w:t>
            </w:r>
          </w:p>
        </w:tc>
        <w:tc>
          <w:tcPr>
            <w:tcW w:type="dxa" w:w="1661"/>
          </w:tcPr>
          <w:p>
            <w:pPr>
              <w:pStyle w:val="null3"/>
            </w:pPr>
            <w:r>
              <w:rPr>
                <w:rFonts w:ascii="仿宋_GB2312" w:hAnsi="仿宋_GB2312" w:cs="仿宋_GB2312" w:eastAsia="仿宋_GB2312"/>
              </w:rPr>
              <w:t>已标价工程量清单 报价函 标的清单 磋商第一次报价表.docx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提交首次响应文件的截止之日起不少于90天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标的清单 磋商第一次报价表.docx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磋商第一次报价表.docx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项目地点</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技术商务偏离表.docx 磋商第一次报价表.docx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已标价工程量清单 中小企业声明函 报价函 技术商务偏离表.docx 标的清单 磋商第一次报价表.docx 承诺书.docx 响应函 强制优先采购产品承诺函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已标价工程量清单 中小企业声明函 技术商务偏离表.docx 承诺书.docx 资格证明文件.docx 强制优先采购产品承诺函 响应文件封面 残疾人福利性单位声明函 报价函 标的清单 磋商第一次报价表.docx 响应函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项目安全保证措施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方案专门针对本项目编制，符合项目实际情况及实施要求，内容详尽且涵盖角度全面，合理性和可行性强，能够保障项目顺利实施的，得5分; 方案能够针对本项目编制，符合项目实际情况及实施要求，内容详尽且涵盖角度基本全面，有一定的合理性和可行性的，得4分; 方案基本能够针对本项目编制，基本符合项目实际情况及实施要求，内容较宽泛，涵盖角度不够全面，内容基本合理可行的，得3分; 具有方案内容但内容未贴合本项目，内容涵盖角度不够全面且实施有难度的，得2分; 具有方案内容但内容未针对本项目，内容空洞宽泛，基本不具有可实施性，得1分;未提供方案内容不得分。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施工机械及材料投入计划</w:t>
            </w:r>
          </w:p>
        </w:tc>
        <w:tc>
          <w:tcPr>
            <w:tcW w:type="dxa" w:w="2492"/>
          </w:tcPr>
          <w:p>
            <w:pPr>
              <w:pStyle w:val="null3"/>
            </w:pPr>
            <w:r>
              <w:rPr>
                <w:rFonts w:ascii="仿宋_GB2312" w:hAnsi="仿宋_GB2312" w:cs="仿宋_GB2312" w:eastAsia="仿宋_GB2312"/>
              </w:rPr>
              <w:t>投入计划专门针对本项目编制，符合项目实际情况及实施要求，内容详尽且涵盖角度全面，合理性和可行性强，能够保障项目顺利实施的，得5分; 投入计划基本针对本项目编制，符合项目实际情况及实施要求，内容详尽且涵盖角度基本全面，有一定的合理性和可行性的，得4分; 投入计划能够针对本项目编制，基本符合项目实际情况及实施要求，内容较详细，涵盖角度较全面但略有不完善，基本合理可行的，得3分;提供投入计划，但内容涵盖角度不够全面且实施具有一定难度，得2分; 投入计划内容简单笼统，实施难度大的，得1分;未提供投入计划内容不得分。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施工进度网络图或施工进度表</w:t>
            </w:r>
          </w:p>
        </w:tc>
        <w:tc>
          <w:tcPr>
            <w:tcW w:type="dxa" w:w="2492"/>
          </w:tcPr>
          <w:p>
            <w:pPr>
              <w:pStyle w:val="null3"/>
            </w:pPr>
            <w:r>
              <w:rPr>
                <w:rFonts w:ascii="仿宋_GB2312" w:hAnsi="仿宋_GB2312" w:cs="仿宋_GB2312" w:eastAsia="仿宋_GB2312"/>
              </w:rPr>
              <w:t>网络图或进度表内容详尽、安排合理且实施性强计5分； 网络图或进度表内容详尽、安排合理且实施性较强计4分； 提供网络图或进度表内容、安排基本合理实施性缺乏计3分； 提供网络图或进度表，内容不够全面，实施性不强计2分； 提供网络图或进度表，内容不合理，不具有实施性计1分。未提供网络图或进度表不得分。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安排计划科学全面、内容具体、针对性强计5分； 安排计划基本全面、具有一定针对性计4分； 提供安排计划、内容基本合理、实施性欠妥计3分；提供安排计划，内容不够全面，实施性不强计2分；提供安排计划，内容简单笼统，不具有实施性计1分。未提供安排计划不计分。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5分；项目部组成基本合理、人员表配置基本齐全，具有人员配置清单，有一定的针对性，能够满足项目需求，得4分；提供项目部组成情况，配置基本合理但组成不全面得3分；项目部组成人员缺乏科学合理性，无人员配置清单，无法满足项目需求，得2分； 项目部组成内容简单笼统得1分。未提供项目部组成不得分。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后续服务措施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施工现场扬尘污染防治措施</w:t>
            </w:r>
          </w:p>
        </w:tc>
        <w:tc>
          <w:tcPr>
            <w:tcW w:type="dxa" w:w="2492"/>
          </w:tcPr>
          <w:p>
            <w:pPr>
              <w:pStyle w:val="null3"/>
            </w:pPr>
            <w:r>
              <w:rPr>
                <w:rFonts w:ascii="仿宋_GB2312" w:hAnsi="仿宋_GB2312" w:cs="仿宋_GB2312" w:eastAsia="仿宋_GB2312"/>
              </w:rPr>
              <w:t>措施内容专门针对本项目编制，符合项目实际情况及实施要求，内容详尽且涵盖角度全面，合理性和可行性强，能够保障项目顺利实施的，得5分; 措施内容能够针对本项目编制，符合项目实际情况及实施要求，内容详尽且涵盖角度基本全面，有一定的合理性和可行性的，得4分; 措施内容基本能够针对本项目编制，基本符合项目实际情况及实施要求，内容较详细，涵盖角度较全面，基本合理可行的，得3分; 具有措施内容但措施内容未贴合本项目，措施内容涵盖角度不全面且实施有难度的，得2分; 具有措施内容但内容未针对本项目，内容空洞宽泛，可实施性不强，得1分;未提供措施内容不得分。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应用的技术、产品、工艺、材料等先进科学、可行性高计5分； 应用的技术、产品、工艺、材料等先进科学、可行性较高计4分； 应用的技术、产品、工艺、材料等科学性、可行性缺乏计3分； 应用的技术、产品、工艺、材料等科学性描述脱离实际计2分； 其他情形计1分。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工程质量和质量保修承诺</w:t>
            </w:r>
          </w:p>
        </w:tc>
        <w:tc>
          <w:tcPr>
            <w:tcW w:type="dxa" w:w="2492"/>
          </w:tcPr>
          <w:p>
            <w:pPr>
              <w:pStyle w:val="null3"/>
            </w:pPr>
            <w:r>
              <w:rPr>
                <w:rFonts w:ascii="仿宋_GB2312" w:hAnsi="仿宋_GB2312" w:cs="仿宋_GB2312" w:eastAsia="仿宋_GB2312"/>
              </w:rPr>
              <w:t>承诺方案专门针对本项目编制，符合项目实际情况及实施要求，内容详尽且涵盖角度全面，合理性和可行性强，保障充分，得5分; 承诺方案能够针对本项目编制，符合项目实际情况及实施要求，内容详尽且涵盖角度基本全面，有一定的合理性和可行性的，得4分；承诺方案内容基本能够针对本项目编制，基本符合项目实际情况及实施要求，内容较详细，涵盖角度较全面，基本合理可行的，得3分; 具有承诺内容但内容未贴合本项目，承诺内容涵盖角度不全面且实施有难度的，得2分; 具有承诺内容但内容未针对本项目，内容空洞宽泛，可实施性不强，得1分;未提供承诺内容不得分。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节能环保产品</w:t>
            </w:r>
          </w:p>
        </w:tc>
        <w:tc>
          <w:tcPr>
            <w:tcW w:type="dxa" w:w="2492"/>
          </w:tcPr>
          <w:p>
            <w:pPr>
              <w:pStyle w:val="null3"/>
            </w:pPr>
            <w:r>
              <w:rPr>
                <w:rFonts w:ascii="仿宋_GB2312" w:hAnsi="仿宋_GB2312" w:cs="仿宋_GB2312" w:eastAsia="仿宋_GB2312"/>
              </w:rPr>
              <w:t>供应商所响应产品为“节能产品政府采购品目清单（非强制采购产品）”或“环境标志产品政府采购品目清单”内的，应提供该产品由国家确定的认证机构出具的节能产品认证证书或中国环境标志产品认证证书且处于有效期内的，每提供一个得0.5分，满分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2023年1月1日以来承接过类似项目的合同证明（以合同签订日期为准）（每提供一个得1分，满分4分）（合同内容须清晰可辨认，无涂改，否则视为无效合同）</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技术响应部分.docx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采用低价优先法计算，即满足磋商文件要求且最后报价最低的供应商的价格为磋商基准价，其价格分为满分。磋商报价得分＝（磋商基准价/最后磋商报价）×30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详见附件：磋商第一次报价表.docx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详见附件：技术商务偏离表.docx</w:t>
      </w:r>
    </w:p>
    <w:p>
      <w:pPr>
        <w:pStyle w:val="null3"/>
        <w:ind w:firstLine="960"/>
      </w:pPr>
      <w:r>
        <w:rPr>
          <w:rFonts w:ascii="仿宋_GB2312" w:hAnsi="仿宋_GB2312" w:cs="仿宋_GB2312" w:eastAsia="仿宋_GB2312"/>
        </w:rPr>
        <w:t>详见附件：技术响应部分.docx</w:t>
      </w:r>
    </w:p>
    <w:p>
      <w:pPr>
        <w:pStyle w:val="null3"/>
        <w:ind w:firstLine="960"/>
      </w:pPr>
      <w:r>
        <w:rPr>
          <w:rFonts w:ascii="仿宋_GB2312" w:hAnsi="仿宋_GB2312" w:cs="仿宋_GB2312" w:eastAsia="仿宋_GB2312"/>
        </w:rPr>
        <w:t>详见附件：承诺书.docx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