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F2825">
      <w:pPr>
        <w:spacing w:line="360" w:lineRule="auto"/>
        <w:ind w:firstLine="803" w:firstLineChars="200"/>
        <w:jc w:val="center"/>
        <w:rPr>
          <w:rFonts w:hint="eastAsia" w:ascii="宋体" w:hAnsi="宋体" w:eastAsia="宋体" w:cs="宋体"/>
          <w:b/>
          <w:bCs w:val="0"/>
          <w:sz w:val="40"/>
          <w:szCs w:val="40"/>
          <w:highlight w:val="none"/>
        </w:rPr>
      </w:pPr>
      <w:r>
        <w:rPr>
          <w:rFonts w:hint="eastAsia" w:ascii="宋体" w:hAnsi="宋体" w:eastAsia="宋体" w:cs="宋体"/>
          <w:b/>
          <w:bCs w:val="0"/>
          <w:sz w:val="40"/>
          <w:szCs w:val="40"/>
          <w:highlight w:val="none"/>
        </w:rPr>
        <w:t>合同条款及格式</w:t>
      </w:r>
    </w:p>
    <w:p w14:paraId="7AF41379">
      <w:pPr>
        <w:pageBreakBefore w:val="0"/>
        <w:kinsoku/>
        <w:topLinePunct w:val="0"/>
        <w:bidi w:val="0"/>
        <w:spacing w:line="360" w:lineRule="auto"/>
        <w:jc w:val="both"/>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政府采购项目</w:t>
      </w:r>
    </w:p>
    <w:p w14:paraId="6C8A0A93">
      <w:pPr>
        <w:rPr>
          <w:rFonts w:hint="eastAsia" w:ascii="宋体" w:hAnsi="宋体" w:eastAsia="宋体" w:cs="宋体"/>
          <w:color w:val="auto"/>
          <w:sz w:val="52"/>
          <w:szCs w:val="52"/>
          <w:highlight w:val="none"/>
        </w:rPr>
      </w:pPr>
    </w:p>
    <w:p w14:paraId="2BEF121E">
      <w:pPr>
        <w:jc w:val="center"/>
        <w:rPr>
          <w:rFonts w:hint="eastAsia" w:ascii="宋体" w:hAnsi="宋体" w:eastAsia="宋体" w:cs="宋体"/>
          <w:b/>
          <w:color w:val="auto"/>
          <w:spacing w:val="-20"/>
          <w:sz w:val="58"/>
          <w:szCs w:val="58"/>
          <w:highlight w:val="none"/>
        </w:rPr>
      </w:pPr>
      <w:r>
        <w:rPr>
          <w:rFonts w:hint="eastAsia" w:ascii="宋体" w:hAnsi="宋体" w:eastAsia="宋体" w:cs="宋体"/>
          <w:b/>
          <w:color w:val="auto"/>
          <w:spacing w:val="-20"/>
          <w:sz w:val="58"/>
          <w:szCs w:val="58"/>
          <w:highlight w:val="none"/>
          <w:lang w:eastAsia="zh-CN"/>
        </w:rPr>
        <w:t>2026年长乐西路街道棚户区、旱厕清扫保洁服务项目</w:t>
      </w:r>
    </w:p>
    <w:p w14:paraId="1BEFC561">
      <w:pPr>
        <w:jc w:val="center"/>
        <w:rPr>
          <w:rFonts w:hint="eastAsia" w:ascii="宋体" w:hAnsi="宋体" w:eastAsia="宋体" w:cs="宋体"/>
          <w:b/>
          <w:color w:val="auto"/>
          <w:sz w:val="72"/>
          <w:szCs w:val="72"/>
          <w:highlight w:val="none"/>
        </w:rPr>
      </w:pPr>
    </w:p>
    <w:p w14:paraId="3E0376C8">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服 务 合 同</w:t>
      </w:r>
    </w:p>
    <w:p w14:paraId="4E70B44E">
      <w:pPr>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（编号：        ）</w:t>
      </w:r>
    </w:p>
    <w:p w14:paraId="2D6EEDA4">
      <w:pPr>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 xml:space="preserve"> </w:t>
      </w:r>
    </w:p>
    <w:p w14:paraId="41961F4E">
      <w:pPr>
        <w:jc w:val="center"/>
        <w:rPr>
          <w:rFonts w:hint="eastAsia" w:ascii="宋体" w:hAnsi="宋体" w:eastAsia="宋体" w:cs="宋体"/>
          <w:color w:val="auto"/>
          <w:sz w:val="30"/>
          <w:szCs w:val="30"/>
          <w:highlight w:val="none"/>
        </w:rPr>
      </w:pPr>
    </w:p>
    <w:p w14:paraId="285F0C35">
      <w:pPr>
        <w:spacing w:line="720" w:lineRule="auto"/>
        <w:ind w:firstLine="960" w:firstLineChars="3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甲  方：西安市新城区长乐西路街道办事处</w:t>
      </w:r>
    </w:p>
    <w:p w14:paraId="310E6EA5">
      <w:pPr>
        <w:tabs>
          <w:tab w:val="left" w:pos="480"/>
        </w:tabs>
        <w:spacing w:line="720" w:lineRule="auto"/>
        <w:ind w:firstLine="960" w:firstLineChars="300"/>
        <w:jc w:val="left"/>
        <w:rPr>
          <w:rFonts w:hint="default" w:ascii="宋体" w:hAnsi="宋体" w:eastAsia="宋体" w:cs="宋体"/>
          <w:color w:val="auto"/>
          <w:sz w:val="32"/>
          <w:szCs w:val="32"/>
          <w:highlight w:val="none"/>
          <w:u w:val="single"/>
          <w:lang w:val="en-US" w:eastAsia="zh-CN"/>
        </w:rPr>
      </w:pPr>
      <w:r>
        <w:rPr>
          <w:rFonts w:hint="eastAsia" w:ascii="宋体" w:hAnsi="宋体" w:eastAsia="宋体" w:cs="宋体"/>
          <w:color w:val="auto"/>
          <w:sz w:val="32"/>
          <w:szCs w:val="32"/>
          <w:highlight w:val="none"/>
        </w:rPr>
        <w:t>乙  方：</w:t>
      </w:r>
      <w:r>
        <w:rPr>
          <w:rFonts w:hint="eastAsia" w:ascii="宋体" w:hAnsi="宋体" w:eastAsia="宋体" w:cs="宋体"/>
          <w:color w:val="auto"/>
          <w:sz w:val="32"/>
          <w:szCs w:val="32"/>
          <w:highlight w:val="none"/>
          <w:u w:val="single"/>
          <w:lang w:val="en-US" w:eastAsia="zh-CN"/>
        </w:rPr>
        <w:t xml:space="preserve">                              </w:t>
      </w:r>
    </w:p>
    <w:p w14:paraId="244354AE">
      <w:pPr>
        <w:jc w:val="center"/>
        <w:rPr>
          <w:rFonts w:hint="eastAsia" w:ascii="宋体" w:hAnsi="宋体" w:eastAsia="宋体" w:cs="宋体"/>
          <w:color w:val="auto"/>
          <w:sz w:val="30"/>
          <w:szCs w:val="30"/>
          <w:highlight w:val="none"/>
        </w:rPr>
      </w:pPr>
    </w:p>
    <w:p w14:paraId="4B2EB5BC">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202</w:t>
      </w:r>
      <w:r>
        <w:rPr>
          <w:rFonts w:hint="eastAsia" w:ascii="宋体" w:hAnsi="宋体" w:eastAsia="宋体" w:cs="宋体"/>
          <w:color w:val="auto"/>
          <w:sz w:val="32"/>
          <w:szCs w:val="32"/>
          <w:highlight w:val="none"/>
          <w:lang w:val="en-US" w:eastAsia="zh-CN"/>
        </w:rPr>
        <w:t>6</w:t>
      </w:r>
      <w:r>
        <w:rPr>
          <w:rFonts w:hint="eastAsia" w:ascii="宋体" w:hAnsi="宋体" w:eastAsia="宋体" w:cs="宋体"/>
          <w:color w:val="auto"/>
          <w:sz w:val="32"/>
          <w:szCs w:val="32"/>
          <w:highlight w:val="none"/>
        </w:rPr>
        <w:t>年</w:t>
      </w:r>
      <w:r>
        <w:rPr>
          <w:rFonts w:hint="eastAsia" w:ascii="宋体" w:hAnsi="宋体" w:eastAsia="宋体" w:cs="宋体"/>
          <w:color w:val="auto"/>
          <w:sz w:val="32"/>
          <w:szCs w:val="32"/>
          <w:highlight w:val="none"/>
          <w:lang w:val="en-US" w:eastAsia="zh-CN"/>
        </w:rPr>
        <w:t xml:space="preserve"> 4 </w:t>
      </w:r>
      <w:r>
        <w:rPr>
          <w:rFonts w:hint="eastAsia" w:ascii="宋体" w:hAnsi="宋体" w:eastAsia="宋体" w:cs="宋体"/>
          <w:color w:val="auto"/>
          <w:sz w:val="32"/>
          <w:szCs w:val="32"/>
          <w:highlight w:val="none"/>
        </w:rPr>
        <w:t>月</w:t>
      </w:r>
    </w:p>
    <w:p w14:paraId="2F60DA6C">
      <w:pPr>
        <w:jc w:val="center"/>
        <w:rPr>
          <w:rFonts w:hint="eastAsia" w:ascii="宋体" w:hAnsi="宋体" w:eastAsia="宋体" w:cs="宋体"/>
          <w:b/>
          <w:color w:val="auto"/>
          <w:sz w:val="36"/>
          <w:szCs w:val="36"/>
          <w:highlight w:val="none"/>
        </w:rPr>
      </w:pPr>
      <w:r>
        <w:rPr>
          <w:rFonts w:hint="eastAsia" w:ascii="宋体" w:hAnsi="宋体" w:eastAsia="宋体" w:cs="宋体"/>
          <w:color w:val="auto"/>
          <w:sz w:val="32"/>
          <w:szCs w:val="32"/>
          <w:highlight w:val="none"/>
        </w:rPr>
        <w:t>中国  西安</w:t>
      </w:r>
    </w:p>
    <w:p w14:paraId="7689574D">
      <w:pPr>
        <w:rPr>
          <w:rFonts w:hint="eastAsia" w:ascii="宋体" w:hAnsi="宋体" w:eastAsia="宋体" w:cs="宋体"/>
          <w:b/>
          <w:bCs/>
          <w:color w:val="auto"/>
          <w:spacing w:val="-20"/>
          <w:kern w:val="0"/>
          <w:sz w:val="32"/>
          <w:szCs w:val="21"/>
          <w:highlight w:val="none"/>
        </w:rPr>
      </w:pPr>
      <w:r>
        <w:rPr>
          <w:rFonts w:hint="eastAsia" w:ascii="宋体" w:hAnsi="宋体" w:eastAsia="宋体" w:cs="宋体"/>
          <w:b/>
          <w:bCs/>
          <w:color w:val="auto"/>
          <w:spacing w:val="-20"/>
          <w:kern w:val="0"/>
          <w:sz w:val="32"/>
          <w:szCs w:val="21"/>
          <w:highlight w:val="none"/>
        </w:rPr>
        <w:br w:type="page"/>
      </w:r>
    </w:p>
    <w:p w14:paraId="0FF89230">
      <w:pPr>
        <w:spacing w:line="360" w:lineRule="auto"/>
        <w:jc w:val="center"/>
        <w:rPr>
          <w:rFonts w:hint="eastAsia" w:ascii="宋体" w:hAnsi="宋体" w:eastAsia="宋体" w:cs="宋体"/>
          <w:b/>
          <w:bCs/>
          <w:color w:val="auto"/>
          <w:spacing w:val="-20"/>
          <w:kern w:val="0"/>
          <w:sz w:val="24"/>
          <w:szCs w:val="24"/>
          <w:highlight w:val="none"/>
        </w:rPr>
      </w:pPr>
      <w:r>
        <w:rPr>
          <w:rFonts w:hint="eastAsia" w:ascii="宋体" w:hAnsi="宋体" w:eastAsia="宋体" w:cs="宋体"/>
          <w:b/>
          <w:bCs/>
          <w:color w:val="auto"/>
          <w:spacing w:val="-20"/>
          <w:kern w:val="0"/>
          <w:sz w:val="24"/>
          <w:szCs w:val="24"/>
          <w:highlight w:val="none"/>
        </w:rPr>
        <w:t>服 务 合 同</w:t>
      </w:r>
    </w:p>
    <w:p w14:paraId="026422E2">
      <w:pPr>
        <w:rPr>
          <w:rFonts w:hint="eastAsia" w:ascii="宋体" w:hAnsi="宋体" w:eastAsia="宋体" w:cs="宋体"/>
          <w:sz w:val="24"/>
          <w:szCs w:val="24"/>
        </w:rPr>
      </w:pPr>
    </w:p>
    <w:p w14:paraId="3C918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甲方：</w:t>
      </w:r>
      <w:r>
        <w:rPr>
          <w:rFonts w:hint="eastAsia" w:ascii="宋体" w:hAnsi="宋体" w:eastAsia="宋体" w:cs="宋体"/>
          <w:b w:val="0"/>
          <w:bCs w:val="0"/>
          <w:color w:val="auto"/>
          <w:sz w:val="24"/>
          <w:szCs w:val="24"/>
          <w:highlight w:val="none"/>
        </w:rPr>
        <w:t>西安市新城区长乐西路街道办事处</w:t>
      </w:r>
    </w:p>
    <w:p w14:paraId="3C855A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乙方：</w:t>
      </w:r>
      <w:r>
        <w:rPr>
          <w:rFonts w:hint="eastAsia" w:ascii="宋体" w:hAnsi="宋体" w:eastAsia="宋体" w:cs="宋体"/>
          <w:color w:val="auto"/>
          <w:sz w:val="32"/>
          <w:szCs w:val="32"/>
          <w:highlight w:val="none"/>
          <w:u w:val="single"/>
          <w:lang w:val="en-US" w:eastAsia="zh-CN"/>
        </w:rPr>
        <w:t xml:space="preserve">                       </w:t>
      </w:r>
    </w:p>
    <w:p w14:paraId="7BC6BD86">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依据《中华人民共和国民法典》和《中华人民共和国政府采购法》有关规定，经甲乙双方友好协商，本着长远合作、互惠互利、平等自愿的原则，达成如下协议，由双方共同遵守执行。</w:t>
      </w:r>
    </w:p>
    <w:p w14:paraId="37CE675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color w:val="auto"/>
          <w:kern w:val="0"/>
          <w:sz w:val="24"/>
          <w:szCs w:val="24"/>
          <w:highlight w:val="none"/>
        </w:rPr>
        <w:t>一、</w:t>
      </w:r>
      <w:r>
        <w:rPr>
          <w:rFonts w:hint="eastAsia" w:ascii="宋体" w:hAnsi="宋体" w:eastAsia="宋体" w:cs="宋体"/>
          <w:b/>
          <w:bCs/>
          <w:sz w:val="24"/>
          <w:szCs w:val="24"/>
          <w:highlight w:val="none"/>
          <w:lang w:val="en-US" w:eastAsia="zh-CN"/>
        </w:rPr>
        <w:t>项目</w:t>
      </w:r>
      <w:r>
        <w:rPr>
          <w:rFonts w:hint="eastAsia" w:ascii="宋体" w:hAnsi="宋体" w:eastAsia="宋体" w:cs="宋体"/>
          <w:b/>
          <w:bCs/>
          <w:sz w:val="24"/>
          <w:szCs w:val="24"/>
          <w:highlight w:val="none"/>
        </w:rPr>
        <w:t>概况</w:t>
      </w:r>
    </w:p>
    <w:p w14:paraId="5422B705">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righ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lang w:eastAsia="zh-CN"/>
        </w:rPr>
        <w:t>2026年长乐西路街道棚户区、旱厕清扫保洁服务项目</w:t>
      </w:r>
    </w:p>
    <w:p w14:paraId="0385EB87">
      <w:pPr>
        <w:pStyle w:val="5"/>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right="0" w:firstLine="480" w:firstLineChars="200"/>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地点：</w:t>
      </w:r>
      <w:r>
        <w:rPr>
          <w:rFonts w:hint="eastAsia" w:ascii="宋体" w:hAnsi="宋体" w:eastAsia="宋体" w:cs="宋体"/>
          <w:sz w:val="24"/>
          <w:szCs w:val="24"/>
          <w:highlight w:val="none"/>
          <w:u w:val="single"/>
          <w:lang w:eastAsia="zh-CN"/>
        </w:rPr>
        <w:t>西安市新城区长乐西路街道办事处</w:t>
      </w:r>
      <w:r>
        <w:rPr>
          <w:rFonts w:hint="eastAsia" w:ascii="宋体" w:hAnsi="宋体" w:eastAsia="宋体" w:cs="宋体"/>
          <w:sz w:val="24"/>
          <w:szCs w:val="24"/>
          <w:highlight w:val="none"/>
          <w:u w:val="single"/>
          <w:lang w:val="en-US" w:eastAsia="zh-CN"/>
        </w:rPr>
        <w:t xml:space="preserve">指定地点             </w:t>
      </w:r>
    </w:p>
    <w:p w14:paraId="618810AA">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承包范围：</w:t>
      </w:r>
      <w:r>
        <w:rPr>
          <w:rFonts w:hint="eastAsia" w:ascii="宋体" w:hAnsi="宋体" w:eastAsia="宋体" w:cs="宋体"/>
          <w:color w:val="auto"/>
          <w:sz w:val="24"/>
          <w:szCs w:val="24"/>
          <w:highlight w:val="none"/>
          <w:lang w:val="en-US" w:eastAsia="zh-CN"/>
        </w:rPr>
        <w:t>永乐东村(安仁坊社区)、龙华村（二七工房社区）、永谊村、旅馆村(长乐社区)、长乐居(半截巷社区)、回民新村、朝阳巷及旱厕(永乐社区)</w:t>
      </w:r>
      <w:r>
        <w:rPr>
          <w:rFonts w:hint="eastAsia" w:ascii="宋体" w:hAnsi="宋体" w:eastAsia="宋体" w:cs="宋体"/>
          <w:color w:val="auto"/>
          <w:sz w:val="24"/>
          <w:szCs w:val="24"/>
          <w:highlight w:val="none"/>
        </w:rPr>
        <w:t>的保洁和清掏工作。</w:t>
      </w:r>
    </w:p>
    <w:p w14:paraId="5BDD65C1">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二、服务条件：</w:t>
      </w:r>
    </w:p>
    <w:p w14:paraId="543386AC">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（一）服务地点：甲方指定地点。</w:t>
      </w:r>
    </w:p>
    <w:p w14:paraId="227C3DDC">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（二）服务期：</w:t>
      </w:r>
      <w:r>
        <w:rPr>
          <w:rFonts w:hint="eastAsia" w:ascii="宋体" w:hAnsi="宋体" w:eastAsia="宋体" w:cs="宋体"/>
          <w:color w:val="auto"/>
          <w:sz w:val="24"/>
          <w:szCs w:val="24"/>
          <w:highlight w:val="none"/>
          <w:lang w:val="zh-CN"/>
        </w:rPr>
        <w:t>服务期限三年，合同一年一签，每年服务期满后，街道根据第二年预算资金情况以及中标人服务质量等因素，决定是否与中标人续签下一年合同，总的合同期限不超过三年</w:t>
      </w:r>
      <w:r>
        <w:rPr>
          <w:rFonts w:hint="eastAsia" w:ascii="宋体" w:hAnsi="宋体" w:eastAsia="宋体" w:cs="宋体"/>
          <w:color w:val="auto"/>
          <w:sz w:val="24"/>
          <w:szCs w:val="24"/>
          <w:highlight w:val="none"/>
        </w:rPr>
        <w:t>。</w:t>
      </w:r>
    </w:p>
    <w:p w14:paraId="75276272">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三、合同价款</w:t>
      </w:r>
    </w:p>
    <w:p w14:paraId="6C05A307">
      <w:pPr>
        <w:pageBreakBefore w:val="0"/>
        <w:kinsoku/>
        <w:topLinePunct w:val="0"/>
        <w:autoSpaceDE w:val="0"/>
        <w:autoSpaceDN w:val="0"/>
        <w:bidi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（一）合同总价款为人民币（大写</w:t>
      </w:r>
      <w:r>
        <w:rPr>
          <w:rFonts w:hint="eastAsia" w:ascii="宋体" w:hAnsi="宋体" w:eastAsia="宋体" w:cs="宋体"/>
          <w:bCs/>
          <w:color w:val="auto"/>
          <w:sz w:val="24"/>
          <w:szCs w:val="24"/>
          <w:highlight w:val="none"/>
          <w:u w:val="single"/>
        </w:rPr>
        <w:t>）</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074108CE">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四、款项结算</w:t>
      </w:r>
    </w:p>
    <w:p w14:paraId="7C009E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kern w:val="0"/>
          <w:sz w:val="24"/>
          <w:szCs w:val="24"/>
          <w:highlight w:val="none"/>
        </w:rPr>
      </w:pPr>
      <w:bookmarkStart w:id="0" w:name="_Hlk132283369"/>
      <w:r>
        <w:rPr>
          <w:rFonts w:hint="eastAsia" w:ascii="宋体" w:hAnsi="宋体" w:eastAsia="宋体" w:cs="宋体"/>
          <w:color w:val="auto"/>
          <w:sz w:val="24"/>
          <w:szCs w:val="24"/>
          <w:highlight w:val="none"/>
        </w:rPr>
        <w:t>（一）</w:t>
      </w:r>
      <w:r>
        <w:rPr>
          <w:rFonts w:hint="eastAsia" w:ascii="宋体" w:hAnsi="宋体" w:eastAsia="宋体" w:cs="宋体"/>
          <w:color w:val="auto"/>
          <w:sz w:val="24"/>
          <w:szCs w:val="24"/>
          <w:highlight w:val="none"/>
          <w:lang w:val="en-US" w:eastAsia="zh-CN"/>
        </w:rPr>
        <w:t>支付进度：本合同服务费用以实际发生金额，按季度支付，原则上每季度最后一个月30日前甲方须向乙方付清上季度费用，如遇财政经费未拨付到位的情况，由双方协商解决</w:t>
      </w:r>
      <w:r>
        <w:rPr>
          <w:rFonts w:hint="eastAsia" w:ascii="宋体" w:hAnsi="宋体" w:eastAsia="宋体" w:cs="宋体"/>
          <w:sz w:val="24"/>
          <w:szCs w:val="24"/>
          <w:highlight w:val="none"/>
          <w:lang w:eastAsia="zh-CN"/>
        </w:rPr>
        <w:t>。</w:t>
      </w:r>
    </w:p>
    <w:bookmarkEnd w:id="0"/>
    <w:p w14:paraId="5224B535">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（二）支付方式：银行转账。</w:t>
      </w:r>
    </w:p>
    <w:p w14:paraId="70C25164">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（三）结算方式：每次付款前乙方向甲方提供合法有效的增值税普通发票。</w:t>
      </w:r>
    </w:p>
    <w:p w14:paraId="0E98B10B">
      <w:pPr>
        <w:pageBreakBefore w:val="0"/>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五、双方的权利和义务</w:t>
      </w:r>
    </w:p>
    <w:p w14:paraId="591250D4">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（一）甲方的权利和义务</w:t>
      </w:r>
    </w:p>
    <w:p w14:paraId="79C1747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1.甲方是发包主体，负责对乙方承包的项目进行日常监管。</w:t>
      </w:r>
    </w:p>
    <w:p w14:paraId="2B46873F">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2.甲方应对乙方的工作进行指导、协调和</w:t>
      </w:r>
      <w:r>
        <w:rPr>
          <w:rFonts w:hint="eastAsia" w:ascii="宋体" w:hAnsi="宋体" w:eastAsia="宋体" w:cs="宋体"/>
          <w:color w:val="auto"/>
          <w:sz w:val="24"/>
          <w:szCs w:val="24"/>
          <w:highlight w:val="none"/>
          <w:lang w:val="en-US" w:eastAsia="zh-CN"/>
        </w:rPr>
        <w:t>监管</w:t>
      </w:r>
      <w:r>
        <w:rPr>
          <w:rFonts w:hint="eastAsia" w:ascii="宋体" w:hAnsi="宋体" w:eastAsia="宋体" w:cs="宋体"/>
          <w:color w:val="auto"/>
          <w:sz w:val="24"/>
          <w:szCs w:val="24"/>
          <w:highlight w:val="none"/>
        </w:rPr>
        <w:t>考核</w:t>
      </w:r>
      <w:r>
        <w:rPr>
          <w:rFonts w:hint="eastAsia" w:ascii="宋体" w:hAnsi="宋体" w:eastAsia="宋体" w:cs="宋体"/>
          <w:color w:val="auto"/>
          <w:sz w:val="24"/>
          <w:szCs w:val="24"/>
          <w:highlight w:val="none"/>
          <w:lang w:eastAsia="zh-CN"/>
        </w:rPr>
        <w:t>。</w:t>
      </w:r>
    </w:p>
    <w:p w14:paraId="49497864">
      <w:pPr>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甲方有为乙方提供便利协助的义务，社区派专人负责协调小区、院落的卫生保洁工作，协助乙方解决乙方工作过程中遇到的特殊问题，以保证乙方的工作顺利进行。</w:t>
      </w:r>
    </w:p>
    <w:p w14:paraId="1F5A6161">
      <w:pPr>
        <w:pageBreakBefore w:val="0"/>
        <w:kinsoku/>
        <w:topLinePunct w:val="0"/>
        <w:bidi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（二）乙方的权利和义务</w:t>
      </w:r>
    </w:p>
    <w:p w14:paraId="492A3B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1.乙方为承包主体，承担项目的运行管理。</w:t>
      </w:r>
    </w:p>
    <w:p w14:paraId="2600204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2.乙方必须落实</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工作标准，建立质量保证体系，不断提高工作水平。</w:t>
      </w:r>
    </w:p>
    <w:p w14:paraId="785133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.乙方对其开展的所有生产经营活动承担安全生产主体责任。</w:t>
      </w:r>
    </w:p>
    <w:p w14:paraId="0A8EFE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.乙方应自觉接受甲方日常监管和</w:t>
      </w:r>
      <w:r>
        <w:rPr>
          <w:rFonts w:hint="eastAsia" w:ascii="宋体" w:hAnsi="宋体" w:eastAsia="宋体" w:cs="宋体"/>
          <w:color w:val="auto"/>
          <w:sz w:val="24"/>
          <w:szCs w:val="24"/>
          <w:highlight w:val="none"/>
          <w:lang w:eastAsia="zh-CN"/>
        </w:rPr>
        <w:t>甲方上级部门</w:t>
      </w:r>
      <w:r>
        <w:rPr>
          <w:rFonts w:hint="eastAsia" w:ascii="宋体" w:hAnsi="宋体" w:eastAsia="宋体" w:cs="宋体"/>
          <w:color w:val="auto"/>
          <w:sz w:val="24"/>
          <w:szCs w:val="24"/>
          <w:highlight w:val="none"/>
        </w:rPr>
        <w:t>的行业监管。</w:t>
      </w:r>
    </w:p>
    <w:p w14:paraId="58C8D053">
      <w:pPr>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rPr>
        <w:t>六、</w:t>
      </w:r>
      <w:r>
        <w:rPr>
          <w:rFonts w:hint="eastAsia" w:ascii="宋体" w:hAnsi="宋体" w:eastAsia="宋体" w:cs="宋体"/>
          <w:b/>
          <w:color w:val="auto"/>
          <w:kern w:val="0"/>
          <w:sz w:val="24"/>
          <w:szCs w:val="24"/>
          <w:highlight w:val="none"/>
          <w:lang w:val="en-US" w:eastAsia="zh-CN"/>
        </w:rPr>
        <w:t>服务</w:t>
      </w:r>
      <w:r>
        <w:rPr>
          <w:rFonts w:hint="eastAsia" w:ascii="宋体" w:hAnsi="宋体" w:eastAsia="宋体" w:cs="宋体"/>
          <w:b/>
          <w:color w:val="auto"/>
          <w:kern w:val="0"/>
          <w:sz w:val="24"/>
          <w:szCs w:val="24"/>
          <w:highlight w:val="none"/>
        </w:rPr>
        <w:t>质量标准</w:t>
      </w:r>
      <w:r>
        <w:rPr>
          <w:rFonts w:hint="eastAsia" w:ascii="宋体" w:hAnsi="宋体" w:eastAsia="宋体" w:cs="宋体"/>
          <w:b/>
          <w:color w:val="auto"/>
          <w:kern w:val="0"/>
          <w:sz w:val="24"/>
          <w:szCs w:val="24"/>
          <w:highlight w:val="none"/>
          <w:lang w:val="en-US" w:eastAsia="zh-CN"/>
        </w:rPr>
        <w:t>及要求</w:t>
      </w:r>
    </w:p>
    <w:p w14:paraId="2D17FE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sz w:val="24"/>
          <w:szCs w:val="24"/>
          <w:highlight w:val="none"/>
          <w:u w:val="none"/>
          <w:lang w:val="en-US" w:eastAsia="zh-CN"/>
        </w:rPr>
        <w:t>（一）服务质量标准：</w:t>
      </w:r>
      <w:r>
        <w:rPr>
          <w:rFonts w:hint="eastAsia" w:ascii="宋体" w:hAnsi="宋体" w:eastAsia="宋体" w:cs="宋体"/>
          <w:b w:val="0"/>
          <w:bCs w:val="0"/>
          <w:sz w:val="24"/>
          <w:szCs w:val="24"/>
          <w:highlight w:val="none"/>
          <w:u w:val="single"/>
        </w:rPr>
        <w:t>符合采购人及监督机构服务质量考评标准。</w:t>
      </w:r>
    </w:p>
    <w:p w14:paraId="21013A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sz w:val="24"/>
          <w:szCs w:val="24"/>
          <w:highlight w:val="none"/>
          <w:u w:val="none"/>
          <w:lang w:val="en-US"/>
        </w:rPr>
      </w:pPr>
      <w:r>
        <w:rPr>
          <w:rFonts w:hint="eastAsia" w:ascii="宋体" w:hAnsi="宋体" w:eastAsia="宋体" w:cs="宋体"/>
          <w:b w:val="0"/>
          <w:bCs w:val="0"/>
          <w:sz w:val="24"/>
          <w:szCs w:val="24"/>
          <w:highlight w:val="none"/>
          <w:u w:val="none"/>
          <w:lang w:val="en-US" w:eastAsia="zh-CN"/>
        </w:rPr>
        <w:t>（二）清扫保洁服务内容、服务标准、人员配置要求：</w:t>
      </w:r>
    </w:p>
    <w:p w14:paraId="1FDC77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(1)棚户区道路及公共区域服务内容及质量要求</w:t>
      </w:r>
    </w:p>
    <w:p w14:paraId="1C41A6B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1.棚户区道路及公共区域：路面应无明显垃圾、杂物、泥沙、积水 ，做到每日定时清扫，巡回保洁，保持全天整洁。</w:t>
      </w:r>
    </w:p>
    <w:p w14:paraId="108F52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2.楼道及楼梯间：楼梯台阶、扶手、栏杆应无灰尘、污渍，墙面无乱涂乱画、“牛皮癣”广告。每天至少清扫一次，定期进行擦拭。</w:t>
      </w:r>
    </w:p>
    <w:p w14:paraId="417D6C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3.垃圾桶及周边：垃圾桶摆放整齐，标识清晰，每日清理垃圾，定期清洗桶身，周边地面无散落垃圾、无污水污渍。</w:t>
      </w:r>
    </w:p>
    <w:p w14:paraId="4D675A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4.绿化带及公共设施：绿化带内无垃圾、杂物、枯枝败叶，公共设施（如健身器材、休闲座椅等）表面清洁，无灰尘、污渍。</w:t>
      </w:r>
    </w:p>
    <w:p w14:paraId="1722C3B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（2）旱厕保洁清掏服务内容及质量要求</w:t>
      </w:r>
    </w:p>
    <w:p w14:paraId="52286B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1.卫生清洁：旱厕内地面无积水、无垃圾、无粪便堆积，墙面无污渍、无乱涂乱画。每天至少清扫、冲刷2次，定期消毒。</w:t>
      </w:r>
    </w:p>
    <w:p w14:paraId="7C8978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2.粪便清掏：及时清掏粪便，每月至少4次，防止满溢，清掏后应及时清理现场，保持周边环境整洁。</w:t>
      </w:r>
    </w:p>
    <w:p w14:paraId="159588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3.设施维护：旱厕内设施（如照明等）应保持完好，如有损坏应及时报修。</w:t>
      </w:r>
    </w:p>
    <w:p w14:paraId="4F8E85E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（三）清扫保洁服务标准</w:t>
      </w:r>
    </w:p>
    <w:p w14:paraId="067BB7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1.安排专人负责对永乐东村（安仁坊社区）、龙华村（二七I房社区）、永谊村、旅馆村（长乐社区）、长乐居（半截巷社区）、回民新村、朝阳巷及旱厕（永乐社区）的棚户区的道路、空地、绿地、楼道等公共区域进行日常清扫，每天上午进行普扫，全天侯进行保洁。对朝阳巷旱厕坚持每日清扫，及时清掏，每月至少4次，保持旱厕干净卫生整洁；</w:t>
      </w:r>
    </w:p>
    <w:p w14:paraId="013F4CF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2.棚户区内白色垃圾、纸屑烟头、果皮等落地不超过2小时，及时清理野广告，确保公共区域墙面无野广告、宣传画、无蜘蛛网等，保持棚户区环境干净整洁；</w:t>
      </w:r>
    </w:p>
    <w:p w14:paraId="1F6E59E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3.棚户区内垃圾及时倾倒，垃圾堆放点做到无暴露、无落地，垃圾做到日产日清，及时清理公共区域的旧家具等木质垃圾、建筑垃圾，棚户区居民反映院落垃圾未及时清扫或垃圾未及时清运问题时，甲方要求乙方及时整改清理，如未按甲方要求整改，扣除当月2%的服务费用；</w:t>
      </w:r>
    </w:p>
    <w:p w14:paraId="0E82DC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4.乙方所提供的保洁服务不及时、不达标时，导致甲方被相关部门通报、批评，或被相关媒体曝光，居民投诉，并因此给甲方造成的不良影响，一次处罚2000元，且乙方应无偿整改至保洁服务质量标准要求的程度。</w:t>
      </w:r>
    </w:p>
    <w:p w14:paraId="144B86C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5.社区工作人员在日常巡查中发现棚户区院落垃圾未及时清扫或垃圾未及时清运问题时，要求乙方及时整改，如未按甲方要求整改，扣除当月2%的服务费用。</w:t>
      </w:r>
    </w:p>
    <w:p w14:paraId="45E89B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（四）人员及设备要求</w:t>
      </w:r>
    </w:p>
    <w:p w14:paraId="030BE5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满足项目实施需要，成交供应商自备。</w:t>
      </w:r>
    </w:p>
    <w:p w14:paraId="10352920">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宋体" w:hAnsi="宋体" w:eastAsia="宋体" w:cs="宋体"/>
          <w:b w:val="0"/>
          <w:bCs w:val="0"/>
          <w:sz w:val="24"/>
          <w:szCs w:val="24"/>
          <w:highlight w:val="none"/>
          <w:u w:val="none"/>
          <w:lang w:val="en-US" w:eastAsia="zh-CN"/>
        </w:rPr>
      </w:pPr>
      <w:r>
        <w:rPr>
          <w:rFonts w:hint="eastAsia" w:ascii="宋体" w:hAnsi="宋体" w:eastAsia="宋体" w:cs="宋体"/>
          <w:b w:val="0"/>
          <w:bCs w:val="0"/>
          <w:sz w:val="24"/>
          <w:szCs w:val="24"/>
          <w:highlight w:val="none"/>
          <w:u w:val="none"/>
          <w:lang w:val="en-US" w:eastAsia="zh-CN"/>
        </w:rPr>
        <w:t>（三）服务质量考评标准</w:t>
      </w:r>
    </w:p>
    <w:p w14:paraId="5DF10BE4">
      <w:pPr>
        <w:pStyle w:val="3"/>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《棚户区、旱厕清扫保洁服务考评细则》</w:t>
      </w:r>
    </w:p>
    <w:p w14:paraId="43D57F49">
      <w:pPr>
        <w:pStyle w:val="3"/>
        <w:ind w:firstLine="480" w:firstLineChars="20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为进一步提升</w:t>
      </w:r>
      <w:r>
        <w:rPr>
          <w:rFonts w:hint="eastAsia" w:ascii="宋体" w:hAnsi="宋体" w:eastAsia="宋体" w:cs="宋体"/>
          <w:b w:val="0"/>
          <w:bCs w:val="0"/>
          <w:color w:val="auto"/>
          <w:sz w:val="24"/>
          <w:szCs w:val="24"/>
          <w:lang w:val="en-US" w:eastAsia="zh-CN"/>
        </w:rPr>
        <w:t>棚户区、旱厕</w:t>
      </w:r>
      <w:r>
        <w:rPr>
          <w:rFonts w:hint="eastAsia" w:ascii="宋体" w:hAnsi="宋体" w:eastAsia="宋体" w:cs="宋体"/>
          <w:color w:val="auto"/>
          <w:sz w:val="24"/>
          <w:szCs w:val="24"/>
          <w:lang w:val="en-US" w:eastAsia="zh-CN"/>
        </w:rPr>
        <w:t>环境卫生质量，加强对清扫保洁及旱厕保洁清掏工作的监督管理，特制定本考评细则。</w:t>
      </w:r>
    </w:p>
    <w:p w14:paraId="64F08091">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right="-128" w:rightChars="-4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一、</w:t>
      </w:r>
      <w:r>
        <w:rPr>
          <w:rFonts w:hint="eastAsia" w:ascii="宋体" w:hAnsi="宋体" w:eastAsia="宋体" w:cs="宋体"/>
          <w:color w:val="auto"/>
          <w:sz w:val="24"/>
          <w:szCs w:val="24"/>
          <w:lang w:val="en-US" w:eastAsia="zh-CN"/>
        </w:rPr>
        <w:t>考核内容及标准</w:t>
      </w:r>
    </w:p>
    <w:p w14:paraId="795966D0">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（一）清扫保洁</w:t>
      </w:r>
    </w:p>
    <w:p w14:paraId="7E39A52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 棚户区道路及公共区域：路面应无明显垃圾、杂物、泥沙、积水 ，做到每日定时清扫，巡回保洁，保持全天整洁。每发现一处不符合要求扣0.1分。</w:t>
      </w:r>
    </w:p>
    <w:p w14:paraId="4CDE4F4B">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 楼道及楼梯间：楼梯台阶、扶手、栏杆应无灰尘、污渍，墙面无乱涂乱画、“牛皮癣”广告。每天至少清扫一次，定期进行擦拭。发现一处不合格扣0.1分。</w:t>
      </w:r>
    </w:p>
    <w:p w14:paraId="72EDA39B">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 垃圾桶及周边：垃圾桶摆放整齐，标识清晰，每日清理垃圾，定期清洗桶身，周边地面无散落垃圾、无污水污渍。出现问题一处扣0.1分。</w:t>
      </w:r>
    </w:p>
    <w:p w14:paraId="107B5487">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 绿化带及公共设施：绿化带内无垃圾、杂物、枯枝败叶，公共设施（如健身器材、休闲座椅等）表面清洁，无灰尘、污渍。不符合要求一处扣0.1分 。</w:t>
      </w:r>
    </w:p>
    <w:p w14:paraId="3735A725">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（二）旱厕保洁清掏</w:t>
      </w:r>
    </w:p>
    <w:p w14:paraId="7965AD57">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 卫生清洁：旱厕内地面无积水、无垃圾、无粪便堆积，墙面无污渍、无乱涂乱画。每天至少清扫、冲刷2次，定期消毒。每发现一处不达标扣0.1分。</w:t>
      </w:r>
    </w:p>
    <w:p w14:paraId="1C064B0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 粪便清掏：及时清掏粪便，每月至少4次，防止满溢，清掏后应及时清理现场，保持周边环境整洁。未按时清掏或清掏后现场清理不到位扣0.1分。</w:t>
      </w:r>
    </w:p>
    <w:p w14:paraId="6480F2B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 设施维护：旱厕内设施（如蹲位隔板、门、照明等）应保持完好，如有损坏应及时报修。发现设施损坏未报修一处扣0.1分 。</w:t>
      </w:r>
    </w:p>
    <w:p w14:paraId="757A3D6C">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二、考核方式</w:t>
      </w:r>
    </w:p>
    <w:p w14:paraId="52D5F6A4">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 日常巡查：由棚户区所在社区工作人员每周进行日常巡查，发现问题及时记录并要求整改。</w:t>
      </w:r>
    </w:p>
    <w:p w14:paraId="2D4109C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 居民监督：设立投诉举报渠道，鼓励居民对清扫保洁及旱厕保洁清掏工作进行监督，对居民反映的问题核实后进行相应扣分。</w:t>
      </w:r>
    </w:p>
    <w:p w14:paraId="2A794FE5">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三、考核评分及结果运用</w:t>
      </w:r>
    </w:p>
    <w:p w14:paraId="07D123D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 考核评分：考核总分为100分，其中清扫保洁占80分，旱厕保洁清掏占20分。根据各项考核内容的实际情况进行扣分，最终得出考核得分。</w:t>
      </w:r>
    </w:p>
    <w:p w14:paraId="2FF36FEE">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 结果运用：</w:t>
      </w:r>
    </w:p>
    <w:p w14:paraId="25050A74">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每月考核得分在90分（含）以上的，给予表扬；</w:t>
      </w:r>
    </w:p>
    <w:p w14:paraId="735E4ECB">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得分在80 - 89分之间的，提出整改意见，要求限期整改；</w:t>
      </w:r>
    </w:p>
    <w:p w14:paraId="1C931FD5">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得分在60 - 79分之间的，进行警告，并扣除当月5%的服务费用；</w:t>
      </w:r>
    </w:p>
    <w:p w14:paraId="0C53C8A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得分低于60分的，责令限期整改，如整改后仍不合格，终止服务合同。</w:t>
      </w:r>
    </w:p>
    <w:p w14:paraId="1C4CE6DB">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rPr>
        <w:t>七、</w:t>
      </w:r>
      <w:r>
        <w:rPr>
          <w:rFonts w:hint="eastAsia" w:ascii="宋体" w:hAnsi="宋体" w:eastAsia="宋体" w:cs="宋体"/>
          <w:b/>
          <w:color w:val="auto"/>
          <w:kern w:val="0"/>
          <w:sz w:val="24"/>
          <w:szCs w:val="24"/>
          <w:highlight w:val="none"/>
          <w:lang w:val="en-US" w:eastAsia="zh-CN"/>
        </w:rPr>
        <w:t>服务保证</w:t>
      </w:r>
    </w:p>
    <w:p w14:paraId="5204DA65">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未经采购人同意</w:t>
      </w:r>
      <w:bookmarkStart w:id="1" w:name="_GoBack"/>
      <w:bookmarkEnd w:id="1"/>
      <w:r>
        <w:rPr>
          <w:rFonts w:hint="eastAsia" w:ascii="宋体" w:hAnsi="宋体" w:eastAsia="宋体" w:cs="宋体"/>
          <w:color w:val="auto"/>
          <w:sz w:val="24"/>
          <w:szCs w:val="24"/>
          <w:highlight w:val="none"/>
          <w:lang w:val="en-US" w:eastAsia="zh-CN"/>
        </w:rPr>
        <w:t>，成交供应商不得出租、出借、出让采购人任何资产，成交供应商有义务爱护采购人管辖范围内的各种设施设备，不得阻碍经采购人批准的服务项目和活动的实施，否则视为违约。</w:t>
      </w:r>
    </w:p>
    <w:p w14:paraId="1E19FD90">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八、违约责任</w:t>
      </w:r>
    </w:p>
    <w:p w14:paraId="42594338">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（一）合同中未约定的，按《</w:t>
      </w:r>
      <w:r>
        <w:rPr>
          <w:rFonts w:hint="eastAsia" w:ascii="宋体" w:hAnsi="宋体" w:eastAsia="宋体" w:cs="宋体"/>
          <w:color w:val="auto"/>
          <w:sz w:val="24"/>
          <w:szCs w:val="24"/>
          <w:highlight w:val="none"/>
          <w:lang w:val="en-US" w:eastAsia="zh-CN"/>
        </w:rPr>
        <w:t>中华人民共和国</w:t>
      </w:r>
      <w:r>
        <w:rPr>
          <w:rFonts w:hint="eastAsia" w:ascii="宋体" w:hAnsi="宋体" w:eastAsia="宋体" w:cs="宋体"/>
          <w:color w:val="auto"/>
          <w:sz w:val="24"/>
          <w:szCs w:val="24"/>
          <w:highlight w:val="none"/>
        </w:rPr>
        <w:t>民典法》中的相关条款执行。</w:t>
      </w:r>
    </w:p>
    <w:p w14:paraId="38B42D33">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未按合同要求提供服务或服务质量不能满足合同要求，甲方应当将乙方违约的情况以及拟采取的措施以书面形式报政府采购监管部门，根据政府采购监管部门的处理意见，甲方有权依据《民典法》有关条款及合同约定解除合同，乙方应向甲方支付</w:t>
      </w:r>
      <w:r>
        <w:rPr>
          <w:rFonts w:hint="eastAsia" w:ascii="宋体" w:hAnsi="宋体" w:eastAsia="宋体" w:cs="宋体"/>
          <w:color w:val="auto"/>
          <w:sz w:val="24"/>
          <w:szCs w:val="24"/>
          <w:highlight w:val="none"/>
          <w:lang w:val="en-US" w:eastAsia="zh-CN"/>
        </w:rPr>
        <w:t>本合同月服务费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%的违约金。同时，政府采购监管部门有权依据</w:t>
      </w:r>
      <w:r>
        <w:rPr>
          <w:rFonts w:hint="eastAsia" w:ascii="宋体" w:hAnsi="宋体" w:eastAsia="宋体" w:cs="宋体"/>
          <w:color w:val="auto"/>
          <w:sz w:val="24"/>
          <w:szCs w:val="24"/>
          <w:highlight w:val="none"/>
          <w:lang w:eastAsia="zh-CN"/>
        </w:rPr>
        <w:t>《中华人民共和国政府采购法》</w:t>
      </w:r>
      <w:r>
        <w:rPr>
          <w:rFonts w:hint="eastAsia" w:ascii="宋体" w:hAnsi="宋体" w:eastAsia="宋体" w:cs="宋体"/>
          <w:color w:val="auto"/>
          <w:sz w:val="24"/>
          <w:szCs w:val="24"/>
          <w:highlight w:val="none"/>
        </w:rPr>
        <w:t>及相关法律法规对乙方的违法行为进行相应的处罚。</w:t>
      </w:r>
    </w:p>
    <w:p w14:paraId="3AAAD604">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（三）在本合同履行过程中，双方因违约或造成对方经济、社会效益等损失的应当赔偿。</w:t>
      </w:r>
    </w:p>
    <w:p w14:paraId="7A7247B3">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（四）甲方无正当理由拒绝接受服务，需向乙方偿付本</w:t>
      </w:r>
      <w:r>
        <w:rPr>
          <w:rFonts w:hint="eastAsia" w:ascii="宋体" w:hAnsi="宋体" w:eastAsia="宋体" w:cs="宋体"/>
          <w:color w:val="auto"/>
          <w:sz w:val="24"/>
          <w:szCs w:val="24"/>
          <w:highlight w:val="none"/>
          <w:lang w:val="en-US" w:eastAsia="zh-CN"/>
        </w:rPr>
        <w:t>合同月服务费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的违约金。</w:t>
      </w:r>
    </w:p>
    <w:p w14:paraId="20D8DD8C">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（五）乙方提供的服务不符合本项目相关文件和本合同规定的，甲方有权拒绝，并且乙方须向甲方支付</w:t>
      </w:r>
      <w:r>
        <w:rPr>
          <w:rFonts w:hint="eastAsia" w:ascii="宋体" w:hAnsi="宋体" w:eastAsia="宋体" w:cs="宋体"/>
          <w:color w:val="auto"/>
          <w:sz w:val="24"/>
          <w:szCs w:val="24"/>
          <w:highlight w:val="none"/>
          <w:lang w:val="en-US" w:eastAsia="zh-CN"/>
        </w:rPr>
        <w:t>在该社区当月服务费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的违约金。</w:t>
      </w:r>
    </w:p>
    <w:p w14:paraId="14782E12">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（六）乙方未能按照本合同约定时间提供服务或完成约定的项目服务内容的，从逾期之日起每日按</w:t>
      </w:r>
      <w:r>
        <w:rPr>
          <w:rFonts w:hint="eastAsia" w:ascii="宋体" w:hAnsi="宋体" w:eastAsia="宋体" w:cs="宋体"/>
          <w:color w:val="auto"/>
          <w:sz w:val="24"/>
          <w:szCs w:val="24"/>
          <w:highlight w:val="none"/>
          <w:lang w:val="en-US" w:eastAsia="zh-CN"/>
        </w:rPr>
        <w:t>该社区当月服务费</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的数额向甲方支付违约金；逾期 </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日以上的，甲方有权终止合同，由此造成的甲方经济损失由乙方承担。</w:t>
      </w:r>
    </w:p>
    <w:p w14:paraId="341086F8">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（七）未经甲方同意，乙方不得擅自将本合同服务分包或转包第三方承担。</w:t>
      </w:r>
    </w:p>
    <w:p w14:paraId="7463F3CE">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（八）本合同中各条款约定的违约金可自甲方未支付款项中直接扣除，违约金若不能弥补甲方损失的，乙方还应赔偿甲方损失。</w:t>
      </w:r>
    </w:p>
    <w:p w14:paraId="341FEAA8">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（九）</w:t>
      </w:r>
      <w:r>
        <w:rPr>
          <w:rFonts w:hint="eastAsia" w:ascii="宋体" w:hAnsi="宋体" w:eastAsia="宋体" w:cs="宋体"/>
          <w:color w:val="auto"/>
          <w:sz w:val="24"/>
          <w:szCs w:val="24"/>
          <w:highlight w:val="none"/>
          <w:lang w:val="en-US" w:eastAsia="zh-CN"/>
        </w:rPr>
        <w:t>乙方应在承包期内对其所承包的院落提供符合区民政局院长制工作要求的保洁服务。如因乙方所提供的保洁服务不达标，不符合相关质量标准，导致甲方被相关政府部门通报、批评，或被相关媒体曝光，并因此给甲方造成不良影响，</w:t>
      </w:r>
      <w:r>
        <w:rPr>
          <w:rFonts w:hint="eastAsia" w:ascii="宋体" w:hAnsi="宋体" w:eastAsia="宋体" w:cs="宋体"/>
          <w:color w:val="auto"/>
          <w:sz w:val="24"/>
          <w:szCs w:val="24"/>
          <w:highlight w:val="none"/>
        </w:rPr>
        <w:t>乙方须向甲方支付</w:t>
      </w:r>
      <w:r>
        <w:rPr>
          <w:rFonts w:hint="eastAsia" w:ascii="宋体" w:hAnsi="宋体" w:eastAsia="宋体" w:cs="宋体"/>
          <w:color w:val="auto"/>
          <w:sz w:val="24"/>
          <w:szCs w:val="24"/>
          <w:highlight w:val="none"/>
          <w:lang w:val="en-US" w:eastAsia="zh-CN"/>
        </w:rPr>
        <w:t>在该社区当月服务费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%的违约金</w:t>
      </w:r>
      <w:r>
        <w:rPr>
          <w:rFonts w:hint="eastAsia" w:ascii="宋体" w:hAnsi="宋体" w:eastAsia="宋体" w:cs="宋体"/>
          <w:color w:val="auto"/>
          <w:sz w:val="24"/>
          <w:szCs w:val="24"/>
          <w:highlight w:val="none"/>
          <w:lang w:val="en-US" w:eastAsia="zh-CN"/>
        </w:rPr>
        <w:t>且乙方应无偿整改至保洁服务质量标准要求的程度。</w:t>
      </w:r>
    </w:p>
    <w:p w14:paraId="6D146039">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（十）</w:t>
      </w:r>
      <w:r>
        <w:rPr>
          <w:rFonts w:hint="eastAsia" w:ascii="宋体" w:hAnsi="宋体" w:eastAsia="宋体" w:cs="宋体"/>
          <w:color w:val="auto"/>
          <w:sz w:val="24"/>
          <w:szCs w:val="24"/>
          <w:highlight w:val="none"/>
        </w:rPr>
        <w:t>双方拟定的其他条款。</w:t>
      </w:r>
    </w:p>
    <w:p w14:paraId="49BBD69D">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九、保密条款</w:t>
      </w:r>
    </w:p>
    <w:p w14:paraId="403BA202">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4799E50E">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FD4A6C5">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（三）本条款为独立条款，本合同的无效、变更、解除和终止均不影响本条款的效力。</w:t>
      </w:r>
    </w:p>
    <w:p w14:paraId="7771110B">
      <w:pPr>
        <w:pageBreakBefore w:val="0"/>
        <w:kinsoku/>
        <w:topLinePunct w:val="0"/>
        <w:bidi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（四）双方拟定的其他条款。</w:t>
      </w:r>
    </w:p>
    <w:p w14:paraId="1DBF4ECE">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十、争议解决</w:t>
      </w:r>
    </w:p>
    <w:p w14:paraId="7AFA1496">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（一）本合同在履行过程中发生的争议，由甲、乙双方当事人协商解决，协商不成的按下列第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78ECF1C9">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提交西安仲裁委员会仲裁；</w:t>
      </w:r>
    </w:p>
    <w:p w14:paraId="74314D2F">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依法向甲方所在地人民法院起诉。</w:t>
      </w:r>
    </w:p>
    <w:p w14:paraId="544B29F7">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（二）本条款为独立条款，本合同的无效、变更、解除和终止均不影响本条款的效力。</w:t>
      </w:r>
    </w:p>
    <w:p w14:paraId="21498D92">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w:t>
      </w:r>
      <w:r>
        <w:rPr>
          <w:rFonts w:hint="eastAsia" w:ascii="宋体" w:hAnsi="宋体" w:eastAsia="宋体" w:cs="宋体"/>
          <w:b/>
          <w:color w:val="auto"/>
          <w:kern w:val="0"/>
          <w:sz w:val="24"/>
          <w:szCs w:val="24"/>
          <w:highlight w:val="none"/>
          <w:lang w:val="en-US" w:eastAsia="zh-CN"/>
        </w:rPr>
        <w:t>一</w:t>
      </w:r>
      <w:r>
        <w:rPr>
          <w:rFonts w:hint="eastAsia" w:ascii="宋体" w:hAnsi="宋体" w:eastAsia="宋体" w:cs="宋体"/>
          <w:b/>
          <w:color w:val="auto"/>
          <w:kern w:val="0"/>
          <w:sz w:val="24"/>
          <w:szCs w:val="24"/>
          <w:highlight w:val="none"/>
        </w:rPr>
        <w:t>、合同变更</w:t>
      </w:r>
    </w:p>
    <w:p w14:paraId="2C0ACDB4">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在合同的执行期内，双方均不得随意变更或解除合同。如因项目需求情况发生变化，需要项目变更的，应双方协商后签订项目变更协议</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rPr>
        <w:t>确认后生效（如双方变更事项不能达成一致的，仍按原合同履行，否则视为违约）。</w:t>
      </w:r>
    </w:p>
    <w:p w14:paraId="08639AEB">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w:t>
      </w:r>
      <w:r>
        <w:rPr>
          <w:rFonts w:hint="eastAsia" w:ascii="宋体" w:hAnsi="宋体" w:eastAsia="宋体" w:cs="宋体"/>
          <w:b/>
          <w:color w:val="auto"/>
          <w:kern w:val="0"/>
          <w:sz w:val="24"/>
          <w:szCs w:val="24"/>
          <w:highlight w:val="none"/>
          <w:lang w:val="en-US" w:eastAsia="zh-CN"/>
        </w:rPr>
        <w:t>二</w:t>
      </w:r>
      <w:r>
        <w:rPr>
          <w:rFonts w:hint="eastAsia" w:ascii="宋体" w:hAnsi="宋体" w:eastAsia="宋体" w:cs="宋体"/>
          <w:b/>
          <w:color w:val="auto"/>
          <w:kern w:val="0"/>
          <w:sz w:val="24"/>
          <w:szCs w:val="24"/>
          <w:highlight w:val="none"/>
        </w:rPr>
        <w:t>、合同生效</w:t>
      </w:r>
    </w:p>
    <w:p w14:paraId="65E5F8F3">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份，甲方持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份，乙方持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份，本合同甲、乙、各方签字盖章后生效，合同执行完毕后，自动失效。</w:t>
      </w:r>
    </w:p>
    <w:p w14:paraId="398561D5">
      <w:pPr>
        <w:pageBreakBefore w:val="0"/>
        <w:tabs>
          <w:tab w:val="left" w:pos="480"/>
        </w:tabs>
        <w:kinsoku/>
        <w:topLinePunct w:val="0"/>
        <w:bidi w:val="0"/>
        <w:spacing w:line="360" w:lineRule="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w:t>
      </w:r>
      <w:r>
        <w:rPr>
          <w:rFonts w:hint="eastAsia" w:ascii="宋体" w:hAnsi="宋体" w:eastAsia="宋体" w:cs="宋体"/>
          <w:b/>
          <w:color w:val="auto"/>
          <w:kern w:val="0"/>
          <w:sz w:val="24"/>
          <w:szCs w:val="24"/>
          <w:highlight w:val="none"/>
          <w:lang w:val="en-US" w:eastAsia="zh-CN"/>
        </w:rPr>
        <w:t>三</w:t>
      </w:r>
      <w:r>
        <w:rPr>
          <w:rFonts w:hint="eastAsia" w:ascii="宋体" w:hAnsi="宋体" w:eastAsia="宋体" w:cs="宋体"/>
          <w:b/>
          <w:color w:val="auto"/>
          <w:kern w:val="0"/>
          <w:sz w:val="24"/>
          <w:szCs w:val="24"/>
          <w:highlight w:val="none"/>
        </w:rPr>
        <w:t>、其他事项</w:t>
      </w:r>
    </w:p>
    <w:p w14:paraId="7B99EDA4">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（一）本协议未尽事宜双方可另外协商，补充条款与本协议具有同等法律效力。</w:t>
      </w:r>
    </w:p>
    <w:p w14:paraId="2CF6CFBA">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（二）甲乙双方因不可抗力导致本合同全部或部分不能履行时，发生不可抗力的一方应当在不可抗力发生后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天内书面通知对方，以减轻可能给对方造成的损失。因不可抗力导致本合同全部或部分不能履行时，双方各自</w:t>
      </w:r>
      <w:r>
        <w:rPr>
          <w:rFonts w:hint="eastAsia" w:ascii="宋体" w:hAnsi="宋体" w:eastAsia="宋体" w:cs="宋体"/>
          <w:color w:val="auto"/>
          <w:sz w:val="24"/>
          <w:szCs w:val="24"/>
          <w:highlight w:val="none"/>
          <w:lang w:eastAsia="zh-CN"/>
        </w:rPr>
        <w:t>承担</w:t>
      </w:r>
      <w:r>
        <w:rPr>
          <w:rFonts w:hint="eastAsia" w:ascii="宋体" w:hAnsi="宋体" w:eastAsia="宋体" w:cs="宋体"/>
          <w:color w:val="auto"/>
          <w:sz w:val="24"/>
          <w:szCs w:val="24"/>
          <w:highlight w:val="none"/>
        </w:rPr>
        <w:t>因此而造成的损失、损害。</w:t>
      </w:r>
    </w:p>
    <w:p w14:paraId="435F3D79">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（三）</w:t>
      </w:r>
      <w:r>
        <w:rPr>
          <w:rFonts w:hint="eastAsia" w:ascii="宋体" w:hAnsi="宋体" w:eastAsia="宋体" w:cs="宋体"/>
          <w:color w:val="auto"/>
          <w:sz w:val="24"/>
          <w:szCs w:val="24"/>
          <w:highlight w:val="none"/>
          <w:lang w:val="en-US" w:eastAsia="zh-CN"/>
        </w:rPr>
        <w:t>若合同期满时，因甲方内部审批流程延误、采购计划调整等甲方原因，新供应商未能按时选定，乙方继续给甲方提供服务，延续服务期限，服务内容、标准及费用等事项，均沿用原合同约定。</w:t>
      </w:r>
    </w:p>
    <w:p w14:paraId="4A1BD887">
      <w:pPr>
        <w:pageBreakBefore w:val="0"/>
        <w:kinsoku/>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（四）合同未尽事宜，由甲、乙双方协商并经鉴证方确认后签订政府采购补充合同，与原合同具有同等法律效力。</w:t>
      </w:r>
    </w:p>
    <w:p w14:paraId="186D414E">
      <w:pPr>
        <w:pStyle w:val="2"/>
        <w:rPr>
          <w:rFonts w:hint="eastAsia"/>
        </w:rPr>
      </w:pPr>
    </w:p>
    <w:p w14:paraId="50489EDA">
      <w:pPr>
        <w:pStyle w:val="2"/>
        <w:rPr>
          <w:rFonts w:hint="eastAsia"/>
        </w:rPr>
      </w:pPr>
    </w:p>
    <w:p w14:paraId="591FCC85">
      <w:pPr>
        <w:pStyle w:val="2"/>
        <w:rPr>
          <w:rFonts w:hint="eastAsia"/>
        </w:rPr>
      </w:pPr>
    </w:p>
    <w:p w14:paraId="30EECECC">
      <w:pPr>
        <w:pStyle w:val="2"/>
        <w:rPr>
          <w:rFonts w:hint="eastAsia"/>
        </w:rPr>
      </w:pPr>
    </w:p>
    <w:p w14:paraId="1E304714">
      <w:pPr>
        <w:pStyle w:val="2"/>
        <w:rPr>
          <w:rFonts w:hint="eastAsia"/>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8"/>
        <w:gridCol w:w="4459"/>
      </w:tblGrid>
      <w:tr w14:paraId="02984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638" w:type="dxa"/>
            <w:tcBorders>
              <w:top w:val="single" w:color="auto" w:sz="4" w:space="0"/>
              <w:left w:val="single" w:color="auto" w:sz="4" w:space="0"/>
              <w:bottom w:val="single" w:color="auto" w:sz="4" w:space="0"/>
              <w:right w:val="single" w:color="auto" w:sz="4" w:space="0"/>
            </w:tcBorders>
            <w:noWrap w:val="0"/>
            <w:vAlign w:val="center"/>
          </w:tcPr>
          <w:p w14:paraId="0DFE0B87">
            <w:pPr>
              <w:pageBreakBefore w:val="0"/>
              <w:kinsoku/>
              <w:topLinePunct w:val="0"/>
              <w:autoSpaceDE w:val="0"/>
              <w:autoSpaceDN w:val="0"/>
              <w:bidi w:val="0"/>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w:t>
            </w:r>
          </w:p>
        </w:tc>
        <w:tc>
          <w:tcPr>
            <w:tcW w:w="4459" w:type="dxa"/>
            <w:tcBorders>
              <w:top w:val="single" w:color="auto" w:sz="4" w:space="0"/>
              <w:left w:val="single" w:color="auto" w:sz="4" w:space="0"/>
              <w:bottom w:val="single" w:color="auto" w:sz="4" w:space="0"/>
              <w:right w:val="single" w:color="auto" w:sz="4" w:space="0"/>
            </w:tcBorders>
            <w:noWrap w:val="0"/>
            <w:vAlign w:val="center"/>
          </w:tcPr>
          <w:p w14:paraId="753D1383">
            <w:pPr>
              <w:pageBreakBefore w:val="0"/>
              <w:kinsoku/>
              <w:topLinePunct w:val="0"/>
              <w:autoSpaceDE w:val="0"/>
              <w:autoSpaceDN w:val="0"/>
              <w:bidi w:val="0"/>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w:t>
            </w:r>
          </w:p>
        </w:tc>
      </w:tr>
      <w:tr w14:paraId="070C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jc w:val="center"/>
        </w:trPr>
        <w:tc>
          <w:tcPr>
            <w:tcW w:w="4638" w:type="dxa"/>
            <w:tcBorders>
              <w:top w:val="single" w:color="auto" w:sz="4" w:space="0"/>
              <w:left w:val="single" w:color="auto" w:sz="4" w:space="0"/>
              <w:bottom w:val="single" w:color="auto" w:sz="4" w:space="0"/>
              <w:right w:val="single" w:color="auto" w:sz="4" w:space="0"/>
            </w:tcBorders>
            <w:noWrap w:val="0"/>
            <w:vAlign w:val="center"/>
          </w:tcPr>
          <w:p w14:paraId="5B957B98">
            <w:pPr>
              <w:keepNext w:val="0"/>
              <w:keepLines w:val="0"/>
              <w:pageBreakBefore w:val="0"/>
              <w:widowControl w:val="0"/>
              <w:kinsoku/>
              <w:wordWrap/>
              <w:overflowPunct/>
              <w:topLinePunct w:val="0"/>
              <w:bidi w:val="0"/>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采购人名称（盖章）</w:t>
            </w:r>
          </w:p>
        </w:tc>
        <w:tc>
          <w:tcPr>
            <w:tcW w:w="4459" w:type="dxa"/>
            <w:tcBorders>
              <w:top w:val="single" w:color="auto" w:sz="4" w:space="0"/>
              <w:left w:val="single" w:color="auto" w:sz="4" w:space="0"/>
              <w:bottom w:val="single" w:color="auto" w:sz="4" w:space="0"/>
              <w:right w:val="single" w:color="auto" w:sz="4" w:space="0"/>
            </w:tcBorders>
            <w:noWrap w:val="0"/>
            <w:vAlign w:val="center"/>
          </w:tcPr>
          <w:p w14:paraId="10403450">
            <w:pPr>
              <w:keepNext w:val="0"/>
              <w:keepLines w:val="0"/>
              <w:pageBreakBefore w:val="0"/>
              <w:widowControl w:val="0"/>
              <w:kinsoku/>
              <w:wordWrap/>
              <w:overflowPunct/>
              <w:topLinePunct w:val="0"/>
              <w:bidi w:val="0"/>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全称（盖章）</w:t>
            </w:r>
          </w:p>
        </w:tc>
      </w:tr>
      <w:tr w14:paraId="25E1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4638" w:type="dxa"/>
            <w:tcBorders>
              <w:top w:val="single" w:color="auto" w:sz="4" w:space="0"/>
              <w:left w:val="single" w:color="auto" w:sz="4" w:space="0"/>
              <w:bottom w:val="single" w:color="auto" w:sz="4" w:space="0"/>
              <w:right w:val="single" w:color="auto" w:sz="4" w:space="0"/>
            </w:tcBorders>
            <w:noWrap w:val="0"/>
            <w:vAlign w:val="center"/>
          </w:tcPr>
          <w:p w14:paraId="36E3335B">
            <w:pPr>
              <w:keepNext w:val="0"/>
              <w:keepLines w:val="0"/>
              <w:pageBreakBefore w:val="0"/>
              <w:widowControl w:val="0"/>
              <w:kinsoku/>
              <w:wordWrap/>
              <w:overflowPunct/>
              <w:topLinePunct w:val="0"/>
              <w:bidi w:val="0"/>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或授权委托人</w:t>
            </w:r>
            <w:r>
              <w:rPr>
                <w:rFonts w:hint="eastAsia" w:ascii="宋体" w:hAnsi="宋体" w:eastAsia="宋体" w:cs="宋体"/>
                <w:sz w:val="24"/>
                <w:szCs w:val="24"/>
              </w:rPr>
              <w:t>：（签字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p>
        </w:tc>
        <w:tc>
          <w:tcPr>
            <w:tcW w:w="4459" w:type="dxa"/>
            <w:tcBorders>
              <w:top w:val="single" w:color="auto" w:sz="4" w:space="0"/>
              <w:left w:val="single" w:color="auto" w:sz="4" w:space="0"/>
              <w:bottom w:val="single" w:color="auto" w:sz="4" w:space="0"/>
              <w:right w:val="single" w:color="auto" w:sz="4" w:space="0"/>
            </w:tcBorders>
            <w:noWrap w:val="0"/>
            <w:vAlign w:val="center"/>
          </w:tcPr>
          <w:p w14:paraId="242B713F">
            <w:pPr>
              <w:keepNext w:val="0"/>
              <w:keepLines w:val="0"/>
              <w:pageBreakBefore w:val="0"/>
              <w:widowControl w:val="0"/>
              <w:kinsoku/>
              <w:wordWrap/>
              <w:overflowPunct/>
              <w:topLinePunct w:val="0"/>
              <w:bidi w:val="0"/>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或授权委托人</w:t>
            </w:r>
            <w:r>
              <w:rPr>
                <w:rFonts w:hint="eastAsia" w:ascii="宋体" w:hAnsi="宋体" w:eastAsia="宋体" w:cs="宋体"/>
                <w:sz w:val="24"/>
                <w:szCs w:val="24"/>
              </w:rPr>
              <w:t>：（签字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p>
        </w:tc>
      </w:tr>
      <w:tr w14:paraId="014BE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4638" w:type="dxa"/>
            <w:tcBorders>
              <w:top w:val="single" w:color="auto" w:sz="4" w:space="0"/>
              <w:left w:val="single" w:color="auto" w:sz="4" w:space="0"/>
              <w:bottom w:val="single" w:color="auto" w:sz="4" w:space="0"/>
              <w:right w:val="single" w:color="auto" w:sz="4" w:space="0"/>
            </w:tcBorders>
            <w:noWrap w:val="0"/>
            <w:vAlign w:val="center"/>
          </w:tcPr>
          <w:p w14:paraId="0509DF3A">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c>
          <w:tcPr>
            <w:tcW w:w="4459" w:type="dxa"/>
            <w:tcBorders>
              <w:top w:val="single" w:color="auto" w:sz="4" w:space="0"/>
              <w:left w:val="single" w:color="auto" w:sz="4" w:space="0"/>
              <w:bottom w:val="single" w:color="auto" w:sz="4" w:space="0"/>
              <w:right w:val="single" w:color="auto" w:sz="4" w:space="0"/>
            </w:tcBorders>
            <w:noWrap w:val="0"/>
            <w:vAlign w:val="center"/>
          </w:tcPr>
          <w:p w14:paraId="03C0B6B3">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tc>
      </w:tr>
    </w:tbl>
    <w:p w14:paraId="40B8298E">
      <w:pPr>
        <w:rPr>
          <w:rFonts w:hint="eastAsia" w:ascii="宋体" w:hAnsi="宋体" w:eastAsia="宋体" w:cs="宋体"/>
        </w:rPr>
      </w:pPr>
    </w:p>
    <w:sectPr>
      <w:pgSz w:w="11906" w:h="16838"/>
      <w:pgMar w:top="1440" w:right="1417" w:bottom="1440" w:left="141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00172A27"/>
    <w:rsid w:val="007E0E8C"/>
    <w:rsid w:val="06EF5A31"/>
    <w:rsid w:val="07375BAD"/>
    <w:rsid w:val="07CA43EC"/>
    <w:rsid w:val="07ED44BE"/>
    <w:rsid w:val="0DA675E9"/>
    <w:rsid w:val="0F6C6610"/>
    <w:rsid w:val="113D7632"/>
    <w:rsid w:val="13C22CA3"/>
    <w:rsid w:val="18E35B95"/>
    <w:rsid w:val="1AD424A3"/>
    <w:rsid w:val="1E903CA6"/>
    <w:rsid w:val="1EB1416D"/>
    <w:rsid w:val="21BE7580"/>
    <w:rsid w:val="25350620"/>
    <w:rsid w:val="25E204B6"/>
    <w:rsid w:val="25F50CB6"/>
    <w:rsid w:val="265B55F4"/>
    <w:rsid w:val="28D14765"/>
    <w:rsid w:val="29F179E6"/>
    <w:rsid w:val="2B905BFB"/>
    <w:rsid w:val="2D297497"/>
    <w:rsid w:val="2ED203A8"/>
    <w:rsid w:val="2F340448"/>
    <w:rsid w:val="314D0D32"/>
    <w:rsid w:val="345C4FB7"/>
    <w:rsid w:val="36341386"/>
    <w:rsid w:val="38DE55D9"/>
    <w:rsid w:val="3ADB6274"/>
    <w:rsid w:val="3C2512DB"/>
    <w:rsid w:val="40950A00"/>
    <w:rsid w:val="42337080"/>
    <w:rsid w:val="4333043D"/>
    <w:rsid w:val="435820D0"/>
    <w:rsid w:val="47F15C9F"/>
    <w:rsid w:val="4850264C"/>
    <w:rsid w:val="496C0012"/>
    <w:rsid w:val="4C7E2F03"/>
    <w:rsid w:val="4D610021"/>
    <w:rsid w:val="4DBB6B16"/>
    <w:rsid w:val="4FDD0D75"/>
    <w:rsid w:val="50011E86"/>
    <w:rsid w:val="52D7511B"/>
    <w:rsid w:val="54AC0F47"/>
    <w:rsid w:val="54BF07DD"/>
    <w:rsid w:val="563F54B2"/>
    <w:rsid w:val="57A5783A"/>
    <w:rsid w:val="59545718"/>
    <w:rsid w:val="5BB449AA"/>
    <w:rsid w:val="5CD34BA6"/>
    <w:rsid w:val="5DE219B6"/>
    <w:rsid w:val="62BD4D99"/>
    <w:rsid w:val="66703465"/>
    <w:rsid w:val="6B225E73"/>
    <w:rsid w:val="6C9E6846"/>
    <w:rsid w:val="6D7F5335"/>
    <w:rsid w:val="6F8D6E36"/>
    <w:rsid w:val="6FA82FD0"/>
    <w:rsid w:val="6FBF64FE"/>
    <w:rsid w:val="6FE5510F"/>
    <w:rsid w:val="72A921D9"/>
    <w:rsid w:val="75461F61"/>
    <w:rsid w:val="75F96A37"/>
    <w:rsid w:val="78F76424"/>
    <w:rsid w:val="797F3C93"/>
    <w:rsid w:val="79B90981"/>
    <w:rsid w:val="7A293BFF"/>
    <w:rsid w:val="7A6F345B"/>
    <w:rsid w:val="7F585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snapToGrid w:val="0"/>
      <w:jc w:val="left"/>
    </w:pPr>
    <w:rPr>
      <w:sz w:val="18"/>
    </w:rPr>
  </w:style>
  <w:style w:type="paragraph" w:styleId="3">
    <w:name w:val="Body Text"/>
    <w:basedOn w:val="1"/>
    <w:next w:val="1"/>
    <w:autoRedefine/>
    <w:qFormat/>
    <w:uiPriority w:val="0"/>
    <w:rPr>
      <w:color w:val="993300"/>
      <w:sz w:val="24"/>
    </w:rPr>
  </w:style>
  <w:style w:type="paragraph" w:styleId="4">
    <w:name w:val="Plain Text"/>
    <w:basedOn w:val="1"/>
    <w:autoRedefine/>
    <w:qFormat/>
    <w:uiPriority w:val="99"/>
    <w:rPr>
      <w:rFonts w:ascii="宋体" w:hAnsi="Courier New"/>
      <w:szCs w:val="21"/>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cs="宋体"/>
      <w:kern w:val="0"/>
      <w:sz w:val="24"/>
    </w:rPr>
  </w:style>
  <w:style w:type="paragraph" w:styleId="6">
    <w:name w:val="Body Text First Indent"/>
    <w:basedOn w:val="3"/>
    <w:autoRedefine/>
    <w:qFormat/>
    <w:uiPriority w:val="0"/>
    <w:pPr>
      <w:tabs>
        <w:tab w:val="center" w:pos="6360"/>
      </w:tabs>
      <w:adjustRightInd w:val="0"/>
      <w:ind w:firstLine="420"/>
      <w:jc w:val="center"/>
      <w:textAlignment w:val="baseline"/>
    </w:pPr>
    <w:rPr>
      <w:b/>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character" w:customStyle="1" w:styleId="10">
    <w:name w:val="font71"/>
    <w:basedOn w:val="8"/>
    <w:qFormat/>
    <w:uiPriority w:val="0"/>
    <w:rPr>
      <w:rFonts w:ascii="宋体" w:hAnsi="宋体" w:eastAsia="宋体" w:cs="宋体"/>
      <w:b/>
      <w:bCs/>
      <w:color w:val="000000"/>
      <w:sz w:val="26"/>
      <w:szCs w:val="26"/>
      <w:u w:val="none"/>
    </w:rPr>
  </w:style>
  <w:style w:type="character" w:customStyle="1" w:styleId="11">
    <w:name w:val="font81"/>
    <w:basedOn w:val="8"/>
    <w:qFormat/>
    <w:uiPriority w:val="0"/>
    <w:rPr>
      <w:rFonts w:ascii="宋体" w:hAnsi="宋体" w:eastAsia="宋体" w:cs="宋体"/>
      <w:color w:val="000000"/>
      <w:sz w:val="26"/>
      <w:szCs w:val="26"/>
      <w:u w:val="none"/>
    </w:rPr>
  </w:style>
  <w:style w:type="character" w:customStyle="1" w:styleId="12">
    <w:name w:val="font101"/>
    <w:basedOn w:val="8"/>
    <w:qFormat/>
    <w:uiPriority w:val="0"/>
    <w:rPr>
      <w:rFonts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4410</Words>
  <Characters>4486</Characters>
  <Lines>0</Lines>
  <Paragraphs>0</Paragraphs>
  <TotalTime>4</TotalTime>
  <ScaleCrop>false</ScaleCrop>
  <LinksUpToDate>false</LinksUpToDate>
  <CharactersWithSpaces>4671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2024-03-20T09:32:00Z</dcterms:created>
  <dc:creator>QQQQ</dc:creator>
  <cp:lastModifiedBy>相衬</cp:lastModifiedBy>
  <dcterms:modified xsi:type="dcterms:W3CDTF">2026-04-08T07:59:37Z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E2A2CDDC2A114DFD9BEDAB0BAE75EEE5_11</vt:lpwstr>
  </property>
  <property fmtid="{D5CDD505-2E9C-101B-9397-08002B2CF9AE}" pid="4" name="KSOTemplateDocerSaveRecord">
    <vt:lpwstr>eyJoZGlkIjoiM2NkNGQxNjUyYTY3NTBjNTk5NGZjNmY5Mzg5OWU0NTYiLCJ1c2VySWQiOiI0NTg4MjkyMjIifQ==</vt:lpwstr>
  </property>
</Properties>
</file>