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jc w:val="center"/>
        <w:rPr>
          <w:rFonts w:hint="eastAsia" w:ascii="宋体" w:hAnsi="宋体" w:eastAsia="宋体" w:cs="宋体"/>
        </w:rPr>
      </w:pPr>
      <w:bookmarkStart w:id="0" w:name="_Toc2854"/>
      <w:r>
        <w:rPr>
          <w:rFonts w:hint="eastAsia" w:ascii="宋体" w:hAnsi="宋体" w:eastAsia="宋体" w:cs="宋体"/>
        </w:rPr>
        <w:t>拟签订的合同文本</w:t>
      </w:r>
      <w:bookmarkEnd w:id="0"/>
    </w:p>
    <w:p>
      <w:pPr>
        <w:ind w:firstLine="0" w:firstLineChars="0"/>
        <w:rPr>
          <w:rFonts w:hint="eastAsia" w:ascii="宋体" w:hAnsi="宋体" w:eastAsia="宋体" w:cs="宋体"/>
          <w:b/>
          <w:bCs/>
        </w:rPr>
      </w:pPr>
      <w:r>
        <w:rPr>
          <w:rFonts w:hint="eastAsia" w:ascii="宋体" w:hAnsi="宋体" w:eastAsia="宋体" w:cs="宋体"/>
          <w:b/>
          <w:bCs/>
        </w:rPr>
        <w:t>（本格式条款供双方签订合同参考，采购人可根据项目的实际情况增减条款和内容）</w:t>
      </w:r>
    </w:p>
    <w:p>
      <w:pPr>
        <w:ind w:firstLine="480"/>
        <w:rPr>
          <w:rFonts w:hint="eastAsia" w:ascii="宋体" w:hAnsi="宋体" w:eastAsia="宋体" w:cs="宋体"/>
        </w:rPr>
      </w:pPr>
    </w:p>
    <w:p>
      <w:pPr>
        <w:ind w:firstLine="480"/>
        <w:rPr>
          <w:rFonts w:hint="eastAsia" w:ascii="宋体" w:hAnsi="宋体" w:eastAsia="宋体" w:cs="宋体"/>
        </w:rPr>
      </w:pPr>
      <w:r>
        <w:rPr>
          <w:rFonts w:hint="eastAsia" w:ascii="宋体" w:hAnsi="宋体" w:eastAsia="宋体" w:cs="宋体"/>
        </w:rPr>
        <w:br w:type="page"/>
      </w:r>
    </w:p>
    <w:p>
      <w:pPr>
        <w:keepNext w:val="0"/>
        <w:keepLines w:val="0"/>
        <w:shd w:val="clear" w:color="auto" w:fill="auto"/>
        <w:bidi w:val="0"/>
        <w:spacing w:before="0" w:after="0" w:line="240" w:lineRule="auto"/>
        <w:ind w:left="0" w:right="0" w:firstLine="0" w:firstLineChars="0"/>
        <w:jc w:val="left"/>
        <w:rPr>
          <w:rFonts w:hint="eastAsia" w:ascii="宋体" w:hAnsi="宋体" w:eastAsia="宋体" w:cs="宋体"/>
          <w:color w:val="000000"/>
          <w:spacing w:val="0"/>
          <w:w w:val="100"/>
          <w:kern w:val="0"/>
          <w:position w:val="0"/>
          <w:sz w:val="28"/>
          <w:szCs w:val="28"/>
          <w:shd w:val="clear" w:color="auto" w:fill="auto"/>
          <w:lang w:val="en-US" w:eastAsia="zh-CN" w:bidi="en-US"/>
        </w:rPr>
      </w:pPr>
      <w:r>
        <w:rPr>
          <w:rFonts w:hint="eastAsia" w:ascii="宋体" w:hAnsi="宋体" w:eastAsia="宋体" w:cs="宋体"/>
          <w:b/>
          <w:bCs/>
          <w:color w:val="000000"/>
          <w:spacing w:val="0"/>
          <w:w w:val="100"/>
          <w:kern w:val="0"/>
          <w:position w:val="0"/>
          <w:sz w:val="28"/>
          <w:szCs w:val="28"/>
          <w:shd w:val="clear" w:color="auto" w:fill="auto"/>
          <w:lang w:val="en-US" w:eastAsia="zh-CN" w:bidi="en-US"/>
        </w:rPr>
        <w:t xml:space="preserve">政府采购项目 </w:t>
      </w:r>
      <w:r>
        <w:rPr>
          <w:rFonts w:hint="eastAsia" w:ascii="宋体" w:hAnsi="宋体" w:eastAsia="宋体" w:cs="宋体"/>
          <w:color w:val="000000"/>
          <w:spacing w:val="0"/>
          <w:w w:val="100"/>
          <w:kern w:val="0"/>
          <w:position w:val="0"/>
          <w:sz w:val="28"/>
          <w:szCs w:val="28"/>
          <w:shd w:val="clear" w:color="auto" w:fill="auto"/>
          <w:lang w:val="en-US" w:eastAsia="zh-CN" w:bidi="en-US"/>
        </w:rPr>
        <w:t xml:space="preserve">                                   </w:t>
      </w:r>
      <w:r>
        <w:rPr>
          <w:rFonts w:hint="eastAsia" w:ascii="宋体" w:hAnsi="宋体" w:eastAsia="宋体" w:cs="宋体"/>
          <w:b/>
          <w:bCs/>
          <w:color w:val="000000"/>
          <w:spacing w:val="0"/>
          <w:w w:val="100"/>
          <w:kern w:val="0"/>
          <w:position w:val="0"/>
          <w:sz w:val="28"/>
          <w:szCs w:val="28"/>
          <w:bdr w:val="single" w:color="000000" w:sz="4" w:space="0"/>
          <w:shd w:val="clear" w:color="auto" w:fill="auto"/>
          <w:lang w:val="en-US" w:eastAsia="zh-CN" w:bidi="en-US"/>
        </w:rPr>
        <w:t>竞争性谈判</w:t>
      </w:r>
    </w:p>
    <w:p>
      <w:pPr>
        <w:ind w:firstLine="482"/>
        <w:jc w:val="right"/>
        <w:rPr>
          <w:rFonts w:hint="eastAsia" w:ascii="宋体" w:hAnsi="宋体" w:eastAsia="宋体" w:cs="宋体"/>
          <w:b/>
        </w:rPr>
      </w:pPr>
    </w:p>
    <w:p>
      <w:pPr>
        <w:keepNext/>
        <w:keepLines/>
        <w:widowControl w:val="0"/>
        <w:shd w:val="clear" w:color="auto" w:fill="auto"/>
        <w:bidi w:val="0"/>
        <w:spacing w:before="0" w:after="120" w:line="1133" w:lineRule="exact"/>
        <w:ind w:left="0" w:leftChars="0" w:right="0" w:firstLine="0" w:firstLineChars="0"/>
        <w:jc w:val="both"/>
        <w:outlineLvl w:val="0"/>
        <w:rPr>
          <w:rFonts w:hint="eastAsia" w:ascii="宋体" w:hAnsi="宋体" w:eastAsia="宋体" w:cs="宋体"/>
          <w:b/>
          <w:bCs/>
          <w:color w:val="auto"/>
          <w:spacing w:val="0"/>
          <w:w w:val="100"/>
          <w:position w:val="0"/>
          <w:sz w:val="52"/>
          <w:szCs w:val="52"/>
          <w:u w:val="none"/>
          <w:shd w:val="clear" w:color="auto" w:fill="auto"/>
          <w:lang w:val="en-US" w:eastAsia="en-US" w:bidi="en-US"/>
        </w:rPr>
      </w:pPr>
      <w:bookmarkStart w:id="1" w:name="bookmark1"/>
      <w:bookmarkStart w:id="2" w:name="bookmark2"/>
      <w:bookmarkStart w:id="3" w:name="bookmark0"/>
    </w:p>
    <w:p>
      <w:pPr>
        <w:keepNext/>
        <w:keepLines/>
        <w:widowControl w:val="0"/>
        <w:shd w:val="clear" w:color="auto" w:fill="auto"/>
        <w:bidi w:val="0"/>
        <w:spacing w:before="0" w:after="120" w:line="1133" w:lineRule="exact"/>
        <w:ind w:left="0" w:leftChars="0" w:right="0" w:firstLine="0" w:firstLineChars="0"/>
        <w:jc w:val="center"/>
        <w:outlineLvl w:val="0"/>
        <w:rPr>
          <w:rFonts w:hint="eastAsia" w:ascii="宋体" w:hAnsi="宋体" w:eastAsia="宋体" w:cs="宋体"/>
          <w:b/>
          <w:bCs/>
          <w:color w:val="auto"/>
          <w:spacing w:val="0"/>
          <w:w w:val="100"/>
          <w:position w:val="0"/>
          <w:sz w:val="52"/>
          <w:szCs w:val="52"/>
          <w:u w:val="none"/>
          <w:shd w:val="clear" w:color="auto" w:fill="auto"/>
          <w:lang w:val="en-US" w:eastAsia="zh-CN" w:bidi="en-US"/>
        </w:rPr>
      </w:pPr>
      <w:r>
        <w:rPr>
          <w:rFonts w:hint="eastAsia" w:ascii="宋体" w:hAnsi="宋体" w:eastAsia="宋体" w:cs="宋体"/>
          <w:b/>
          <w:bCs/>
          <w:color w:val="auto"/>
          <w:spacing w:val="0"/>
          <w:w w:val="100"/>
          <w:position w:val="0"/>
          <w:sz w:val="52"/>
          <w:szCs w:val="52"/>
          <w:u w:val="none"/>
          <w:shd w:val="clear" w:color="auto" w:fill="auto"/>
          <w:lang w:val="en-US" w:eastAsia="zh-CN" w:bidi="en-US"/>
        </w:rPr>
        <w:t xml:space="preserve"> 西安市碑林区雁塔路小学安全体验教室设备采购项目</w:t>
      </w:r>
    </w:p>
    <w:p>
      <w:pPr>
        <w:keepNext/>
        <w:keepLines/>
        <w:widowControl w:val="0"/>
        <w:shd w:val="clear" w:color="auto" w:fill="auto"/>
        <w:bidi w:val="0"/>
        <w:spacing w:before="0" w:after="120" w:line="1133" w:lineRule="exact"/>
        <w:ind w:left="0" w:right="0" w:firstLine="3654" w:firstLineChars="700"/>
        <w:jc w:val="both"/>
        <w:outlineLvl w:val="0"/>
        <w:rPr>
          <w:rFonts w:hint="eastAsia" w:ascii="宋体" w:hAnsi="宋体" w:eastAsia="宋体" w:cs="宋体"/>
          <w:b/>
          <w:bCs/>
          <w:color w:val="auto"/>
          <w:spacing w:val="0"/>
          <w:w w:val="100"/>
          <w:position w:val="0"/>
          <w:sz w:val="52"/>
          <w:szCs w:val="52"/>
          <w:u w:val="none"/>
          <w:shd w:val="clear" w:color="auto" w:fill="auto"/>
          <w:lang w:val="zh-TW" w:eastAsia="zh-TW" w:bidi="zh-TW"/>
        </w:rPr>
      </w:pPr>
      <w:r>
        <w:rPr>
          <w:rFonts w:hint="eastAsia" w:ascii="宋体" w:hAnsi="宋体" w:eastAsia="宋体" w:cs="宋体"/>
          <w:b/>
          <w:bCs/>
          <w:color w:val="auto"/>
          <w:spacing w:val="0"/>
          <w:w w:val="100"/>
          <w:position w:val="0"/>
          <w:sz w:val="52"/>
          <w:szCs w:val="52"/>
          <w:u w:val="none"/>
          <w:shd w:val="clear" w:color="auto" w:fill="auto"/>
          <w:lang w:val="zh-TW" w:eastAsia="zh-TW" w:bidi="zh-TW"/>
        </w:rPr>
        <w:t>供货合同</w:t>
      </w:r>
      <w:bookmarkEnd w:id="1"/>
      <w:bookmarkEnd w:id="2"/>
      <w:bookmarkEnd w:id="3"/>
    </w:p>
    <w:p>
      <w:pPr>
        <w:keepNext w:val="0"/>
        <w:keepLines w:val="0"/>
        <w:widowControl w:val="0"/>
        <w:shd w:val="clear" w:color="auto" w:fill="auto"/>
        <w:bidi w:val="0"/>
        <w:spacing w:before="0" w:after="120" w:line="240" w:lineRule="auto"/>
        <w:ind w:left="0" w:right="0" w:firstLine="2700" w:firstLineChars="900"/>
        <w:jc w:val="both"/>
        <w:rPr>
          <w:rFonts w:hint="eastAsia" w:ascii="宋体" w:hAnsi="宋体" w:eastAsia="宋体" w:cs="宋体"/>
          <w:color w:val="auto"/>
          <w:spacing w:val="0"/>
          <w:w w:val="100"/>
          <w:position w:val="0"/>
          <w:sz w:val="30"/>
          <w:szCs w:val="30"/>
          <w:u w:val="none"/>
          <w:shd w:val="clear" w:color="auto" w:fill="auto"/>
          <w:lang w:val="en-US" w:eastAsia="en-US" w:bidi="en-US"/>
        </w:rPr>
      </w:pPr>
      <w:r>
        <w:rPr>
          <w:rFonts w:hint="eastAsia" w:ascii="宋体" w:hAnsi="宋体" w:eastAsia="宋体" w:cs="宋体"/>
          <w:color w:val="auto"/>
          <w:spacing w:val="0"/>
          <w:w w:val="100"/>
          <w:position w:val="0"/>
          <w:sz w:val="30"/>
          <w:szCs w:val="30"/>
          <w:u w:val="none"/>
          <w:shd w:val="clear" w:color="auto" w:fill="auto"/>
          <w:lang w:val="zh-TW" w:eastAsia="zh-TW" w:bidi="zh-TW"/>
        </w:rPr>
        <w:t>（编号：</w:t>
      </w:r>
      <w:r>
        <w:rPr>
          <w:rFonts w:hint="eastAsia" w:ascii="宋体" w:hAnsi="宋体" w:eastAsia="宋体" w:cs="宋体"/>
          <w:color w:val="auto"/>
          <w:spacing w:val="0"/>
          <w:w w:val="100"/>
          <w:position w:val="0"/>
          <w:sz w:val="30"/>
          <w:szCs w:val="30"/>
          <w:u w:val="single"/>
          <w:shd w:val="clear" w:color="auto" w:fill="auto"/>
          <w:lang w:val="en-US" w:eastAsia="zh-CN" w:bidi="en-US"/>
        </w:rPr>
        <w:t>HYTH-202401003</w:t>
      </w:r>
      <w:r>
        <w:rPr>
          <w:rFonts w:hint="eastAsia" w:ascii="宋体" w:hAnsi="宋体" w:eastAsia="宋体" w:cs="宋体"/>
          <w:color w:val="auto"/>
          <w:spacing w:val="0"/>
          <w:w w:val="100"/>
          <w:position w:val="0"/>
          <w:sz w:val="30"/>
          <w:szCs w:val="30"/>
          <w:u w:val="none"/>
          <w:shd w:val="clear" w:color="auto" w:fill="auto"/>
          <w:lang w:val="en-US" w:eastAsia="en-US" w:bidi="en-US"/>
        </w:rPr>
        <w:t>）</w:t>
      </w:r>
    </w:p>
    <w:p>
      <w:pPr>
        <w:keepNext w:val="0"/>
        <w:keepLines w:val="0"/>
        <w:widowControl w:val="0"/>
        <w:shd w:val="clear" w:color="auto" w:fill="auto"/>
        <w:bidi w:val="0"/>
        <w:spacing w:before="0" w:after="0" w:line="499" w:lineRule="exact"/>
        <w:ind w:left="0" w:right="0" w:firstLine="0"/>
        <w:jc w:val="both"/>
        <w:rPr>
          <w:rFonts w:hint="eastAsia" w:ascii="宋体" w:hAnsi="宋体" w:eastAsia="宋体" w:cs="宋体"/>
          <w:color w:val="auto"/>
          <w:spacing w:val="0"/>
          <w:w w:val="100"/>
          <w:position w:val="0"/>
          <w:sz w:val="30"/>
          <w:szCs w:val="30"/>
          <w:u w:val="none"/>
          <w:shd w:val="clear" w:color="auto" w:fill="auto"/>
          <w:lang w:val="zh-TW" w:eastAsia="zh-TW" w:bidi="zh-TW"/>
        </w:rPr>
      </w:pPr>
    </w:p>
    <w:p>
      <w:pPr>
        <w:keepNext w:val="0"/>
        <w:keepLines w:val="0"/>
        <w:widowControl w:val="0"/>
        <w:shd w:val="clear" w:color="auto" w:fill="auto"/>
        <w:bidi w:val="0"/>
        <w:spacing w:before="0" w:after="0" w:line="499" w:lineRule="exact"/>
        <w:ind w:left="0" w:leftChars="0" w:right="0" w:firstLine="0" w:firstLineChars="0"/>
        <w:jc w:val="both"/>
        <w:rPr>
          <w:rFonts w:hint="eastAsia" w:ascii="宋体" w:hAnsi="宋体" w:eastAsia="宋体" w:cs="宋体"/>
          <w:color w:val="auto"/>
          <w:spacing w:val="0"/>
          <w:w w:val="100"/>
          <w:position w:val="0"/>
          <w:sz w:val="30"/>
          <w:szCs w:val="30"/>
          <w:highlight w:val="none"/>
          <w:u w:val="none"/>
          <w:shd w:val="clear" w:color="auto" w:fill="auto"/>
          <w:lang w:val="zh-TW" w:eastAsia="zh-TW" w:bidi="zh-TW"/>
        </w:rPr>
      </w:pPr>
    </w:p>
    <w:p>
      <w:pPr>
        <w:keepNext w:val="0"/>
        <w:keepLines w:val="0"/>
        <w:widowControl w:val="0"/>
        <w:shd w:val="clear" w:color="auto" w:fill="auto"/>
        <w:bidi w:val="0"/>
        <w:spacing w:before="0" w:after="0" w:line="499" w:lineRule="exact"/>
        <w:ind w:left="0" w:right="0" w:firstLine="0"/>
        <w:jc w:val="both"/>
        <w:rPr>
          <w:rFonts w:hint="eastAsia" w:ascii="宋体" w:hAnsi="宋体" w:eastAsia="宋体" w:cs="宋体"/>
          <w:color w:val="auto"/>
          <w:spacing w:val="0"/>
          <w:w w:val="100"/>
          <w:position w:val="0"/>
          <w:sz w:val="30"/>
          <w:szCs w:val="30"/>
          <w:highlight w:val="none"/>
          <w:u w:val="none"/>
          <w:shd w:val="clear" w:color="auto" w:fill="auto"/>
          <w:lang w:val="zh-TW" w:eastAsia="zh-TW" w:bidi="zh-TW"/>
        </w:rPr>
      </w:pPr>
    </w:p>
    <w:p>
      <w:pPr>
        <w:keepNext w:val="0"/>
        <w:keepLines w:val="0"/>
        <w:widowControl w:val="0"/>
        <w:shd w:val="clear" w:color="auto" w:fill="auto"/>
        <w:bidi w:val="0"/>
        <w:spacing w:before="0" w:after="0" w:line="499" w:lineRule="exact"/>
        <w:ind w:left="3294" w:leftChars="700" w:right="0" w:hanging="1614" w:hangingChars="538"/>
        <w:jc w:val="both"/>
        <w:rPr>
          <w:rFonts w:hint="eastAsia" w:ascii="宋体" w:hAnsi="宋体" w:eastAsia="宋体" w:cs="宋体"/>
          <w:color w:val="auto"/>
          <w:spacing w:val="0"/>
          <w:w w:val="100"/>
          <w:position w:val="0"/>
          <w:sz w:val="30"/>
          <w:szCs w:val="30"/>
          <w:highlight w:val="none"/>
          <w:u w:val="none"/>
          <w:shd w:val="clear" w:color="auto" w:fill="auto"/>
          <w:lang w:val="en-US" w:eastAsia="zh-CN" w:bidi="en-US"/>
        </w:rPr>
      </w:pPr>
      <w:r>
        <w:rPr>
          <w:rFonts w:hint="eastAsia" w:ascii="宋体" w:hAnsi="宋体" w:eastAsia="宋体" w:cs="宋体"/>
          <w:color w:val="auto"/>
          <w:spacing w:val="0"/>
          <w:w w:val="100"/>
          <w:position w:val="0"/>
          <w:sz w:val="30"/>
          <w:szCs w:val="30"/>
          <w:highlight w:val="none"/>
          <w:u w:val="none"/>
          <w:shd w:val="clear" w:color="auto" w:fill="auto"/>
          <w:lang w:val="zh-TW" w:eastAsia="zh-TW" w:bidi="zh-TW"/>
        </w:rPr>
        <w:t>甲方：</w:t>
      </w:r>
    </w:p>
    <w:p>
      <w:pPr>
        <w:keepNext w:val="0"/>
        <w:keepLines w:val="0"/>
        <w:widowControl w:val="0"/>
        <w:shd w:val="clear" w:color="auto" w:fill="auto"/>
        <w:bidi w:val="0"/>
        <w:spacing w:before="0" w:after="0" w:line="499" w:lineRule="exact"/>
        <w:ind w:left="3294" w:leftChars="700" w:right="0" w:hanging="1614" w:hangingChars="538"/>
        <w:jc w:val="both"/>
        <w:rPr>
          <w:rFonts w:hint="eastAsia" w:ascii="宋体" w:hAnsi="宋体" w:eastAsia="宋体" w:cs="宋体"/>
          <w:color w:val="auto"/>
          <w:spacing w:val="0"/>
          <w:w w:val="100"/>
          <w:position w:val="0"/>
          <w:sz w:val="30"/>
          <w:szCs w:val="30"/>
          <w:highlight w:val="none"/>
          <w:u w:val="none"/>
          <w:shd w:val="clear" w:color="auto" w:fill="auto"/>
          <w:lang w:val="en-US" w:eastAsia="zh-CN" w:bidi="en-US"/>
        </w:rPr>
      </w:pPr>
      <w:r>
        <w:rPr>
          <w:rFonts w:hint="eastAsia" w:ascii="宋体" w:hAnsi="宋体" w:eastAsia="宋体" w:cs="宋体"/>
          <w:color w:val="auto"/>
          <w:spacing w:val="0"/>
          <w:w w:val="100"/>
          <w:position w:val="0"/>
          <w:sz w:val="30"/>
          <w:szCs w:val="30"/>
          <w:highlight w:val="none"/>
          <w:u w:val="none"/>
          <w:shd w:val="clear" w:color="auto" w:fill="auto"/>
          <w:lang w:val="zh-TW" w:eastAsia="zh-TW" w:bidi="zh-TW"/>
        </w:rPr>
        <w:t>乙方:</w:t>
      </w:r>
      <w:r>
        <w:rPr>
          <w:rFonts w:hint="eastAsia" w:ascii="宋体" w:hAnsi="宋体" w:eastAsia="宋体" w:cs="宋体"/>
          <w:color w:val="auto"/>
          <w:spacing w:val="0"/>
          <w:w w:val="100"/>
          <w:position w:val="0"/>
          <w:sz w:val="30"/>
          <w:szCs w:val="30"/>
          <w:highlight w:val="none"/>
          <w:u w:val="none"/>
          <w:shd w:val="clear" w:color="auto" w:fill="auto"/>
          <w:lang w:val="en-US" w:eastAsia="zh-CN" w:bidi="zh-TW"/>
        </w:rPr>
        <w:t xml:space="preserve">                                 </w:t>
      </w:r>
    </w:p>
    <w:p>
      <w:pPr>
        <w:keepNext w:val="0"/>
        <w:keepLines w:val="0"/>
        <w:widowControl w:val="0"/>
        <w:shd w:val="clear" w:color="auto" w:fill="auto"/>
        <w:bidi w:val="0"/>
        <w:spacing w:before="0" w:after="660" w:line="499" w:lineRule="exact"/>
        <w:ind w:left="3294" w:leftChars="700" w:right="0" w:hanging="1614" w:hangingChars="538"/>
        <w:jc w:val="left"/>
        <w:rPr>
          <w:rFonts w:hint="eastAsia" w:ascii="宋体" w:hAnsi="宋体" w:eastAsia="宋体" w:cs="宋体"/>
          <w:color w:val="auto"/>
          <w:spacing w:val="0"/>
          <w:w w:val="100"/>
          <w:position w:val="0"/>
          <w:sz w:val="30"/>
          <w:szCs w:val="30"/>
          <w:highlight w:val="none"/>
          <w:u w:val="none"/>
          <w:shd w:val="clear" w:color="auto" w:fill="auto"/>
          <w:lang w:val="en-US" w:eastAsia="en-US" w:bidi="en-US"/>
        </w:rPr>
      </w:pPr>
      <w:r>
        <w:rPr>
          <w:rFonts w:hint="eastAsia" w:ascii="宋体" w:hAnsi="宋体" w:eastAsia="宋体" w:cs="宋体"/>
          <w:color w:val="auto"/>
          <w:spacing w:val="0"/>
          <w:w w:val="100"/>
          <w:position w:val="0"/>
          <w:sz w:val="30"/>
          <w:szCs w:val="30"/>
          <w:highlight w:val="none"/>
          <w:u w:val="none"/>
          <w:shd w:val="clear" w:color="auto" w:fill="auto"/>
          <w:lang w:val="zh-TW" w:eastAsia="zh-TW" w:bidi="zh-TW"/>
        </w:rPr>
        <w:t>鉴证方：陕西四方衡裕项目管理有限公司</w:t>
      </w:r>
    </w:p>
    <w:p>
      <w:pPr>
        <w:keepNext w:val="0"/>
        <w:keepLines w:val="0"/>
        <w:widowControl w:val="0"/>
        <w:shd w:val="clear" w:color="auto" w:fill="auto"/>
        <w:bidi w:val="0"/>
        <w:spacing w:before="0" w:after="0" w:line="348" w:lineRule="auto"/>
        <w:ind w:left="0" w:right="0" w:firstLine="0"/>
        <w:jc w:val="center"/>
        <w:rPr>
          <w:rFonts w:hint="eastAsia" w:ascii="宋体" w:hAnsi="宋体" w:eastAsia="宋体" w:cs="宋体"/>
          <w:color w:val="auto"/>
          <w:spacing w:val="0"/>
          <w:w w:val="100"/>
          <w:position w:val="0"/>
          <w:sz w:val="30"/>
          <w:szCs w:val="30"/>
          <w:highlight w:val="none"/>
          <w:u w:val="none"/>
          <w:shd w:val="clear" w:color="auto" w:fill="auto"/>
          <w:lang w:val="en-US" w:eastAsia="en-US" w:bidi="en-US"/>
        </w:rPr>
      </w:pPr>
      <w:r>
        <w:rPr>
          <w:rFonts w:hint="eastAsia" w:ascii="宋体" w:hAnsi="宋体" w:eastAsia="宋体" w:cs="宋体"/>
          <w:color w:val="auto"/>
          <w:spacing w:val="0"/>
          <w:w w:val="100"/>
          <w:position w:val="0"/>
          <w:sz w:val="30"/>
          <w:szCs w:val="30"/>
          <w:highlight w:val="none"/>
          <w:u w:val="none"/>
          <w:shd w:val="clear" w:color="auto" w:fill="auto"/>
          <w:lang w:val="en-US" w:eastAsia="en-US" w:bidi="en-US"/>
        </w:rPr>
        <w:t>202</w:t>
      </w:r>
      <w:r>
        <w:rPr>
          <w:rFonts w:hint="eastAsia" w:ascii="宋体" w:hAnsi="宋体" w:eastAsia="宋体" w:cs="宋体"/>
          <w:color w:val="auto"/>
          <w:spacing w:val="0"/>
          <w:w w:val="100"/>
          <w:position w:val="0"/>
          <w:sz w:val="30"/>
          <w:szCs w:val="30"/>
          <w:highlight w:val="none"/>
          <w:u w:val="none"/>
          <w:shd w:val="clear" w:color="auto" w:fill="auto"/>
          <w:lang w:val="en-US" w:eastAsia="zh-CN" w:bidi="en-US"/>
        </w:rPr>
        <w:t>4</w:t>
      </w:r>
      <w:r>
        <w:rPr>
          <w:rFonts w:hint="eastAsia" w:ascii="宋体" w:hAnsi="宋体" w:eastAsia="宋体" w:cs="宋体"/>
          <w:color w:val="auto"/>
          <w:spacing w:val="0"/>
          <w:w w:val="100"/>
          <w:position w:val="0"/>
          <w:sz w:val="30"/>
          <w:szCs w:val="30"/>
          <w:highlight w:val="none"/>
          <w:u w:val="none"/>
          <w:shd w:val="clear" w:color="auto" w:fill="auto"/>
          <w:lang w:val="zh-TW" w:eastAsia="zh-TW" w:bidi="zh-TW"/>
        </w:rPr>
        <w:t>年</w:t>
      </w:r>
      <w:r>
        <w:rPr>
          <w:rFonts w:hint="eastAsia" w:ascii="宋体" w:hAnsi="宋体" w:eastAsia="宋体" w:cs="宋体"/>
          <w:color w:val="auto"/>
          <w:spacing w:val="0"/>
          <w:w w:val="100"/>
          <w:position w:val="0"/>
          <w:sz w:val="30"/>
          <w:szCs w:val="30"/>
          <w:highlight w:val="none"/>
          <w:u w:val="none"/>
          <w:shd w:val="clear" w:color="auto" w:fill="auto"/>
          <w:lang w:val="en-US" w:eastAsia="zh-CN" w:bidi="zh-TW"/>
        </w:rPr>
        <w:t xml:space="preserve">  </w:t>
      </w:r>
      <w:r>
        <w:rPr>
          <w:rFonts w:hint="eastAsia" w:ascii="宋体" w:hAnsi="宋体" w:eastAsia="宋体" w:cs="宋体"/>
          <w:color w:val="auto"/>
          <w:spacing w:val="0"/>
          <w:w w:val="100"/>
          <w:position w:val="0"/>
          <w:sz w:val="30"/>
          <w:szCs w:val="30"/>
          <w:highlight w:val="none"/>
          <w:u w:val="none"/>
          <w:shd w:val="clear" w:color="auto" w:fill="auto"/>
          <w:lang w:val="zh-TW" w:eastAsia="zh-TW" w:bidi="zh-TW"/>
        </w:rPr>
        <w:t>月</w:t>
      </w:r>
    </w:p>
    <w:p>
      <w:pPr>
        <w:keepNext w:val="0"/>
        <w:keepLines w:val="0"/>
        <w:widowControl w:val="0"/>
        <w:shd w:val="clear" w:color="auto" w:fill="auto"/>
        <w:bidi w:val="0"/>
        <w:spacing w:before="0" w:after="0" w:line="499" w:lineRule="exact"/>
        <w:ind w:left="0" w:right="0" w:firstLine="0"/>
        <w:jc w:val="center"/>
        <w:rPr>
          <w:rFonts w:hint="eastAsia" w:ascii="宋体" w:hAnsi="宋体" w:eastAsia="宋体" w:cs="宋体"/>
          <w:color w:val="auto"/>
          <w:spacing w:val="0"/>
          <w:w w:val="100"/>
          <w:position w:val="0"/>
          <w:sz w:val="30"/>
          <w:szCs w:val="30"/>
          <w:highlight w:val="none"/>
          <w:u w:val="none"/>
          <w:shd w:val="clear" w:color="auto" w:fill="auto"/>
          <w:lang w:val="zh-TW" w:eastAsia="zh-TW" w:bidi="zh-TW"/>
        </w:rPr>
      </w:pPr>
      <w:r>
        <w:rPr>
          <w:rFonts w:hint="eastAsia" w:ascii="宋体" w:hAnsi="宋体" w:eastAsia="宋体" w:cs="宋体"/>
          <w:color w:val="auto"/>
          <w:spacing w:val="0"/>
          <w:w w:val="100"/>
          <w:position w:val="0"/>
          <w:sz w:val="30"/>
          <w:szCs w:val="30"/>
          <w:highlight w:val="none"/>
          <w:u w:val="none"/>
          <w:shd w:val="clear" w:color="auto" w:fill="auto"/>
          <w:lang w:val="zh-TW" w:eastAsia="zh-TW" w:bidi="zh-TW"/>
        </w:rPr>
        <w:t>中国西安</w:t>
      </w:r>
    </w:p>
    <w:p>
      <w:pPr>
        <w:keepNext w:val="0"/>
        <w:keepLines w:val="0"/>
        <w:shd w:val="clear" w:color="auto" w:fill="auto"/>
        <w:bidi w:val="0"/>
        <w:spacing w:before="0" w:after="0" w:line="240" w:lineRule="auto"/>
        <w:ind w:left="0" w:right="0" w:firstLine="0" w:firstLineChars="0"/>
        <w:jc w:val="left"/>
        <w:rPr>
          <w:rFonts w:hint="eastAsia" w:ascii="宋体" w:hAnsi="宋体" w:eastAsia="宋体" w:cs="宋体"/>
          <w:color w:val="auto"/>
          <w:spacing w:val="0"/>
          <w:w w:val="100"/>
          <w:kern w:val="0"/>
          <w:position w:val="0"/>
          <w:highlight w:val="none"/>
          <w:shd w:val="clear" w:color="auto" w:fill="auto"/>
          <w:lang w:eastAsia="en-US" w:bidi="en-US"/>
        </w:rPr>
      </w:pPr>
      <w:bookmarkStart w:id="4" w:name="bookmark4"/>
      <w:bookmarkStart w:id="5" w:name="bookmark5"/>
      <w:bookmarkStart w:id="6" w:name="bookmark3"/>
      <w:r>
        <w:rPr>
          <w:rFonts w:hint="eastAsia" w:ascii="宋体" w:hAnsi="宋体" w:eastAsia="宋体" w:cs="宋体"/>
          <w:color w:val="auto"/>
          <w:spacing w:val="0"/>
          <w:w w:val="100"/>
          <w:kern w:val="0"/>
          <w:position w:val="0"/>
          <w:highlight w:val="none"/>
          <w:shd w:val="clear" w:color="auto" w:fill="auto"/>
          <w:lang w:eastAsia="en-US" w:bidi="en-US"/>
        </w:rPr>
        <w:br w:type="page"/>
      </w:r>
    </w:p>
    <w:p>
      <w:pPr>
        <w:keepNext/>
        <w:keepLines/>
        <w:widowControl w:val="0"/>
        <w:shd w:val="clear" w:color="auto" w:fill="auto"/>
        <w:bidi w:val="0"/>
        <w:spacing w:before="0" w:after="380" w:line="240" w:lineRule="auto"/>
        <w:ind w:left="0" w:right="0" w:firstLine="0"/>
        <w:jc w:val="center"/>
        <w:outlineLvl w:val="1"/>
        <w:rPr>
          <w:rFonts w:hint="eastAsia" w:ascii="宋体" w:hAnsi="宋体" w:eastAsia="宋体" w:cs="宋体"/>
          <w:color w:val="auto"/>
          <w:spacing w:val="0"/>
          <w:w w:val="100"/>
          <w:position w:val="0"/>
          <w:sz w:val="36"/>
          <w:szCs w:val="36"/>
          <w:highlight w:val="none"/>
          <w:u w:val="none"/>
          <w:shd w:val="clear" w:color="auto" w:fill="auto"/>
          <w:lang w:val="zh-TW" w:eastAsia="zh-TW" w:bidi="zh-TW"/>
        </w:rPr>
      </w:pPr>
      <w:r>
        <w:rPr>
          <w:rFonts w:hint="eastAsia" w:ascii="宋体" w:hAnsi="宋体" w:eastAsia="宋体" w:cs="宋体"/>
          <w:color w:val="auto"/>
          <w:spacing w:val="0"/>
          <w:w w:val="100"/>
          <w:position w:val="0"/>
          <w:sz w:val="36"/>
          <w:szCs w:val="36"/>
          <w:highlight w:val="none"/>
          <w:u w:val="none"/>
          <w:shd w:val="clear" w:color="auto" w:fill="auto"/>
          <w:lang w:val="zh-TW" w:eastAsia="zh-TW" w:bidi="zh-TW"/>
        </w:rPr>
        <w:t>供货合同</w:t>
      </w:r>
      <w:bookmarkEnd w:id="4"/>
      <w:bookmarkEnd w:id="5"/>
      <w:bookmarkEnd w:id="6"/>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甲方</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zh-TW" w:eastAsia="zh-CN" w:bidi="zh-TW"/>
        </w:rPr>
        <w:t>采</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购人名称全称）</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（供应商名称全称）</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p>
    <w:p>
      <w:pPr>
        <w:keepNext w:val="0"/>
        <w:keepLines w:val="0"/>
        <w:pageBreakBefore w:val="0"/>
        <w:widowControl w:val="0"/>
        <w:shd w:val="clear" w:color="auto" w:fill="auto"/>
        <w:kinsoku/>
        <w:wordWrap w:val="0"/>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鉴证方：</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陕西四方衡裕项目管理有限公司</w:t>
      </w:r>
    </w:p>
    <w:p>
      <w:pPr>
        <w:keepNext w:val="0"/>
        <w:keepLines w:val="0"/>
        <w:pageBreakBefore w:val="0"/>
        <w:widowControl w:val="0"/>
        <w:shd w:val="clear" w:color="auto" w:fill="auto"/>
        <w:kinsoku/>
        <w:wordWrap w:val="0"/>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鉴证方就甲方所需货物，在西安市碑林区财政局的监督管理下，按照政府</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采</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购程序组织竞争性谈判，确定乙方为</w:t>
      </w:r>
      <w:r>
        <w:rPr>
          <w:rFonts w:hint="eastAsia" w:ascii="宋体" w:hAnsi="宋体" w:eastAsia="宋体" w:cs="宋体"/>
          <w:color w:val="auto"/>
          <w:spacing w:val="0"/>
          <w:w w:val="100"/>
          <w:position w:val="0"/>
          <w:sz w:val="24"/>
          <w:szCs w:val="24"/>
          <w:highlight w:val="none"/>
          <w:u w:val="single"/>
          <w:shd w:val="clear" w:color="auto" w:fill="auto"/>
          <w:lang w:val="zh-TW" w:eastAsia="zh-CN" w:bidi="zh-TW"/>
        </w:rPr>
        <w:t xml:space="preserve"> 西安市碑林区雁塔路小学安全体验教室设备采购项目</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（项目编号：</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HYTH-202401003</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成交供应商。</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依</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据《中华人民共和国政府采购法》、《中华人民共和国民法典》以及</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陕西四方衡裕项目管理有限公司</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竞争性谈判文件、成交通知书，经甲、乙双方协商，鉴证方确认，达成如下合同条款。</w:t>
      </w:r>
    </w:p>
    <w:p>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2" w:firstLineChars="200"/>
        <w:jc w:val="left"/>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bookmarkStart w:id="7" w:name="bookmark6"/>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一</w:t>
      </w:r>
      <w:bookmarkEnd w:id="7"/>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、合同标的物内容（以响应文件正本和澄清表〈函〉为准）</w:t>
      </w:r>
    </w:p>
    <w:tbl>
      <w:tblPr>
        <w:tblStyle w:val="5"/>
        <w:tblW w:w="9102" w:type="dxa"/>
        <w:jc w:val="center"/>
        <w:tblLayout w:type="fixed"/>
        <w:tblCellMar>
          <w:top w:w="0" w:type="dxa"/>
          <w:left w:w="10" w:type="dxa"/>
          <w:bottom w:w="0" w:type="dxa"/>
          <w:right w:w="10" w:type="dxa"/>
        </w:tblCellMar>
      </w:tblPr>
      <w:tblGrid>
        <w:gridCol w:w="768"/>
        <w:gridCol w:w="1661"/>
        <w:gridCol w:w="1661"/>
        <w:gridCol w:w="1661"/>
        <w:gridCol w:w="1661"/>
        <w:gridCol w:w="1690"/>
      </w:tblGrid>
      <w:tr>
        <w:tblPrEx>
          <w:tblCellMar>
            <w:top w:w="0" w:type="dxa"/>
            <w:left w:w="10" w:type="dxa"/>
            <w:bottom w:w="0" w:type="dxa"/>
            <w:right w:w="10" w:type="dxa"/>
          </w:tblCellMar>
        </w:tblPrEx>
        <w:trPr>
          <w:trHeight w:val="528" w:hRule="exact"/>
          <w:jc w:val="center"/>
        </w:trPr>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序号</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货物名称</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规格型号</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单价（元）</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4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数量</w:t>
            </w: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40" w:after="0" w:line="240" w:lineRule="auto"/>
              <w:ind w:left="0" w:right="320" w:firstLine="0" w:firstLineChars="0"/>
              <w:jc w:val="righ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总价（元）</w:t>
            </w:r>
          </w:p>
        </w:tc>
      </w:tr>
      <w:tr>
        <w:tblPrEx>
          <w:tblCellMar>
            <w:top w:w="0" w:type="dxa"/>
            <w:left w:w="10" w:type="dxa"/>
            <w:bottom w:w="0" w:type="dxa"/>
            <w:right w:w="10" w:type="dxa"/>
          </w:tblCellMar>
        </w:tblPrEx>
        <w:trPr>
          <w:trHeight w:val="499" w:hRule="exact"/>
          <w:jc w:val="center"/>
        </w:trPr>
        <w:tc>
          <w:tcPr>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1</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509" w:hRule="exact"/>
          <w:jc w:val="center"/>
        </w:trPr>
        <w:tc>
          <w:tcPr>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2</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518" w:hRule="exact"/>
          <w:jc w:val="center"/>
        </w:trPr>
        <w:tc>
          <w:tcPr>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3</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509" w:hRule="exact"/>
          <w:jc w:val="center"/>
        </w:trPr>
        <w:tc>
          <w:tcPr>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4</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499" w:hRule="exact"/>
          <w:jc w:val="center"/>
        </w:trPr>
        <w:tc>
          <w:tcPr>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en-US" w:eastAsia="zh-CN"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5</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499" w:hRule="exact"/>
          <w:jc w:val="center"/>
        </w:trPr>
        <w:tc>
          <w:tcPr>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en-US" w:eastAsia="zh-CN"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w:t>
            </w: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509" w:hRule="exact"/>
          <w:jc w:val="center"/>
        </w:trPr>
        <w:tc>
          <w:tcPr>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509" w:hRule="exact"/>
          <w:jc w:val="center"/>
        </w:trPr>
        <w:tc>
          <w:tcPr>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00" w:after="0" w:line="240" w:lineRule="auto"/>
              <w:ind w:left="0" w:right="0" w:firstLine="0" w:firstLineChars="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合计</w:t>
            </w:r>
          </w:p>
        </w:tc>
        <w:tc>
          <w:tcPr>
            <w:gridSpan w:val="5"/>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r>
        <w:tblPrEx>
          <w:tblCellMar>
            <w:top w:w="0" w:type="dxa"/>
            <w:left w:w="10" w:type="dxa"/>
            <w:bottom w:w="0" w:type="dxa"/>
            <w:right w:w="10" w:type="dxa"/>
          </w:tblCellMar>
        </w:tblPrEx>
        <w:trPr>
          <w:trHeight w:val="518" w:hRule="exact"/>
          <w:jc w:val="center"/>
        </w:trPr>
        <w:tc>
          <w:tcPr>
            <w:tcBorders>
              <w:top w:val="single" w:color="auto" w:sz="4" w:space="0"/>
              <w:left w:val="single" w:color="auto" w:sz="4" w:space="0"/>
              <w:bottom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备注</w:t>
            </w:r>
          </w:p>
        </w:tc>
        <w:tc>
          <w:tcPr>
            <w:gridSpan w:val="5"/>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宋体" w:hAnsi="宋体" w:eastAsia="宋体" w:cs="宋体"/>
                <w:color w:val="auto"/>
                <w:spacing w:val="0"/>
                <w:w w:val="100"/>
                <w:kern w:val="0"/>
                <w:position w:val="0"/>
                <w:sz w:val="24"/>
                <w:szCs w:val="24"/>
                <w:highlight w:val="none"/>
                <w:shd w:val="clear" w:color="auto" w:fill="auto"/>
                <w:lang w:eastAsia="en-US" w:bidi="en-US"/>
              </w:rPr>
            </w:pPr>
          </w:p>
        </w:tc>
      </w:tr>
    </w:tbl>
    <w:p>
      <w:pPr>
        <w:keepNext w:val="0"/>
        <w:keepLines w:val="0"/>
        <w:pageBreakBefore w:val="0"/>
        <w:widowControl w:val="0"/>
        <w:shd w:val="clear" w:color="auto" w:fill="auto"/>
        <w:kinsoku/>
        <w:wordWrap/>
        <w:overflowPunct/>
        <w:topLinePunct w:val="0"/>
        <w:autoSpaceDE/>
        <w:autoSpaceDN/>
        <w:bidi w:val="0"/>
        <w:adjustRightInd/>
        <w:snapToGrid/>
        <w:spacing w:before="0" w:after="0" w:line="490" w:lineRule="exact"/>
        <w:ind w:left="0" w:right="0" w:firstLine="482" w:firstLineChars="200"/>
        <w:jc w:val="left"/>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（技术</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参数可附附件</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或详见响应文件，需说明清楚，表格可根据实际情况调整）</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490" w:lineRule="exact"/>
        <w:ind w:left="0" w:right="0" w:firstLine="482" w:firstLineChars="200"/>
        <w:jc w:val="left"/>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CN" w:bidi="zh-TW"/>
        </w:rPr>
      </w:pPr>
      <w:bookmarkStart w:id="8" w:name="bookmark7"/>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二</w:t>
      </w:r>
      <w:bookmarkEnd w:id="8"/>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交货条件：</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0" w:line="490" w:lineRule="exact"/>
        <w:ind w:left="240" w:leftChars="10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9" w:name="bookmark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交货</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地点：甲方指定地点。</w:t>
      </w:r>
    </w:p>
    <w:p>
      <w:pPr>
        <w:keepNext w:val="0"/>
        <w:keepLines w:val="0"/>
        <w:pageBreakBefore w:val="0"/>
        <w:widowControl w:val="0"/>
        <w:shd w:val="clear" w:color="auto" w:fill="auto"/>
        <w:tabs>
          <w:tab w:val="left" w:pos="1390"/>
        </w:tabs>
        <w:kinsoku/>
        <w:wordWrap/>
        <w:overflowPunct/>
        <w:topLinePunct w:val="0"/>
        <w:autoSpaceDE/>
        <w:autoSpaceDN/>
        <w:bidi w:val="0"/>
        <w:adjustRightInd/>
        <w:snapToGrid/>
        <w:spacing w:before="0" w:after="0" w:line="403" w:lineRule="exact"/>
        <w:ind w:left="240" w:leftChars="10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10" w:name="bookmark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1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二）交货期：</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p>
    <w:p>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499" w:lineRule="exact"/>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bookmarkStart w:id="11" w:name="bookmark10"/>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三</w:t>
      </w:r>
      <w:bookmarkEnd w:id="11"/>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ab/>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合同价款</w:t>
      </w:r>
    </w:p>
    <w:p>
      <w:pPr>
        <w:keepNext w:val="0"/>
        <w:keepLines w:val="0"/>
        <w:pageBreakBefore w:val="0"/>
        <w:widowControl w:val="0"/>
        <w:shd w:val="clear" w:color="auto" w:fill="auto"/>
        <w:tabs>
          <w:tab w:val="left" w:pos="6715"/>
          <w:tab w:val="left" w:pos="8117"/>
        </w:tabs>
        <w:kinsoku/>
        <w:wordWrap/>
        <w:overflowPunct/>
        <w:topLinePunct w:val="0"/>
        <w:autoSpaceDE/>
        <w:autoSpaceDN/>
        <w:bidi w:val="0"/>
        <w:adjustRightInd/>
        <w:snapToGrid/>
        <w:spacing w:before="0" w:after="100" w:line="24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en-US"/>
        </w:rPr>
        <w:t>一</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合同总价款为人民币</w:t>
      </w:r>
      <w:r>
        <w:rPr>
          <w:rFonts w:hint="eastAsia" w:ascii="宋体" w:hAnsi="宋体" w:eastAsia="宋体" w:cs="宋体"/>
          <w:i w:val="0"/>
          <w:iCs w:val="0"/>
          <w:color w:val="auto"/>
          <w:spacing w:val="0"/>
          <w:w w:val="100"/>
          <w:position w:val="0"/>
          <w:sz w:val="24"/>
          <w:szCs w:val="24"/>
          <w:highlight w:val="none"/>
          <w:u w:val="none"/>
          <w:shd w:val="clear" w:color="auto" w:fill="auto"/>
          <w:lang w:val="zh-TW" w:eastAsia="zh-TW" w:bidi="zh-TW"/>
        </w:rPr>
        <w:t>（大写）</w:t>
      </w:r>
      <w:r>
        <w:rPr>
          <w:rFonts w:hint="eastAsia" w:ascii="宋体" w:hAnsi="宋体" w:eastAsia="宋体" w:cs="宋体"/>
          <w:i/>
          <w:iCs/>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i/>
          <w:iCs/>
          <w:color w:val="auto"/>
          <w:spacing w:val="0"/>
          <w:w w:val="100"/>
          <w:position w:val="0"/>
          <w:sz w:val="24"/>
          <w:szCs w:val="24"/>
          <w:highlight w:val="none"/>
          <w:u w:val="none"/>
          <w:shd w:val="clear" w:color="auto" w:fill="auto"/>
          <w:lang w:val="en-US" w:eastAsia="zh-CN" w:bidi="zh-TW"/>
        </w:rPr>
        <w:t xml:space="preserve"> </w:t>
      </w:r>
      <w:r>
        <w:rPr>
          <w:rFonts w:hint="eastAsia" w:ascii="宋体" w:hAnsi="宋体" w:eastAsia="宋体" w:cs="宋体"/>
          <w:i/>
          <w:i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single"/>
          <w:shd w:val="clear" w:color="auto" w:fill="auto"/>
          <w:lang w:val="zh-TW" w:eastAsia="zh-TW" w:bidi="zh-TW"/>
        </w:rPr>
        <w:tab/>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元。</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0" w:line="490" w:lineRule="exact"/>
        <w:ind w:left="0" w:right="0" w:firstLine="4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CN" w:eastAsia="zh-TW" w:bidi="zh-TW"/>
        </w:rPr>
      </w:pPr>
      <w:bookmarkStart w:id="12" w:name="bookmark11"/>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1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二）合同总包括：</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供货</w:t>
      </w:r>
      <w:r>
        <w:rPr>
          <w:rFonts w:hint="eastAsia" w:ascii="宋体" w:hAnsi="宋体" w:eastAsia="宋体" w:cs="宋体"/>
          <w:color w:val="auto"/>
          <w:spacing w:val="0"/>
          <w:w w:val="100"/>
          <w:position w:val="0"/>
          <w:sz w:val="24"/>
          <w:szCs w:val="24"/>
          <w:highlight w:val="none"/>
          <w:u w:val="none"/>
          <w:shd w:val="clear" w:color="auto" w:fill="auto"/>
          <w:lang w:val="zh-CN" w:eastAsia="zh-TW" w:bidi="zh-TW"/>
        </w:rPr>
        <w:t>期内全部供货和服务内容可能发生的全部费用。</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413" w:lineRule="exact"/>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13" w:name="bookmark1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1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三）合同总价一次性包死，不受市场价格变化因素的影响。</w:t>
      </w:r>
    </w:p>
    <w:p>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509" w:lineRule="exact"/>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bookmarkStart w:id="14" w:name="bookmark13"/>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四</w:t>
      </w:r>
      <w:bookmarkEnd w:id="14"/>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、款项结算</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bookmarkStart w:id="15" w:name="bookmark17"/>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一</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款项</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的支付：所有货物到达甲方指定地点，安装、调试完毕并且验收合格后，如无质量、技术、服务、安全等问题，甲方向乙方支付至合同价款的100%，一次性付清。达到付款条件30日内，支付合同总金额的100%。</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15"/>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二</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）付款前乙方应向甲方提供合法有效的全额发票。乙方持成交通知书、供货合同、发票，与甲方结算。</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三</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支付方式：银行转账。</w:t>
      </w:r>
    </w:p>
    <w:p>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413" w:lineRule="exact"/>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bookmarkStart w:id="16" w:name="bookmark19"/>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五</w:t>
      </w:r>
      <w:bookmarkEnd w:id="16"/>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ab/>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双方的权利和义务</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17" w:name="bookmark2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17"/>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ab/>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甲方的权利和义务</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u w:val="none"/>
          <w:shd w:val="clear" w:color="auto" w:fill="auto"/>
          <w:lang w:val="zh-TW" w:eastAsia="zh-CN" w:bidi="zh-TW"/>
        </w:rPr>
      </w:pPr>
      <w:bookmarkStart w:id="18" w:name="bookmark21"/>
      <w:r>
        <w:rPr>
          <w:rFonts w:hint="eastAsia" w:ascii="宋体" w:hAnsi="宋体" w:eastAsia="宋体" w:cs="宋体"/>
          <w:b w:val="0"/>
          <w:bCs w:val="0"/>
          <w:color w:val="auto"/>
          <w:spacing w:val="0"/>
          <w:w w:val="100"/>
          <w:position w:val="0"/>
          <w:sz w:val="24"/>
          <w:szCs w:val="24"/>
          <w:highlight w:val="none"/>
          <w:u w:val="none"/>
          <w:shd w:val="clear" w:color="auto" w:fill="auto"/>
          <w:lang w:val="en-US" w:eastAsia="zh-CN" w:bidi="zh-TW"/>
        </w:rPr>
        <w:t>1、</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甲方在收到货物通知后，应按</w:t>
      </w:r>
      <w:r>
        <w:rPr>
          <w:rFonts w:hint="eastAsia" w:ascii="宋体" w:hAnsi="宋体" w:eastAsia="宋体" w:cs="宋体"/>
          <w:b w:val="0"/>
          <w:bCs w:val="0"/>
          <w:color w:val="auto"/>
          <w:spacing w:val="0"/>
          <w:w w:val="100"/>
          <w:position w:val="0"/>
          <w:sz w:val="24"/>
          <w:szCs w:val="24"/>
          <w:highlight w:val="none"/>
          <w:u w:val="none"/>
          <w:shd w:val="clear" w:color="auto" w:fill="auto"/>
          <w:lang w:val="en-US" w:eastAsia="zh-CN" w:bidi="zh-TW"/>
        </w:rPr>
        <w:t>谈判</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文件的需求</w:t>
      </w:r>
      <w:r>
        <w:rPr>
          <w:rFonts w:hint="eastAsia" w:ascii="宋体" w:hAnsi="宋体" w:eastAsia="宋体" w:cs="宋体"/>
          <w:b w:val="0"/>
          <w:bCs w:val="0"/>
          <w:color w:val="auto"/>
          <w:spacing w:val="0"/>
          <w:w w:val="100"/>
          <w:position w:val="0"/>
          <w:sz w:val="24"/>
          <w:szCs w:val="24"/>
          <w:highlight w:val="none"/>
          <w:u w:val="none"/>
          <w:shd w:val="clear" w:color="auto" w:fill="auto"/>
          <w:lang w:val="en-US" w:eastAsia="zh-CN" w:bidi="zh-TW"/>
        </w:rPr>
        <w:t>及成交供应商响应文件响应内容</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进行核实，如发现不符合合同规定，及时提出</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CN" w:bidi="zh-TW"/>
        </w:rPr>
        <w:t>。</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val="0"/>
          <w:color w:val="auto"/>
          <w:spacing w:val="0"/>
          <w:w w:val="100"/>
          <w:position w:val="0"/>
          <w:sz w:val="24"/>
          <w:szCs w:val="24"/>
          <w:highlight w:val="none"/>
          <w:u w:val="none"/>
          <w:shd w:val="clear" w:color="auto" w:fill="auto"/>
          <w:lang w:val="en-US" w:eastAsia="zh-CN" w:bidi="zh-TW"/>
        </w:rPr>
        <w:t>2、</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甲方在收到货后，组织人员按提供的技术参数指标进行验收。</w:t>
      </w:r>
    </w:p>
    <w:p>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w:t>
      </w:r>
      <w:bookmarkEnd w:id="18"/>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二）</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ab/>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乙方的权利和义务</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val="0"/>
          <w:color w:val="auto"/>
          <w:spacing w:val="0"/>
          <w:w w:val="100"/>
          <w:position w:val="0"/>
          <w:sz w:val="24"/>
          <w:szCs w:val="24"/>
          <w:highlight w:val="none"/>
          <w:u w:val="none"/>
          <w:shd w:val="clear" w:color="auto" w:fill="auto"/>
          <w:lang w:val="en-US" w:eastAsia="zh-CN" w:bidi="zh-TW"/>
        </w:rPr>
        <w:t>1、</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乙方在合同约定的时间内交付产品，并负责产品的检验。</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2、乙方所提供的产品必须保证原厂生产，符合采购技术需求，运输全过程中的安全由乙方负责。</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3、乙方应积极配合甲方，最终完成产品的检验工作。</w:t>
      </w:r>
    </w:p>
    <w:p>
      <w:pPr>
        <w:keepNext w:val="0"/>
        <w:keepLines w:val="0"/>
        <w:pageBreakBefore w:val="0"/>
        <w:widowControl w:val="0"/>
        <w:shd w:val="clear" w:color="auto" w:fill="auto"/>
        <w:tabs>
          <w:tab w:val="left" w:pos="996"/>
        </w:tabs>
        <w:kinsoku/>
        <w:wordWrap/>
        <w:overflowPunct/>
        <w:topLinePunct w:val="0"/>
        <w:autoSpaceDE/>
        <w:autoSpaceDN/>
        <w:bidi w:val="0"/>
        <w:adjustRightInd/>
        <w:snapToGrid/>
        <w:spacing w:before="0" w:after="0" w:line="494" w:lineRule="exact"/>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bookmarkStart w:id="19" w:name="bookmark22"/>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六</w:t>
      </w:r>
      <w:bookmarkEnd w:id="19"/>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ab/>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质量保证</w:t>
      </w:r>
    </w:p>
    <w:p>
      <w:pPr>
        <w:keepNext w:val="0"/>
        <w:keepLines w:val="0"/>
        <w:pageBreakBefore w:val="0"/>
        <w:widowControl w:val="0"/>
        <w:shd w:val="clear" w:color="auto" w:fill="auto"/>
        <w:tabs>
          <w:tab w:val="left" w:pos="1400"/>
        </w:tabs>
        <w:kinsoku/>
        <w:wordWrap/>
        <w:overflowPunct/>
        <w:topLinePunct w:val="0"/>
        <w:autoSpaceDE/>
        <w:autoSpaceDN/>
        <w:bidi w:val="0"/>
        <w:adjustRightInd/>
        <w:snapToGrid/>
        <w:spacing w:before="0" w:after="0" w:line="360" w:lineRule="auto"/>
        <w:ind w:left="240" w:leftChars="10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乙方所供产品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必须执行下列条款：</w:t>
      </w:r>
    </w:p>
    <w:p>
      <w:pPr>
        <w:keepNext w:val="0"/>
        <w:keepLines w:val="0"/>
        <w:pageBreakBefore w:val="0"/>
        <w:widowControl w:val="0"/>
        <w:shd w:val="clear" w:color="auto" w:fill="auto"/>
        <w:tabs>
          <w:tab w:val="left" w:pos="1400"/>
        </w:tabs>
        <w:kinsoku/>
        <w:wordWrap/>
        <w:overflowPunct/>
        <w:topLinePunct w:val="0"/>
        <w:autoSpaceDE/>
        <w:autoSpaceDN/>
        <w:bidi w:val="0"/>
        <w:adjustRightInd/>
        <w:snapToGrid/>
        <w:spacing w:before="0" w:after="0" w:line="360" w:lineRule="auto"/>
        <w:ind w:left="240" w:leftChars="10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（一）保证所供产品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的设计、制造、产品性能、材料的选择和材料的检验及产品的测试等，均应按国内外通行的现行标准和相应的技术规范，以及质量、安全、环保标准和要求执行，这些标准和技术规范应为合同签订日为止最新公布发行的标准和技术规范。</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0" w:name="bookmark25"/>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二）保证所供产品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技术指标先进、质量性能可靠、配置合理、进货渠道正规，全面满足竞争性谈判文件要求，是全新、未使用过的、完整的、安全可靠的产品。严禁提供旧货翻新或假冒伪劣产品或次品、残品，并完全符合强制性的国家技术质量规范和</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竞争性谈判</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文件规定的质量、规格、性能和技术规范等的要求。并能按期交付。在交付甲方前发生的风险均由乙方负责。</w:t>
      </w:r>
    </w:p>
    <w:p>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1" w:name="bookmark2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1"/>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三）保证所供产品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在装卸、运输和仓储过程中有足够的包装保护，防止产品/设备受潮、锈蚀、遭受冲撞及其他不可预见的损坏。</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2" w:name="bookmark27"/>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四）保证所供产品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适合各种安装场所的使用要求，确保达到最佳运行状态。</w:t>
      </w:r>
    </w:p>
    <w:p>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3" w:name="bookmark2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五）乙方所供产品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因侵权而产生的一切后果由乙方负责，甲方保留索赔权。</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4" w:name="bookmark2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4"/>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六）乙方提供的货物经正确安装、正常运转和保养，在其使用寿命期内须具有符合质量要求和产品说明书的性能。在货物免费质保期之内，乙方须对由于设计、工艺或材料的缺陷而发生的任何不足或故障负责。</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七</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根据甲方按检验标准自己检验结果或委托有资质的相关质检机构的检验结果，发现货物的数量、质量、规格与合同不符；或者在质量保证期内，证实货物存在缺陷，包括潜在的缺陷或使用不符合要求的材料等，甲方应尽快以书面形式通知乙方。乙方在收到通知后</w:t>
      </w:r>
      <w:r>
        <w:rPr>
          <w:rFonts w:hint="eastAsia" w:ascii="宋体" w:hAnsi="宋体" w:eastAsia="宋体" w:cs="宋体"/>
          <w:color w:val="auto"/>
          <w:spacing w:val="0"/>
          <w:w w:val="100"/>
          <w:position w:val="0"/>
          <w:sz w:val="24"/>
          <w:szCs w:val="24"/>
          <w:highlight w:val="none"/>
          <w:u w:val="single"/>
          <w:shd w:val="clear" w:color="auto" w:fill="auto"/>
          <w:lang w:val="zh-TW" w:eastAsia="zh-CN" w:bidi="zh-TW"/>
        </w:rPr>
        <w:t xml:space="preserve">    </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日内应免费维修或更换有缺陷的货物或部件。如果乙方在收到通知后</w:t>
      </w:r>
      <w:r>
        <w:rPr>
          <w:rFonts w:hint="eastAsia" w:ascii="宋体" w:hAnsi="宋体" w:eastAsia="宋体" w:cs="宋体"/>
          <w:color w:val="auto"/>
          <w:spacing w:val="0"/>
          <w:w w:val="100"/>
          <w:position w:val="0"/>
          <w:sz w:val="24"/>
          <w:szCs w:val="24"/>
          <w:highlight w:val="none"/>
          <w:u w:val="single"/>
          <w:shd w:val="clear" w:color="auto" w:fill="auto"/>
          <w:lang w:val="zh-TW"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日内没有弥补缺陷，甲方可采取必要的补救措施，但由此引发的风险和费用将由乙方承担。</w:t>
      </w:r>
    </w:p>
    <w:p>
      <w:pPr>
        <w:pStyle w:val="4"/>
        <w:spacing w:line="360" w:lineRule="auto"/>
        <w:rPr>
          <w:rFonts w:hint="eastAsia" w:ascii="宋体" w:hAnsi="宋体" w:eastAsia="宋体" w:cs="宋体"/>
          <w:lang w:val="en-US" w:eastAsia="zh-CN"/>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八</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需保证</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提供的货物</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来源渠道合法，不会有任何第三方向甲方主张任何权利。</w:t>
      </w:r>
    </w:p>
    <w:p>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pPr>
      <w:bookmarkStart w:id="25" w:name="bookmark30"/>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七</w:t>
      </w:r>
      <w:bookmarkEnd w:id="25"/>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包装和储存</w:t>
      </w:r>
    </w:p>
    <w:p>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6" w:name="bookmark31"/>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及其备附件的包装应为出厂时的原包装，包装内应附有详细的装箱清单、出厂合格证明及其他相关资料。</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7" w:name="bookmark3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7"/>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二）运输由乙方负责，运杂费已包含在合同总价内，包括从产品/设备供应地点运送至交付地点所含的运输费、装卸费、仓储费、保险费等。</w:t>
      </w:r>
    </w:p>
    <w:p>
      <w:pPr>
        <w:keepNext w:val="0"/>
        <w:keepLines w:val="0"/>
        <w:pageBreakBefore w:val="0"/>
        <w:widowControl w:val="0"/>
        <w:shd w:val="clear" w:color="auto" w:fill="auto"/>
        <w:tabs>
          <w:tab w:val="left" w:pos="140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8" w:name="bookmark3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三）运输方式由乙方自行选择，但必须保证按期交付。</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29" w:name="bookmark34"/>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2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及其备附件到达甲方指定地点后，乙方应按有关技术规程和甲方要求进行存放和保管。</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0" w:name="bookmark35"/>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3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五）乙方在货物发运前对其进行满足运输距离、防潮、防震、防锈和防破损装卸等要求包装，以保证货物安全运达甲方指定地点。</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六</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 xml:space="preserve"> 乙方负责所有产品的运输。确保产品安全、完整到达使用地点，运杂费用包含在总价内，包括产品从供货地点到使用地点的运输费、保险费、搬运费、装卸费、仓储费等。</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七</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使用说明书、质量检验证明书、随配附件和工具以及清单一并附于货物内。</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八</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乙方在货物发运手续办理完毕后24小时内或货到甲方48小时前通知甲方，以准备接货。</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九</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货物在交付甲方前发生的风险均由乙方负责。</w:t>
      </w:r>
    </w:p>
    <w:p>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货物在规定的交付期限内由乙方送达甲方指定的地点视为交付，乙方同时需通知甲方货物已送达。</w:t>
      </w:r>
    </w:p>
    <w:p>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bookmarkStart w:id="31" w:name="bookmark36"/>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八</w:t>
      </w:r>
      <w:bookmarkEnd w:id="31"/>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ab/>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验收</w:t>
      </w:r>
    </w:p>
    <w:p>
      <w:pPr>
        <w:keepNext w:val="0"/>
        <w:keepLines w:val="0"/>
        <w:pageBreakBefore w:val="0"/>
        <w:widowControl w:val="0"/>
        <w:shd w:val="clear" w:color="auto" w:fill="auto"/>
        <w:kinsoku/>
        <w:wordWrap/>
        <w:overflowPunct/>
        <w:topLinePunct w:val="0"/>
        <w:autoSpaceDE/>
        <w:autoSpaceDN/>
        <w:bidi w:val="0"/>
        <w:adjustRightInd/>
        <w:snapToGrid/>
        <w:spacing w:before="0" w:after="6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（一）外观验收：产品及其备附件到达甲方指定地点后，甲方</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根据</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合同要求，在乙方和甲方相关负责人双方同时在场的情况下，进行外观</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验收</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，确认产地、规格、型号和数量。</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2" w:name="bookmark37"/>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3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二）安装调试：乙方应配合甲方的要求，负责在现场对产品进行安装、调试和试运行。</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3" w:name="bookmark3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3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三）最终验收：产品安装调试和运行后，由乙方向甲方递交产</w:t>
      </w:r>
      <w:r>
        <w:rPr>
          <w:rFonts w:hint="eastAsia" w:ascii="宋体" w:hAnsi="宋体" w:eastAsia="宋体" w:cs="宋体"/>
          <w:color w:val="auto"/>
          <w:spacing w:val="0"/>
          <w:w w:val="100"/>
          <w:position w:val="0"/>
          <w:sz w:val="24"/>
          <w:szCs w:val="24"/>
          <w:highlight w:val="none"/>
          <w:u w:val="none"/>
          <w:shd w:val="clear" w:color="auto" w:fill="auto"/>
          <w:lang w:val="en-US" w:eastAsia="zh-CN" w:bidi="en-US"/>
        </w:rPr>
        <w:t>品</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安装调试记录和验收文件，并列出交货清单，作为甲方收货验收和使用的技术条件依据，检验的结果应随货物交甲方。经甲方确认后，组织乙方进行系统</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验收</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（必要时甲方可委托具有相关资质的第三方检测机构/技术专家对产品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进行系统验收，由此产生的相关费用由乙方承担，需要国家法定检验部门进行检验或验收的由乙方负责联系）。验收合格后，填写政府</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采</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购项目覆约验收单（一式伍份）作为对产品/设备的最终认可。政府采购项目履约</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验收单</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（原件）送采购代理机构一份。</w:t>
      </w:r>
    </w:p>
    <w:p>
      <w:pPr>
        <w:keepNext w:val="0"/>
        <w:keepLines w:val="0"/>
        <w:pageBreakBefore w:val="0"/>
        <w:widowControl w:val="0"/>
        <w:shd w:val="clear" w:color="auto" w:fill="auto"/>
        <w:tabs>
          <w:tab w:val="left" w:pos="1428"/>
        </w:tabs>
        <w:kinsoku/>
        <w:wordWrap/>
        <w:overflowPunct/>
        <w:topLinePunct w:val="0"/>
        <w:autoSpaceDE/>
        <w:autoSpaceDN/>
        <w:bidi w:val="0"/>
        <w:adjustRightInd/>
        <w:snapToGrid/>
        <w:spacing w:before="0" w:after="120" w:line="360" w:lineRule="auto"/>
        <w:ind w:left="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pPr>
      <w:bookmarkStart w:id="34" w:name="bookmark39"/>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w:t>
      </w:r>
      <w:bookmarkEnd w:id="34"/>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四）验收</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CN" w:bidi="zh-TW"/>
        </w:rPr>
        <w:t>依</w:t>
      </w:r>
      <w:r>
        <w:rPr>
          <w:rFonts w:hint="eastAsia" w:ascii="宋体" w:hAnsi="宋体" w:eastAsia="宋体" w:cs="宋体"/>
          <w:b w:val="0"/>
          <w:bCs w:val="0"/>
          <w:color w:val="auto"/>
          <w:spacing w:val="0"/>
          <w:w w:val="100"/>
          <w:position w:val="0"/>
          <w:sz w:val="24"/>
          <w:szCs w:val="24"/>
          <w:highlight w:val="none"/>
          <w:u w:val="none"/>
          <w:shd w:val="clear" w:color="auto" w:fill="auto"/>
          <w:lang w:val="zh-TW" w:eastAsia="zh-TW" w:bidi="zh-TW"/>
        </w:rPr>
        <w:t>据</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5" w:name="bookmark4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1</w:t>
      </w:r>
      <w:bookmarkEnd w:id="35"/>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、竞争性谈判文件、响应文件、澄清表（函）；</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6" w:name="bookmark41"/>
      <w:r>
        <w:rPr>
          <w:rFonts w:hint="eastAsia" w:ascii="宋体" w:hAnsi="宋体" w:eastAsia="宋体" w:cs="宋体"/>
          <w:color w:val="auto"/>
          <w:spacing w:val="0"/>
          <w:w w:val="100"/>
          <w:position w:val="0"/>
          <w:sz w:val="24"/>
          <w:szCs w:val="24"/>
          <w:highlight w:val="none"/>
          <w:u w:val="none"/>
          <w:shd w:val="clear" w:color="auto" w:fill="auto"/>
          <w:lang w:val="zh-TW" w:eastAsia="zh-TW" w:bidi="zh-TW"/>
        </w:rPr>
        <w:t>2</w:t>
      </w:r>
      <w:bookmarkEnd w:id="3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、本合同及附件文本；</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7" w:name="bookmark4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3</w:t>
      </w:r>
      <w:bookmarkEnd w:id="37"/>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、合同签订时国家及行业现行的标准和技术规范。</w:t>
      </w:r>
    </w:p>
    <w:p>
      <w:pPr>
        <w:keepNext w:val="0"/>
        <w:keepLines w:val="0"/>
        <w:pageBreakBefore w:val="0"/>
        <w:widowControl w:val="0"/>
        <w:shd w:val="clear" w:color="auto" w:fill="auto"/>
        <w:tabs>
          <w:tab w:val="left" w:pos="1410"/>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8" w:name="bookmark4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3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五）乙方应向甲方提交项目实施过程中的所有资料，以便甲方日后管理和维护。</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六</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必须符合</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竞争性谈判</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文件、采购合同以及国家规定的质量标准。</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1、</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基本要求</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1）货物为全新产品，无污染，无侵权行为、表面无划损、无任何缺陷隐患，在中国境内可依规安全合法使用。</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2）交付验收基本标准</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依次序对照适用标准为：①符合中华人民共和国国家安全质量标准、环保标准或行业标准；②符合采购文件和响应承诺中甲方认可的合理最佳配置、参数及各项要求；③货物来源国官方标准。上述标准必须是有关官方机构发布的最新版本的标准。</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3）验收由甲乙双方及相关人员依国家有关标准、合同及有关附件要求进行。乙方须为验收提供必需的相关条件及一切费用。</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4）技术资料</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fldChar w:fldCharType="begin"/>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instrText xml:space="preserve"> = 1 \* GB3 </w:instrTex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fldChar w:fldCharType="separate"/>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①</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fldChar w:fldCharType="end"/>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交货时，乙方应同时交付产品使用手册、质量检验证书（合格证）等相关资料。</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fldChar w:fldCharType="begin"/>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instrText xml:space="preserve"> = 2 \* GB3 </w:instrTex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fldChar w:fldCharType="separate"/>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②</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fldChar w:fldCharType="end"/>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验收后，乙方应向甲方提供验收报告。</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2、</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乙方必须保证提供全新的、完整的、安全可靠的产品。严禁提供旧货翻新或假冒伪劣产品或次品、残品。并且全部货物没有设计、材料或工艺上的缺陷。须提供厂家出具的合格证书、国家实行生产许可的应提交生产许可证，国家实行强制认证的应提交强制认证证书，国家实行计量检测认证的应提交计量检测体系合格证书。货物的技术参数及配置情况必须由乙方提供国家相关检测机构出具的检验报告、生产厂家公开发布的印刷资料等技术资料予以支持。</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490" w:lineRule="exact"/>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九、售后服务</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乙方提供以下售后服务：</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质保期：</w:t>
      </w:r>
      <w:r>
        <w:rPr>
          <w:rFonts w:hint="eastAsia" w:ascii="宋体" w:hAnsi="宋体" w:eastAsia="宋体" w:cs="宋体"/>
          <w:color w:val="auto"/>
          <w:spacing w:val="0"/>
          <w:w w:val="100"/>
          <w:position w:val="0"/>
          <w:sz w:val="24"/>
          <w:szCs w:val="24"/>
          <w:highlight w:val="none"/>
          <w:u w:val="single"/>
          <w:shd w:val="clear" w:color="auto" w:fill="auto"/>
          <w:lang w:val="en-US" w:eastAsia="zh-CN" w:bidi="zh-CN"/>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，若该质量保证期小于国家标准，则以国家标准为准。产品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终身维修。</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en-US"/>
        </w:rPr>
        <w:t>一</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质保期内</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售后服务必须有保障，在规定或承诺时间范围内排除故障并解决问题，在节假日期间、售后放假休息时间、工休等期间需提前告知甲方或制定应急预案，但无论何种因素，乙方均必须保证售后服务及时，确保货物在免费质保期内正常使用。</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1、</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凡</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产品</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发生质量问题或出现其他故障，接到甲方通知后，服务响应时间不超过</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小时，</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小时内派专业维修人员到达现场，</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小时内排除故障。排除故障的期限最长不得超过两个工作日，若不能按期排除故障，乙方应能够提供</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其他设备</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代用，不得因此影响甲方正常工作。</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2、</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免费提供每周</w:t>
      </w:r>
      <w:r>
        <w:rPr>
          <w:rFonts w:hint="eastAsia" w:ascii="宋体" w:hAnsi="宋体" w:eastAsia="宋体" w:cs="宋体"/>
          <w:color w:val="auto"/>
          <w:spacing w:val="0"/>
          <w:w w:val="100"/>
          <w:position w:val="0"/>
          <w:sz w:val="24"/>
          <w:szCs w:val="24"/>
          <w:highlight w:val="none"/>
          <w:u w:val="single"/>
          <w:shd w:val="clear" w:color="auto" w:fill="auto"/>
          <w:lang w:val="en-US" w:eastAsia="en-US" w:bidi="zh-TW"/>
        </w:rPr>
        <w:t>7x24</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小时不间断的电话支持服务,解答用户在使用过程中遇到的问题，及时提出解决问题的建议和对策。</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490" w:lineRule="exact"/>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3</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、定期派专业维修人员到现场走访，给予检查维护。并向甲方提供巡检单（一式两份，由双方签字确认），内容包含但不限于巡检时间、巡检内容、巡检结果。</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39" w:name="bookmark5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3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二）质保期满后</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乙方应保证</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对</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货物终身维修，维修时只收取部件成本费（免工时费），当发生故障时，乙方应按质保期内相同的服务标准进行维护处理。</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十、</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技术</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与服务</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0" w:name="bookmark5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4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一）技术资料</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1、</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合格证；</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1" w:name="bookmark55"/>
      <w:r>
        <w:rPr>
          <w:rFonts w:hint="eastAsia" w:ascii="宋体" w:hAnsi="宋体" w:eastAsia="宋体" w:cs="宋体"/>
          <w:color w:val="auto"/>
          <w:spacing w:val="0"/>
          <w:w w:val="100"/>
          <w:position w:val="0"/>
          <w:sz w:val="24"/>
          <w:szCs w:val="24"/>
          <w:highlight w:val="none"/>
          <w:u w:val="none"/>
          <w:shd w:val="clear" w:color="auto" w:fill="auto"/>
          <w:lang w:val="zh-TW" w:eastAsia="zh-TW" w:bidi="zh-TW"/>
        </w:rPr>
        <w:t>2</w:t>
      </w:r>
      <w:bookmarkEnd w:id="41"/>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技术参数；</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2" w:name="bookmark5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3</w:t>
      </w:r>
      <w:bookmarkEnd w:id="4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使用维护说明书；</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3" w:name="bookmark57"/>
      <w:r>
        <w:rPr>
          <w:rFonts w:hint="eastAsia" w:ascii="宋体" w:hAnsi="宋体" w:eastAsia="宋体" w:cs="宋体"/>
          <w:color w:val="auto"/>
          <w:spacing w:val="0"/>
          <w:w w:val="100"/>
          <w:position w:val="0"/>
          <w:sz w:val="24"/>
          <w:szCs w:val="24"/>
          <w:highlight w:val="none"/>
          <w:u w:val="none"/>
          <w:shd w:val="clear" w:color="auto" w:fill="auto"/>
          <w:lang w:val="en-US" w:eastAsia="zh-CN" w:bidi="zh-TW"/>
        </w:rPr>
        <w:t>4、</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乙方按产生文件规定的时间向甲方提供使用货物的有关技术资料。</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5、</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没有甲方事先书面同意，乙方不得将由甲方提供的有关合同或任何合同条文、规格、计划、图纸、样品或资料提供给与履行本合同无关的任何其他人。</w:t>
      </w:r>
    </w:p>
    <w:bookmarkEnd w:id="43"/>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6</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、其它资料。</w:t>
      </w:r>
    </w:p>
    <w:p>
      <w:pPr>
        <w:keepNext w:val="0"/>
        <w:keepLines w:val="0"/>
        <w:pageBreakBefore w:val="0"/>
        <w:widowControl w:val="0"/>
        <w:shd w:val="clear" w:color="auto" w:fill="auto"/>
        <w:tabs>
          <w:tab w:val="left" w:pos="140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4" w:name="bookmark5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44"/>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二）服务承诺</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以响应文件、澄清表（函）、合同和随产品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的相关文件为准。</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5" w:name="bookmark5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45"/>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三）服务要求</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1、</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所有设备均由乙方送货至甲方指定的交货地点并安装调试好，安装调试应以本需求书要求的技术参数指标为标准。</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2、</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所有货物交货后的拆箱、安装、调试等项工作(包括其费用)由乙方负责，但必须在用户指定人员的参与下进行。调试的原始记录需经各方签字后作为验收的文件之一。</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3、</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乙方应提供包括但不限于满足设备安装、使用和维护的技术文件。</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4、</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应按出厂标准及国家有关要求进行包装及运输。</w:t>
      </w:r>
    </w:p>
    <w:p>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position w:val="0"/>
          <w:sz w:val="24"/>
          <w:szCs w:val="24"/>
          <w:highlight w:val="none"/>
          <w:u w:val="none"/>
          <w:shd w:val="clear" w:color="auto" w:fill="auto"/>
          <w:lang w:val="en-US" w:eastAsia="zh-CN" w:bidi="en-US"/>
        </w:rPr>
        <w:t>十一、违约</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责任</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en-US" w:eastAsia="zh-CN" w:bidi="en-US"/>
        </w:rPr>
        <w:t>一</w:t>
      </w:r>
      <w:r>
        <w:rPr>
          <w:rFonts w:hint="eastAsia" w:ascii="宋体" w:hAnsi="宋体" w:eastAsia="宋体" w:cs="宋体"/>
          <w:color w:val="auto"/>
          <w:spacing w:val="0"/>
          <w:w w:val="100"/>
          <w:position w:val="0"/>
          <w:sz w:val="24"/>
          <w:szCs w:val="24"/>
          <w:highlight w:val="none"/>
          <w:u w:val="none"/>
          <w:shd w:val="clear" w:color="auto" w:fill="auto"/>
          <w:lang w:val="en-US" w:eastAsia="en-US" w:bidi="en-US"/>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合同中未约定的，按《民法典》中的相关条款执行。</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（二）未按合同要求提供产品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或产品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质量不能满足合同要求，甲方应当将乙方违约的情况以及拟采取的措施以书面形式报政府</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采</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购监管部门，根据政府采购监管部门的处理意见，甲方有权</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依</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据《民法典》有关条款及合同约定解除合同，乙方应向甲方支付合同总价款</w:t>
      </w:r>
      <w:r>
        <w:rPr>
          <w:rFonts w:hint="eastAsia" w:ascii="宋体" w:hAnsi="宋体" w:eastAsia="宋体" w:cs="宋体"/>
          <w:color w:val="auto"/>
          <w:spacing w:val="0"/>
          <w:w w:val="100"/>
          <w:position w:val="0"/>
          <w:sz w:val="24"/>
          <w:szCs w:val="24"/>
          <w:highlight w:val="none"/>
          <w:u w:val="single"/>
          <w:shd w:val="clear" w:color="auto" w:fill="auto"/>
          <w:lang w:val="en-US" w:eastAsia="zh-CN" w:bidi="zh-CN"/>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％的违约金。同时，政府采购监管部门有权</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依</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据《政府采购法》及相关法律法规对乙方的违法行为进行相应的处罚。</w:t>
      </w:r>
    </w:p>
    <w:p>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6" w:name="bookmark6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4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三）乙方逾期交付产品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的（包括返修、更换、补交等），应当自逾期之日起每日按逾期交付部分价款总额的</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%向甲方支付违约金。若因乙方原因逾期交货超过</w:t>
      </w:r>
    </w:p>
    <w:p>
      <w:pPr>
        <w:keepNext w:val="0"/>
        <w:keepLines w:val="0"/>
        <w:pageBreakBefore w:val="0"/>
        <w:widowControl w:val="0"/>
        <w:shd w:val="clear" w:color="auto" w:fill="auto"/>
        <w:tabs>
          <w:tab w:val="left" w:pos="1448"/>
          <w:tab w:val="left" w:pos="3629"/>
          <w:tab w:val="left" w:pos="6144"/>
        </w:tabs>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single"/>
          <w:shd w:val="clear" w:color="auto" w:fill="auto"/>
          <w:lang w:val="en-US" w:eastAsia="zh-CN" w:bidi="zh-CN"/>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天的，甲方有权拒收并解除本合同，且乙方应向甲方支付合同总价款</w:t>
      </w:r>
      <w:r>
        <w:rPr>
          <w:rFonts w:hint="eastAsia" w:ascii="宋体" w:hAnsi="宋体" w:eastAsia="宋体" w:cs="宋体"/>
          <w:color w:val="auto"/>
          <w:spacing w:val="0"/>
          <w:w w:val="100"/>
          <w:position w:val="0"/>
          <w:sz w:val="24"/>
          <w:szCs w:val="24"/>
          <w:highlight w:val="none"/>
          <w:u w:val="single"/>
          <w:shd w:val="clear" w:color="auto" w:fill="auto"/>
          <w:lang w:val="zh-TW" w:eastAsia="zh-TW" w:bidi="zh-TW"/>
        </w:rPr>
        <w:tab/>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%的违约金。</w:t>
      </w:r>
    </w:p>
    <w:p>
      <w:pPr>
        <w:keepNext w:val="0"/>
        <w:keepLines w:val="0"/>
        <w:pageBreakBefore w:val="0"/>
        <w:widowControl w:val="0"/>
        <w:shd w:val="clear" w:color="auto" w:fill="auto"/>
        <w:tabs>
          <w:tab w:val="left" w:pos="144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7" w:name="bookmark6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47"/>
      <w:r>
        <w:rPr>
          <w:rFonts w:hint="eastAsia" w:ascii="宋体" w:hAnsi="宋体" w:eastAsia="宋体" w:cs="宋体"/>
          <w:color w:val="auto"/>
          <w:spacing w:val="0"/>
          <w:w w:val="100"/>
          <w:position w:val="0"/>
          <w:sz w:val="24"/>
          <w:szCs w:val="24"/>
          <w:highlight w:val="none"/>
          <w:u w:val="none"/>
          <w:shd w:val="clear" w:color="auto" w:fill="auto"/>
          <w:lang w:val="en-US" w:eastAsia="zh-CN" w:bidi="zh-TW"/>
        </w:rPr>
        <w:t>四</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）如乙方所交的产品</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设备</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经甲方验收不符合合同约定或规定标准的，甲方有权拒收，乙方应当在甲方指定期限内更换，由此导致乙方逾期交货的，乙方还应承担逾期交货的违约责任。</w:t>
      </w:r>
    </w:p>
    <w:p>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8" w:name="bookmark6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48"/>
      <w:r>
        <w:rPr>
          <w:rFonts w:hint="eastAsia" w:ascii="宋体" w:hAnsi="宋体" w:eastAsia="宋体" w:cs="宋体"/>
          <w:color w:val="auto"/>
          <w:spacing w:val="0"/>
          <w:w w:val="100"/>
          <w:position w:val="0"/>
          <w:sz w:val="24"/>
          <w:szCs w:val="24"/>
          <w:highlight w:val="none"/>
          <w:u w:val="none"/>
          <w:shd w:val="clear" w:color="auto" w:fill="auto"/>
          <w:lang w:val="en-US" w:eastAsia="zh-CN" w:bidi="zh-TW"/>
        </w:rPr>
        <w:t>五</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）本合同中各条款约定的违约金可自甲方未支付款项中直接扣除，违约金若不能弥补甲方损失的，乙方还应赔偿甲方损失。</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pP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十二、</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争议解决</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49" w:name="bookmark65"/>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49"/>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一）本合同在履行过程中发生的争议，由甲、乙双方当事人协商解决，协商不成的按下列第</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2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种方式解决：</w:t>
      </w:r>
    </w:p>
    <w:p>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0" w:name="bookmark6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1</w:t>
      </w:r>
      <w:bookmarkEnd w:id="50"/>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、提交西安仲裁委员会仲裁；</w:t>
      </w:r>
    </w:p>
    <w:p>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1" w:name="bookmark67"/>
      <w:bookmarkEnd w:id="51"/>
      <w:r>
        <w:rPr>
          <w:rFonts w:hint="eastAsia" w:ascii="宋体" w:hAnsi="宋体" w:eastAsia="宋体" w:cs="宋体"/>
          <w:color w:val="auto"/>
          <w:spacing w:val="0"/>
          <w:w w:val="100"/>
          <w:position w:val="0"/>
          <w:sz w:val="24"/>
          <w:szCs w:val="24"/>
          <w:highlight w:val="none"/>
          <w:u w:val="none"/>
          <w:shd w:val="clear" w:color="auto" w:fill="auto"/>
          <w:lang w:val="en-US" w:eastAsia="zh-CN" w:bidi="zh-TW"/>
        </w:rPr>
        <w:t>2、</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依</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法向甲方所在地人民法院起诉。</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2" w:name="bookmark6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52"/>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二）本条款为独立条款，本合同的无效、变更、解除和终止均不影响本条款的效力。</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olor w:val="auto"/>
          <w:spacing w:val="0"/>
          <w:w w:val="100"/>
          <w:kern w:val="0"/>
          <w:position w:val="0"/>
          <w:sz w:val="24"/>
          <w:szCs w:val="24"/>
          <w:highlight w:val="none"/>
          <w:u w:val="none"/>
          <w:shd w:val="clear" w:color="auto" w:fill="auto"/>
          <w:lang w:val="en-US" w:eastAsia="zh-CN" w:bidi="zh-TW"/>
        </w:rPr>
      </w:pPr>
      <w:r>
        <w:rPr>
          <w:rFonts w:hint="eastAsia" w:ascii="宋体" w:hAnsi="宋体" w:eastAsia="宋体" w:cs="宋体"/>
          <w:b/>
          <w:bCs/>
          <w:color w:val="auto"/>
          <w:spacing w:val="0"/>
          <w:w w:val="100"/>
          <w:kern w:val="0"/>
          <w:position w:val="0"/>
          <w:sz w:val="24"/>
          <w:szCs w:val="24"/>
          <w:highlight w:val="none"/>
          <w:u w:val="none"/>
          <w:shd w:val="clear" w:color="auto" w:fill="auto"/>
          <w:lang w:val="zh-TW" w:eastAsia="zh-TW" w:bidi="zh-TW"/>
        </w:rPr>
        <w:t>十</w:t>
      </w:r>
      <w:r>
        <w:rPr>
          <w:rFonts w:hint="eastAsia" w:ascii="宋体" w:hAnsi="宋体" w:eastAsia="宋体" w:cs="宋体"/>
          <w:b/>
          <w:bCs/>
          <w:color w:val="auto"/>
          <w:spacing w:val="0"/>
          <w:w w:val="100"/>
          <w:kern w:val="0"/>
          <w:position w:val="0"/>
          <w:sz w:val="24"/>
          <w:szCs w:val="24"/>
          <w:highlight w:val="none"/>
          <w:u w:val="none"/>
          <w:shd w:val="clear" w:color="auto" w:fill="auto"/>
          <w:lang w:val="en-US" w:eastAsia="zh-CN" w:bidi="zh-TW"/>
        </w:rPr>
        <w:t>三</w:t>
      </w:r>
      <w:r>
        <w:rPr>
          <w:rFonts w:hint="eastAsia" w:ascii="宋体" w:hAnsi="宋体" w:eastAsia="宋体" w:cs="宋体"/>
          <w:b/>
          <w:bCs/>
          <w:color w:val="auto"/>
          <w:spacing w:val="0"/>
          <w:w w:val="100"/>
          <w:kern w:val="0"/>
          <w:position w:val="0"/>
          <w:sz w:val="24"/>
          <w:szCs w:val="24"/>
          <w:highlight w:val="none"/>
          <w:u w:val="none"/>
          <w:shd w:val="clear" w:color="auto" w:fill="auto"/>
          <w:lang w:val="zh-TW" w:eastAsia="zh-TW" w:bidi="zh-TW"/>
        </w:rPr>
        <w:t>、</w:t>
      </w:r>
      <w:r>
        <w:rPr>
          <w:rFonts w:hint="eastAsia" w:ascii="宋体" w:hAnsi="宋体" w:eastAsia="宋体" w:cs="宋体"/>
          <w:b/>
          <w:bCs/>
          <w:color w:val="auto"/>
          <w:spacing w:val="0"/>
          <w:w w:val="100"/>
          <w:kern w:val="0"/>
          <w:position w:val="0"/>
          <w:sz w:val="24"/>
          <w:szCs w:val="24"/>
          <w:highlight w:val="none"/>
          <w:u w:val="none"/>
          <w:shd w:val="clear" w:color="auto" w:fill="auto"/>
          <w:lang w:val="en-US" w:eastAsia="zh-CN" w:bidi="zh-TW"/>
        </w:rPr>
        <w:t>合同纠纷处理</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因本合同或与本合同有关的一切事项发生争议，由双方友好协商解决。协商不成的，向</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甲方所在地</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人民法院提起诉讼。</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因一方违约致使本合同的履行产生争议，守约方为解决争议所产生的公证费、律师费、保险公司出具保全费用、翻译费、通讯费、差旅费、文印费等合理费用由违约方负担。双方相互违约，有履约先后顺序的，负先履行义务一方负担所有争议解决费用；无履约先后顺序的，争议解决费用双方自行承担。</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olor w:val="auto"/>
          <w:spacing w:val="0"/>
          <w:w w:val="100"/>
          <w:kern w:val="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kern w:val="0"/>
          <w:position w:val="0"/>
          <w:sz w:val="24"/>
          <w:szCs w:val="24"/>
          <w:highlight w:val="none"/>
          <w:u w:val="none"/>
          <w:shd w:val="clear" w:color="auto" w:fill="auto"/>
          <w:lang w:val="en-US" w:eastAsia="zh-CN" w:bidi="zh-TW"/>
        </w:rPr>
        <w:t>十四、</w:t>
      </w:r>
      <w:r>
        <w:rPr>
          <w:rFonts w:hint="eastAsia" w:ascii="宋体" w:hAnsi="宋体" w:eastAsia="宋体" w:cs="宋体"/>
          <w:b/>
          <w:bCs/>
          <w:color w:val="auto"/>
          <w:spacing w:val="0"/>
          <w:w w:val="100"/>
          <w:kern w:val="0"/>
          <w:position w:val="0"/>
          <w:sz w:val="24"/>
          <w:szCs w:val="24"/>
          <w:highlight w:val="none"/>
          <w:u w:val="none"/>
          <w:shd w:val="clear" w:color="auto" w:fill="auto"/>
          <w:lang w:val="zh-TW" w:eastAsia="zh-TW" w:bidi="zh-TW"/>
        </w:rPr>
        <w:t>违约解除合同</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在乙方违约的情况下，甲方可向乙方发出书面通知，部分或全部终止合同，同时保留向对方追诉的权利。</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乙方未能在合同规定的限期或甲方同意延长的限期内提供全部或部分货物，</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甲方</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可以解除合同的。</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乙方有转让和未经甲方同意的分包行为，可以解除合同的。</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乙方未能履行合同规定的其它主要义务的。</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在本合同履行过程中有腐败和欺诈行为的。</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全部或部分解除合同之后，应当遵循诚实信用原则，全部或部分购买与未交付的货物类似的货物或服务，乙方应承担甲方购买类似货物或服务而产生的额外支出。部分解除合同的，乙方应继续履行合同中未解除的部分。</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olor w:val="auto"/>
          <w:spacing w:val="0"/>
          <w:w w:val="100"/>
          <w:kern w:val="0"/>
          <w:position w:val="0"/>
          <w:sz w:val="24"/>
          <w:szCs w:val="24"/>
          <w:highlight w:val="none"/>
          <w:u w:val="none"/>
          <w:shd w:val="clear" w:color="auto" w:fill="auto"/>
          <w:lang w:val="en-US" w:eastAsia="zh-CN" w:bidi="zh-TW"/>
        </w:rPr>
      </w:pPr>
      <w:r>
        <w:rPr>
          <w:rFonts w:hint="eastAsia" w:ascii="宋体" w:hAnsi="宋体" w:eastAsia="宋体" w:cs="宋体"/>
          <w:b/>
          <w:bCs/>
          <w:color w:val="auto"/>
          <w:spacing w:val="0"/>
          <w:w w:val="100"/>
          <w:kern w:val="0"/>
          <w:position w:val="0"/>
          <w:sz w:val="24"/>
          <w:szCs w:val="24"/>
          <w:highlight w:val="none"/>
          <w:u w:val="none"/>
          <w:shd w:val="clear" w:color="auto" w:fill="auto"/>
          <w:lang w:val="en-US" w:eastAsia="zh-CN" w:bidi="zh-TW"/>
        </w:rPr>
        <w:t>十五、索赔</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 如果货物的质量、规格、数量、重量等与合同不符，或在质保期内证实货物存有缺陷，包括潜在的缺陷或使用不符合要求的材料等，甲方有权根据有资质的权威质检机构的检验结果向乙方提出索赔(但责任应由保险公司或运输部门承担的除外)。</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在根据合同规定的检验期和质保期内，如果乙方对甲方提出的索赔负有责任，乙方应按照甲方同意的下列一种或多种方式解决索赔事宜：</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甲方将货物款退还给乙方，乙方按合同规定将货款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根据货物低劣程度、损坏程度以及甲方所遭受损失的数额，经双方商定降低货物的价格，或由有权的部门评估，以降低后的价格或评估价格为准。</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用符合规格、质量和性能要求的新零件、部件或货物来更换有缺陷的部分或修补缺陷部分，乙方承担一切费用和风险并负担甲方所发生的一切直接费用。同时，乙方应相应延长修补或更换件的免费质保期。</w:t>
      </w:r>
    </w:p>
    <w:p>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如果在甲方发出索赔通知后</w:t>
      </w:r>
      <w:r>
        <w:rPr>
          <w:rFonts w:hint="eastAsia" w:ascii="宋体" w:hAnsi="宋体" w:eastAsia="宋体" w:cs="宋体"/>
          <w:color w:val="auto"/>
          <w:spacing w:val="0"/>
          <w:w w:val="100"/>
          <w:position w:val="0"/>
          <w:sz w:val="24"/>
          <w:szCs w:val="24"/>
          <w:highlight w:val="none"/>
          <w:u w:val="single"/>
          <w:shd w:val="clear" w:color="auto" w:fill="auto"/>
          <w:lang w:val="zh-TW"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日内，乙方未作答复，上述索赔应视为已被乙方接受。如乙方未能在甲方提出索赔通知后</w:t>
      </w:r>
      <w:r>
        <w:rPr>
          <w:rFonts w:hint="eastAsia" w:ascii="宋体" w:hAnsi="宋体" w:eastAsia="宋体" w:cs="宋体"/>
          <w:color w:val="auto"/>
          <w:spacing w:val="0"/>
          <w:w w:val="100"/>
          <w:position w:val="0"/>
          <w:sz w:val="24"/>
          <w:szCs w:val="24"/>
          <w:highlight w:val="none"/>
          <w:u w:val="single"/>
          <w:shd w:val="clear" w:color="auto" w:fill="auto"/>
          <w:lang w:val="zh-TW"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日内或买方同意的更长时间内，按照本合同规定的任何一种方法解决索赔事宜，甲方将从合同款中扣回索赔金额。如果这些金额不足以补偿索赔金额，甲方有权向乙方提出不足部分的补偿。</w:t>
      </w:r>
    </w:p>
    <w:p>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十</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六</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、合同变更</w:t>
      </w:r>
    </w:p>
    <w:p>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CN" w:bidi="zh-TW"/>
        </w:rPr>
      </w:pP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十</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七</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、合同</w:t>
      </w: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生效</w:t>
      </w:r>
    </w:p>
    <w:p>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本合同一式</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份，甲方持</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份，乙方持</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份，本合同甲、乙各方签字并盖章后生效，合同执行完毕后，自动失效（合同的服务承诺则长期有效）。</w:t>
      </w:r>
    </w:p>
    <w:p>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2" w:firstLineChars="200"/>
        <w:jc w:val="both"/>
        <w:textAlignment w:val="auto"/>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bCs/>
          <w:color w:val="auto"/>
          <w:spacing w:val="0"/>
          <w:w w:val="100"/>
          <w:position w:val="0"/>
          <w:sz w:val="24"/>
          <w:szCs w:val="24"/>
          <w:highlight w:val="none"/>
          <w:u w:val="none"/>
          <w:shd w:val="clear" w:color="auto" w:fill="auto"/>
          <w:lang w:val="en-US" w:eastAsia="zh-CN" w:bidi="zh-TW"/>
        </w:rPr>
        <w:t>十八、</w:t>
      </w:r>
      <w:r>
        <w:rPr>
          <w:rFonts w:hint="eastAsia" w:ascii="宋体" w:hAnsi="宋体" w:eastAsia="宋体" w:cs="宋体"/>
          <w:b/>
          <w:bCs/>
          <w:color w:val="auto"/>
          <w:spacing w:val="0"/>
          <w:w w:val="100"/>
          <w:position w:val="0"/>
          <w:sz w:val="24"/>
          <w:szCs w:val="24"/>
          <w:highlight w:val="none"/>
          <w:u w:val="none"/>
          <w:shd w:val="clear" w:color="auto" w:fill="auto"/>
          <w:lang w:val="zh-TW" w:eastAsia="zh-TW" w:bidi="zh-TW"/>
        </w:rPr>
        <w:t>其他事项</w:t>
      </w:r>
    </w:p>
    <w:p>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3" w:name="bookmark7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53"/>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一）鉴证方作为</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社会</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采购代理机构对合同进行确认。</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12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4" w:name="bookmark74"/>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54"/>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二）西安市碑林区财政局在合同的履行期间以及履行期后，可以随时检查项目的执行情况，对采购标准、</w:t>
      </w:r>
      <w:r>
        <w:rPr>
          <w:rFonts w:hint="eastAsia" w:ascii="宋体" w:hAnsi="宋体" w:eastAsia="宋体" w:cs="宋体"/>
          <w:color w:val="auto"/>
          <w:spacing w:val="0"/>
          <w:w w:val="100"/>
          <w:position w:val="0"/>
          <w:sz w:val="24"/>
          <w:szCs w:val="24"/>
          <w:highlight w:val="none"/>
          <w:u w:val="none"/>
          <w:shd w:val="clear" w:color="auto" w:fill="auto"/>
          <w:lang w:val="zh-TW" w:eastAsia="zh-CN" w:bidi="zh-TW"/>
        </w:rPr>
        <w:t>采</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购内容进行调查核实，并对发现的问题进行处理。</w:t>
      </w:r>
      <w:bookmarkStart w:id="55" w:name="bookmark75"/>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12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55"/>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三）竞争性谈判文件、响应文件、澄清表（函）、成交通知书、合同附件均成为合同不可分割的部分。</w:t>
      </w:r>
    </w:p>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0" w:line="360" w:lineRule="auto"/>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6" w:name="bookmark76"/>
      <w:bookmarkStart w:id="58" w:name="_GoBack"/>
      <w:bookmarkEnd w:id="58"/>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56"/>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四）不可抗力事件处理</w:t>
      </w:r>
    </w:p>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0" w:line="360" w:lineRule="auto"/>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（1）</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甲乙双方因不可抗力导致本合同全部或部分不能履行时，发生不可抗力的一方应当在不可抗力发生后</w:t>
      </w: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天内书面通知对方，以减轻可能给对方造成的损失。因不可抗力导致本合同全部或部分不能履行时，双方各自承担其因此而造成的损失、损害。</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12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zh-CN"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2）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pPr>
        <w:keepNext w:val="0"/>
        <w:keepLines w:val="0"/>
        <w:pageBreakBefore w:val="0"/>
        <w:widowControl w:val="0"/>
        <w:shd w:val="clear" w:color="auto" w:fill="auto"/>
        <w:tabs>
          <w:tab w:val="left" w:pos="1419"/>
        </w:tabs>
        <w:kinsoku/>
        <w:wordWrap/>
        <w:overflowPunct/>
        <w:topLinePunct w:val="0"/>
        <w:autoSpaceDE/>
        <w:autoSpaceDN/>
        <w:bidi w:val="0"/>
        <w:adjustRightInd/>
        <w:snapToGrid/>
        <w:spacing w:before="0" w:after="120" w:line="360" w:lineRule="auto"/>
        <w:ind w:left="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en-US" w:eastAsia="zh-CN" w:bidi="zh-TW"/>
        </w:rPr>
      </w:pPr>
      <w:r>
        <w:rPr>
          <w:rFonts w:hint="eastAsia" w:ascii="宋体" w:hAnsi="宋体" w:eastAsia="宋体" w:cs="宋体"/>
          <w:color w:val="auto"/>
          <w:spacing w:val="0"/>
          <w:w w:val="100"/>
          <w:position w:val="0"/>
          <w:sz w:val="24"/>
          <w:szCs w:val="24"/>
          <w:highlight w:val="none"/>
          <w:u w:val="none"/>
          <w:shd w:val="clear" w:color="auto" w:fill="auto"/>
          <w:lang w:val="en-US" w:eastAsia="zh-CN" w:bidi="zh-TW"/>
        </w:rPr>
        <w:t>（3）本合同中的不可抗力指不能预见、不能避免并不能克服的客观情况。包括但不限于：自然灾害如地震、台风、洪水、火灾；政府行为、法律规定或其适用的变化或者其他任何无法预见、避免或者控制的事件。</w:t>
      </w:r>
    </w:p>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360" w:lineRule="auto"/>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bookmarkStart w:id="57" w:name="bookmark77"/>
      <w:r>
        <w:rPr>
          <w:rFonts w:hint="eastAsia" w:ascii="宋体" w:hAnsi="宋体" w:eastAsia="宋体" w:cs="宋体"/>
          <w:color w:val="auto"/>
          <w:spacing w:val="0"/>
          <w:w w:val="100"/>
          <w:position w:val="0"/>
          <w:sz w:val="24"/>
          <w:szCs w:val="24"/>
          <w:highlight w:val="none"/>
          <w:u w:val="none"/>
          <w:shd w:val="clear" w:color="auto" w:fill="auto"/>
          <w:lang w:val="zh-TW" w:eastAsia="zh-TW" w:bidi="zh-TW"/>
        </w:rPr>
        <w:t>（</w:t>
      </w:r>
      <w:bookmarkEnd w:id="57"/>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五）合同未尽事宜，由甲、乙双方协商并经鉴证方确认后签订政府采购补充合同，与原合同具有同等法律效力。</w:t>
      </w:r>
    </w:p>
    <w:p>
      <w:pPr>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br w:type="page"/>
      </w:r>
    </w:p>
    <w:p>
      <w:pPr>
        <w:pStyle w:val="4"/>
        <w:rPr>
          <w:rFonts w:hint="eastAsia" w:ascii="宋体" w:hAnsi="宋体" w:eastAsia="宋体" w:cs="宋体"/>
          <w:sz w:val="24"/>
          <w:szCs w:val="24"/>
          <w:lang w:val="zh-TW" w:eastAsia="zh-CN"/>
        </w:rPr>
      </w:pP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本页无正文</w:t>
      </w:r>
      <w:r>
        <w:rPr>
          <w:rFonts w:hint="eastAsia" w:ascii="宋体" w:hAnsi="宋体" w:eastAsia="宋体" w:cs="宋体"/>
          <w:sz w:val="24"/>
          <w:szCs w:val="24"/>
          <w:lang w:val="zh-TW" w:eastAsia="zh-CN"/>
        </w:rPr>
        <w:t>）</w:t>
      </w:r>
    </w:p>
    <w:tbl>
      <w:tblPr>
        <w:tblStyle w:val="5"/>
        <w:tblW w:w="8379" w:type="dxa"/>
        <w:jc w:val="center"/>
        <w:tblLayout w:type="fixed"/>
        <w:tblCellMar>
          <w:top w:w="0" w:type="dxa"/>
          <w:left w:w="10" w:type="dxa"/>
          <w:bottom w:w="0" w:type="dxa"/>
          <w:right w:w="10" w:type="dxa"/>
        </w:tblCellMar>
      </w:tblPr>
      <w:tblGrid>
        <w:gridCol w:w="2688"/>
        <w:gridCol w:w="2700"/>
        <w:gridCol w:w="2991"/>
      </w:tblGrid>
      <w:tr>
        <w:tblPrEx>
          <w:tblCellMar>
            <w:top w:w="0" w:type="dxa"/>
            <w:left w:w="10" w:type="dxa"/>
            <w:bottom w:w="0" w:type="dxa"/>
            <w:right w:w="10" w:type="dxa"/>
          </w:tblCellMar>
        </w:tblPrEx>
        <w:trPr>
          <w:trHeight w:val="535" w:hRule="exact"/>
          <w:jc w:val="center"/>
        </w:trPr>
        <w:tc>
          <w:tcPr>
            <w:tcW w:w="2688"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甲方</w:t>
            </w: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960" w:firstLineChars="4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乙方</w:t>
            </w:r>
          </w:p>
        </w:tc>
        <w:tc>
          <w:tcPr>
            <w:tcW w:w="2991"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1200" w:firstLineChars="5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鉴证方</w:t>
            </w:r>
          </w:p>
        </w:tc>
      </w:tr>
      <w:tr>
        <w:tblPrEx>
          <w:tblCellMar>
            <w:top w:w="0" w:type="dxa"/>
            <w:left w:w="10" w:type="dxa"/>
            <w:bottom w:w="0" w:type="dxa"/>
            <w:right w:w="10" w:type="dxa"/>
          </w:tblCellMar>
        </w:tblPrEx>
        <w:trPr>
          <w:trHeight w:val="554" w:hRule="exact"/>
          <w:jc w:val="center"/>
        </w:trPr>
        <w:tc>
          <w:tcPr>
            <w:tcW w:w="2688"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采购人名称</w:t>
            </w: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供应商全称</w:t>
            </w:r>
          </w:p>
        </w:tc>
        <w:tc>
          <w:tcPr>
            <w:tcW w:w="2991" w:type="dxa"/>
            <w:tcBorders>
              <w:top w:val="single" w:color="auto" w:sz="4" w:space="0"/>
              <w:left w:val="single" w:color="auto" w:sz="4" w:space="0"/>
              <w:bottom w:val="nil"/>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720" w:firstLineChars="3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采购代理机构</w:t>
            </w:r>
          </w:p>
        </w:tc>
      </w:tr>
      <w:tr>
        <w:tblPrEx>
          <w:tblCellMar>
            <w:top w:w="0" w:type="dxa"/>
            <w:left w:w="10" w:type="dxa"/>
            <w:bottom w:w="0" w:type="dxa"/>
            <w:right w:w="10" w:type="dxa"/>
          </w:tblCellMar>
        </w:tblPrEx>
        <w:trPr>
          <w:trHeight w:val="859" w:hRule="exact"/>
          <w:jc w:val="center"/>
        </w:trPr>
        <w:tc>
          <w:tcPr>
            <w:tcW w:w="2688" w:type="dxa"/>
            <w:tcBorders>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c>
          <w:tcPr>
            <w:tcW w:w="2700" w:type="dxa"/>
            <w:tcBorders>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c>
          <w:tcPr>
            <w:tcW w:w="2991" w:type="dxa"/>
            <w:tcBorders>
              <w:top w:val="nil"/>
              <w:left w:val="single" w:color="auto" w:sz="4" w:space="0"/>
              <w:bottom w:val="nil"/>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陕西四方衡裕项目管理有限公司</w:t>
            </w:r>
          </w:p>
        </w:tc>
      </w:tr>
      <w:tr>
        <w:tblPrEx>
          <w:tblCellMar>
            <w:top w:w="0" w:type="dxa"/>
            <w:left w:w="10" w:type="dxa"/>
            <w:bottom w:w="0" w:type="dxa"/>
            <w:right w:w="10" w:type="dxa"/>
          </w:tblCellMar>
        </w:tblPrEx>
        <w:trPr>
          <w:trHeight w:val="432" w:hRule="exact"/>
          <w:jc w:val="center"/>
        </w:trPr>
        <w:tc>
          <w:tcPr>
            <w:tcW w:w="2688" w:type="dxa"/>
            <w:tcBorders>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（盖章）</w:t>
            </w:r>
          </w:p>
        </w:tc>
        <w:tc>
          <w:tcPr>
            <w:tcW w:w="2700" w:type="dxa"/>
            <w:tcBorders>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（盖章）</w:t>
            </w:r>
          </w:p>
        </w:tc>
        <w:tc>
          <w:tcPr>
            <w:tcW w:w="2991" w:type="dxa"/>
            <w:tcBorders>
              <w:top w:val="nil"/>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center"/>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（盖章）</w:t>
            </w:r>
          </w:p>
        </w:tc>
      </w:tr>
      <w:tr>
        <w:tblPrEx>
          <w:tblCellMar>
            <w:top w:w="0" w:type="dxa"/>
            <w:left w:w="10" w:type="dxa"/>
            <w:bottom w:w="0" w:type="dxa"/>
            <w:right w:w="10" w:type="dxa"/>
          </w:tblCellMar>
        </w:tblPrEx>
        <w:trPr>
          <w:trHeight w:val="930" w:hRule="exact"/>
          <w:jc w:val="center"/>
        </w:trPr>
        <w:tc>
          <w:tcPr>
            <w:tcW w:w="2688" w:type="dxa"/>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地址：</w:t>
            </w:r>
          </w:p>
        </w:tc>
        <w:tc>
          <w:tcPr>
            <w:tcW w:w="2700" w:type="dxa"/>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地址：</w:t>
            </w:r>
          </w:p>
        </w:tc>
        <w:tc>
          <w:tcPr>
            <w:tcW w:w="299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地址：</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ab/>
            </w:r>
          </w:p>
        </w:tc>
      </w:tr>
      <w:tr>
        <w:tblPrEx>
          <w:tblCellMar>
            <w:top w:w="0" w:type="dxa"/>
            <w:left w:w="10" w:type="dxa"/>
            <w:bottom w:w="0" w:type="dxa"/>
            <w:right w:w="10" w:type="dxa"/>
          </w:tblCellMar>
        </w:tblPrEx>
        <w:trPr>
          <w:trHeight w:val="720" w:hRule="exact"/>
          <w:jc w:val="center"/>
        </w:trPr>
        <w:tc>
          <w:tcPr>
            <w:tcW w:w="2688"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邮编：</w:t>
            </w: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邮编：</w:t>
            </w:r>
          </w:p>
        </w:tc>
        <w:tc>
          <w:tcPr>
            <w:tcW w:w="2991" w:type="dxa"/>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邮编：</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ab/>
            </w:r>
          </w:p>
        </w:tc>
      </w:tr>
      <w:tr>
        <w:tblPrEx>
          <w:tblCellMar>
            <w:top w:w="0" w:type="dxa"/>
            <w:left w:w="10" w:type="dxa"/>
            <w:bottom w:w="0" w:type="dxa"/>
            <w:right w:w="10" w:type="dxa"/>
          </w:tblCellMar>
        </w:tblPrEx>
        <w:trPr>
          <w:trHeight w:val="711" w:hRule="exact"/>
          <w:jc w:val="center"/>
        </w:trPr>
        <w:tc>
          <w:tcPr>
            <w:tcW w:w="2688"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法定代表人：</w:t>
            </w: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法定代表人：</w:t>
            </w:r>
          </w:p>
        </w:tc>
        <w:tc>
          <w:tcPr>
            <w:tcW w:w="2991" w:type="dxa"/>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leftChars="0" w:right="0" w:rightChars="0" w:firstLine="480" w:firstLineChars="200"/>
              <w:jc w:val="both"/>
              <w:textAlignment w:val="auto"/>
              <w:rPr>
                <w:rFonts w:hint="eastAsia" w:ascii="宋体" w:hAnsi="宋体" w:eastAsia="宋体" w:cs="宋体"/>
                <w:color w:val="auto"/>
                <w:spacing w:val="0"/>
                <w:w w:val="100"/>
                <w:kern w:val="2"/>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承办人（签字）:</w:t>
            </w:r>
          </w:p>
        </w:tc>
      </w:tr>
      <w:tr>
        <w:tblPrEx>
          <w:tblCellMar>
            <w:top w:w="0" w:type="dxa"/>
            <w:left w:w="10" w:type="dxa"/>
            <w:bottom w:w="0" w:type="dxa"/>
            <w:right w:w="10" w:type="dxa"/>
          </w:tblCellMar>
        </w:tblPrEx>
        <w:trPr>
          <w:trHeight w:val="711" w:hRule="exact"/>
          <w:jc w:val="center"/>
        </w:trPr>
        <w:tc>
          <w:tcPr>
            <w:tcW w:w="2688" w:type="dxa"/>
            <w:tcBorders>
              <w:lef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c>
          <w:tcPr>
            <w:tcW w:w="2700" w:type="dxa"/>
            <w:tcBorders>
              <w:lef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c>
          <w:tcPr>
            <w:tcW w:w="2991" w:type="dxa"/>
            <w:tcBorders>
              <w:left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leftChars="0" w:right="0" w:rightChars="0" w:firstLine="480" w:firstLineChars="200"/>
              <w:jc w:val="both"/>
              <w:textAlignment w:val="auto"/>
              <w:rPr>
                <w:rFonts w:hint="eastAsia" w:ascii="宋体" w:hAnsi="宋体" w:eastAsia="宋体" w:cs="宋体"/>
                <w:color w:val="auto"/>
                <w:spacing w:val="0"/>
                <w:w w:val="100"/>
                <w:kern w:val="2"/>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电话：</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ab/>
            </w:r>
          </w:p>
        </w:tc>
      </w:tr>
      <w:tr>
        <w:tblPrEx>
          <w:tblCellMar>
            <w:top w:w="0" w:type="dxa"/>
            <w:left w:w="10" w:type="dxa"/>
            <w:bottom w:w="0" w:type="dxa"/>
            <w:right w:w="10" w:type="dxa"/>
          </w:tblCellMar>
        </w:tblPrEx>
        <w:trPr>
          <w:trHeight w:val="730" w:hRule="exact"/>
          <w:jc w:val="center"/>
        </w:trPr>
        <w:tc>
          <w:tcPr>
            <w:tcW w:w="2688"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被授权代表：（签字）</w:t>
            </w: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被授权代表：（签字）</w:t>
            </w:r>
          </w:p>
        </w:tc>
        <w:tc>
          <w:tcPr>
            <w:tcW w:w="299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leftChars="0" w:right="0" w:rightChars="0" w:firstLine="480" w:firstLineChars="200"/>
              <w:jc w:val="both"/>
              <w:textAlignment w:val="auto"/>
              <w:rPr>
                <w:rFonts w:hint="eastAsia" w:ascii="宋体" w:hAnsi="宋体" w:eastAsia="宋体" w:cs="宋体"/>
                <w:color w:val="auto"/>
                <w:spacing w:val="0"/>
                <w:w w:val="100"/>
                <w:kern w:val="2"/>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传真：</w:t>
            </w: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ab/>
            </w:r>
          </w:p>
        </w:tc>
      </w:tr>
      <w:tr>
        <w:tblPrEx>
          <w:tblCellMar>
            <w:top w:w="0" w:type="dxa"/>
            <w:left w:w="10" w:type="dxa"/>
            <w:bottom w:w="0" w:type="dxa"/>
            <w:right w:w="10" w:type="dxa"/>
          </w:tblCellMar>
        </w:tblPrEx>
        <w:trPr>
          <w:trHeight w:val="711" w:hRule="exact"/>
          <w:jc w:val="center"/>
        </w:trPr>
        <w:tc>
          <w:tcPr>
            <w:tcW w:w="2688"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电话：</w:t>
            </w: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电话：</w:t>
            </w:r>
          </w:p>
        </w:tc>
        <w:tc>
          <w:tcPr>
            <w:tcW w:w="2991" w:type="dxa"/>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r>
      <w:tr>
        <w:tblPrEx>
          <w:tblCellMar>
            <w:top w:w="0" w:type="dxa"/>
            <w:left w:w="10" w:type="dxa"/>
            <w:bottom w:w="0" w:type="dxa"/>
            <w:right w:w="10" w:type="dxa"/>
          </w:tblCellMar>
        </w:tblPrEx>
        <w:trPr>
          <w:trHeight w:val="720" w:hRule="exact"/>
          <w:jc w:val="center"/>
        </w:trPr>
        <w:tc>
          <w:tcPr>
            <w:tcW w:w="2688"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传真：</w:t>
            </w: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传真：</w:t>
            </w:r>
          </w:p>
        </w:tc>
        <w:tc>
          <w:tcPr>
            <w:tcW w:w="299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r>
      <w:tr>
        <w:tblPrEx>
          <w:tblCellMar>
            <w:top w:w="0" w:type="dxa"/>
            <w:left w:w="10" w:type="dxa"/>
            <w:bottom w:w="0" w:type="dxa"/>
            <w:right w:w="10" w:type="dxa"/>
          </w:tblCellMar>
        </w:tblPrEx>
        <w:trPr>
          <w:trHeight w:val="720" w:hRule="exact"/>
          <w:jc w:val="center"/>
        </w:trPr>
        <w:tc>
          <w:tcPr>
            <w:tcW w:w="2688" w:type="dxa"/>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开户银行：</w:t>
            </w:r>
          </w:p>
        </w:tc>
        <w:tc>
          <w:tcPr>
            <w:tcW w:w="299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r>
      <w:tr>
        <w:tblPrEx>
          <w:tblCellMar>
            <w:top w:w="0" w:type="dxa"/>
            <w:left w:w="10" w:type="dxa"/>
            <w:bottom w:w="0" w:type="dxa"/>
            <w:right w:w="10" w:type="dxa"/>
          </w:tblCellMar>
        </w:tblPrEx>
        <w:trPr>
          <w:trHeight w:val="711" w:hRule="exact"/>
          <w:jc w:val="center"/>
        </w:trPr>
        <w:tc>
          <w:tcPr>
            <w:tcW w:w="2688" w:type="dxa"/>
            <w:tcBorders>
              <w:top w:val="single" w:color="auto" w:sz="4" w:space="0"/>
              <w:lef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c>
          <w:tcPr>
            <w:tcW w:w="270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帐号：</w:t>
            </w:r>
          </w:p>
        </w:tc>
        <w:tc>
          <w:tcPr>
            <w:tcW w:w="299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180" w:right="0" w:firstLine="480" w:firstLineChars="20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p>
        </w:tc>
      </w:tr>
      <w:tr>
        <w:tblPrEx>
          <w:tblCellMar>
            <w:top w:w="0" w:type="dxa"/>
            <w:left w:w="10" w:type="dxa"/>
            <w:bottom w:w="0" w:type="dxa"/>
            <w:right w:w="10" w:type="dxa"/>
          </w:tblCellMar>
        </w:tblPrEx>
        <w:trPr>
          <w:trHeight w:val="776" w:hRule="exact"/>
          <w:jc w:val="center"/>
        </w:trPr>
        <w:tc>
          <w:tcPr>
            <w:tcW w:w="2688"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日期：  年  月   日</w:t>
            </w:r>
          </w:p>
        </w:tc>
        <w:tc>
          <w:tcPr>
            <w:tcW w:w="270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日期：  年  月  日</w:t>
            </w:r>
          </w:p>
        </w:tc>
        <w:tc>
          <w:tcPr>
            <w:tcW w:w="299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left="0" w:right="0" w:firstLine="0" w:firstLineChars="0"/>
              <w:jc w:val="both"/>
              <w:textAlignment w:val="auto"/>
              <w:rPr>
                <w:rFonts w:hint="eastAsia" w:ascii="宋体" w:hAnsi="宋体" w:eastAsia="宋体" w:cs="宋体"/>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color w:val="auto"/>
                <w:spacing w:val="0"/>
                <w:w w:val="100"/>
                <w:position w:val="0"/>
                <w:sz w:val="24"/>
                <w:szCs w:val="24"/>
                <w:highlight w:val="none"/>
                <w:u w:val="none"/>
                <w:shd w:val="clear" w:color="auto" w:fill="auto"/>
                <w:lang w:val="zh-TW" w:eastAsia="zh-TW" w:bidi="zh-TW"/>
              </w:rPr>
              <w:t>日期：    年   月   日</w:t>
            </w:r>
          </w:p>
        </w:tc>
      </w:tr>
    </w:tbl>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2A88BD"/>
    <w:multiLevelType w:val="multilevel"/>
    <w:tmpl w:val="3D2A88BD"/>
    <w:lvl w:ilvl="0" w:tentative="0">
      <w:start w:val="1"/>
      <w:numFmt w:val="chineseCounting"/>
      <w:pStyle w:val="3"/>
      <w:suff w:val="nothing"/>
      <w:lvlText w:val="第%1章 "/>
      <w:lvlJc w:val="left"/>
      <w:pPr>
        <w:ind w:left="0" w:firstLine="402"/>
      </w:pPr>
      <w:rPr>
        <w:rFonts w:hint="eastAsia"/>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xYjZhOWQ3Y2U1MGIzZGExNDBlOWU5ZTQ0YzlmNTgifQ=="/>
  </w:docVars>
  <w:rsids>
    <w:rsidRoot w:val="71E2049A"/>
    <w:rsid w:val="02164BF4"/>
    <w:rsid w:val="71E20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883" w:firstLineChars="200"/>
      <w:jc w:val="both"/>
    </w:pPr>
    <w:rPr>
      <w:rFonts w:eastAsia="楷体" w:asciiTheme="minorHAnsi" w:hAnsiTheme="minorHAnsi" w:cstheme="minorBidi"/>
      <w:kern w:val="2"/>
      <w:sz w:val="24"/>
      <w:szCs w:val="24"/>
      <w:lang w:val="en-US" w:eastAsia="zh-CN" w:bidi="ar-SA"/>
    </w:rPr>
  </w:style>
  <w:style w:type="paragraph" w:styleId="3">
    <w:name w:val="heading 1"/>
    <w:basedOn w:val="1"/>
    <w:next w:val="1"/>
    <w:qFormat/>
    <w:uiPriority w:val="0"/>
    <w:pPr>
      <w:keepNext/>
      <w:keepLines/>
      <w:numPr>
        <w:ilvl w:val="0"/>
        <w:numId w:val="1"/>
      </w:numPr>
      <w:spacing w:before="340" w:after="330" w:line="576" w:lineRule="auto"/>
      <w:ind w:firstLine="0" w:firstLineChars="0"/>
      <w:jc w:val="center"/>
      <w:outlineLvl w:val="0"/>
    </w:pPr>
    <w:rPr>
      <w:b/>
      <w:kern w:val="44"/>
      <w:sz w:val="44"/>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pPr>
      <w:jc w:val="left"/>
    </w:pPr>
    <w:rPr>
      <w:rFonts w:ascii="Copperplate Gothic Bold" w:hAnsi="Copperplate Gothic Bold"/>
      <w:sz w:val="28"/>
    </w:rPr>
  </w:style>
  <w:style w:type="paragraph" w:styleId="4">
    <w:name w:val="Body Text First Indent"/>
    <w:basedOn w:val="2"/>
    <w:unhideWhenUsed/>
    <w:qFormat/>
    <w:uiPriority w:val="99"/>
    <w:pPr>
      <w:spacing w:after="120" w:line="240" w:lineRule="auto"/>
      <w:ind w:firstLine="420" w:firstLineChars="100"/>
    </w:pPr>
    <w:rPr>
      <w:rFonts w:ascii="Times New Roman" w:hAnsi="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2023-08-01T05:53:00Z</dcterms:created>
  <dc:creator>囔囔</dc:creator>
  <cp:lastModifiedBy>囔囔</cp:lastModifiedBy>
  <dcterms:modified xsi:type="dcterms:W3CDTF">2024-01-25T01:55:33Z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4DEDC21298F941F295D54533EECC6C3B_11</vt:lpwstr>
  </property>
</Properties>
</file>