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2025年西安市碑林区燃气管道等老化更新改造项目供水工程设计服务</w:t>
      </w:r>
    </w:p>
    <w:p>
      <w:pPr>
        <w:pStyle w:val="null3"/>
        <w:jc w:val="center"/>
        <w:outlineLvl w:val="2"/>
      </w:pPr>
      <w:r>
        <w:rPr>
          <w:sz w:val="28"/>
          <w:b/>
        </w:rPr>
        <w:t>采购项目编号：</w:t>
      </w:r>
      <w:r>
        <w:rPr>
          <w:sz w:val="28"/>
          <w:b/>
        </w:rPr>
        <w:t>XBZB-2024-153</w:t>
      </w:r>
      <w:r>
        <w:br/>
      </w:r>
      <w:r>
        <w:br/>
      </w:r>
      <w:r>
        <w:br/>
      </w:r>
    </w:p>
    <w:p>
      <w:pPr>
        <w:pStyle w:val="null3"/>
        <w:jc w:val="center"/>
        <w:outlineLvl w:val="2"/>
      </w:pPr>
      <w:r>
        <w:rPr>
          <w:sz w:val="28"/>
          <w:b/>
        </w:rPr>
        <w:t>西安市碑林区城市管理局（本级）</w:t>
      </w:r>
    </w:p>
    <w:p>
      <w:pPr>
        <w:pStyle w:val="null3"/>
        <w:jc w:val="center"/>
        <w:outlineLvl w:val="2"/>
      </w:pPr>
      <w:r>
        <w:rPr>
          <w:sz w:val="28"/>
          <w:b/>
        </w:rPr>
        <w:t>西北国际（陕西）造价管理集团有限公司</w:t>
      </w:r>
      <w:r>
        <w:rPr>
          <w:sz w:val="28"/>
          <w:b/>
        </w:rPr>
        <w:t>共同编制</w:t>
      </w:r>
    </w:p>
    <w:p>
      <w:pPr>
        <w:pStyle w:val="null3"/>
        <w:jc w:val="center"/>
        <w:outlineLvl w:val="2"/>
      </w:pPr>
      <w:r>
        <w:rPr>
          <w:sz w:val="28"/>
          <w:b/>
        </w:rPr>
        <w:t>2024年11月06日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西北国际（陕西）造价管理集团有限公司</w:t>
      </w:r>
      <w:r>
        <w:rPr/>
        <w:t>（以下简称“代理机构”）受</w:t>
      </w:r>
      <w:r>
        <w:rPr/>
        <w:t>西安市碑林区城市管理局（本级）</w:t>
      </w:r>
      <w:r>
        <w:rPr/>
        <w:t>委托，拟对</w:t>
      </w:r>
      <w:r>
        <w:rPr/>
        <w:t>2025年西安市碑林区燃气管道等老化更新改造项目供水工程设计服务</w:t>
      </w:r>
      <w:r>
        <w:rPr/>
        <w:t>采用竞争性磋商采购方式进行采购，兹邀请供应商参加本项目的竞争性磋商。</w:t>
      </w:r>
    </w:p>
    <w:p>
      <w:pPr>
        <w:pStyle w:val="null3"/>
        <w:outlineLvl w:val="2"/>
      </w:pPr>
      <w:r>
        <w:rPr>
          <w:sz w:val="28"/>
          <w:b/>
        </w:rPr>
        <w:t>一、项目编号：</w:t>
      </w:r>
      <w:r>
        <w:rPr>
          <w:sz w:val="28"/>
          <w:b/>
        </w:rPr>
        <w:t>XBZB-2024-153</w:t>
      </w:r>
    </w:p>
    <w:p>
      <w:pPr>
        <w:pStyle w:val="null3"/>
        <w:outlineLvl w:val="2"/>
      </w:pPr>
      <w:r>
        <w:rPr>
          <w:sz w:val="28"/>
          <w:b/>
        </w:rPr>
        <w:t>二、项目名称：</w:t>
      </w:r>
      <w:r>
        <w:rPr>
          <w:sz w:val="28"/>
          <w:b/>
        </w:rPr>
        <w:t>2025年西安市碑林区燃气管道等老化更新改造项目供水工程设计服务</w:t>
      </w:r>
    </w:p>
    <w:p>
      <w:pPr>
        <w:pStyle w:val="null3"/>
        <w:outlineLvl w:val="2"/>
      </w:pPr>
      <w:r>
        <w:rPr>
          <w:sz w:val="28"/>
          <w:b/>
        </w:rPr>
        <w:t>三、磋商项目简介</w:t>
      </w:r>
    </w:p>
    <w:p>
      <w:pPr>
        <w:pStyle w:val="null3"/>
        <w:ind w:firstLine="480"/>
      </w:pPr>
      <w:r>
        <w:rPr/>
        <w:t>2025年西安市碑林区燃气管道等老化更新改造项目供水工程设计服务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采购包1（2025年西安市碑林区燃气管道等老化更新改造项目供水工程设计服务）：属于专门面向中小企业采购。</w:t>
      </w:r>
    </w:p>
    <w:p>
      <w:pPr>
        <w:pStyle w:val="null3"/>
        <w:ind w:firstLine="480"/>
      </w:pPr>
      <w:r>
        <w:rPr/>
        <w:t>（三）本项目的特定资格要求：</w:t>
      </w:r>
    </w:p>
    <w:p>
      <w:pPr>
        <w:pStyle w:val="null3"/>
      </w:pPr>
      <w:r>
        <w:rPr/>
        <w:t>采购包1：</w:t>
      </w:r>
    </w:p>
    <w:p>
      <w:pPr>
        <w:pStyle w:val="null3"/>
      </w:pPr>
      <w:r>
        <w:rPr/>
        <w:t>1、企业资质：供应商须具备工程设计综合资质甲级，或市政行业工程设计乙级及以上资质，或市政行业（燃气工程、轨道交通工程除外）乙级及以上资质，或市政行业（给水工程）专业丙级及以上资质</w:t>
      </w:r>
    </w:p>
    <w:p>
      <w:pPr>
        <w:pStyle w:val="null3"/>
      </w:pPr>
      <w:r>
        <w:rPr/>
        <w:t>2、项目负责人资质：拟派项目负责人须具备（市政工程相关专业）高级工程师及以上职称，或注册公用设备工程师（给水排水）执业资格（在本单位注册）</w:t>
      </w:r>
    </w:p>
    <w:p>
      <w:pPr>
        <w:pStyle w:val="null3"/>
      </w:pPr>
      <w:r>
        <w:rPr/>
        <w:t>3、网页查询截图：供应商基本信息及项目负责人的基本信息在“陕西省住房和城乡建设厅（http://js.shaanxi.gov.cn/）”或陕西政务服务网https://zwfw.shaanxi.gov.cn/sx/public/index可查询，提供官网截图并加盖供应商公章</w:t>
      </w:r>
    </w:p>
    <w:p>
      <w:pPr>
        <w:pStyle w:val="null3"/>
      </w:pPr>
      <w:r>
        <w:rPr/>
        <w:t>4、法定代表人授权书：被授权人参加投标，须提供法定代表人授权书（附法定代表人、被授权人身份证复印件）；法定代表人直接参加投标，须提供法定代表人身份证明</w:t>
      </w:r>
    </w:p>
    <w:p>
      <w:pPr>
        <w:pStyle w:val="null3"/>
      </w:pPr>
      <w:r>
        <w:rPr/>
        <w:t>5、信用记录：供应商未被中国政府采购网（www.ccgp.gov.cn）列入政府采购严重违法失信行为记录名单，未被“信用中国”网站（www.creditchina.gov.cn）列入失信被执行人和重大税收违法失信主体</w:t>
      </w:r>
    </w:p>
    <w:p>
      <w:pPr>
        <w:pStyle w:val="null3"/>
      </w:pPr>
      <w:r>
        <w:rPr/>
        <w:t>6、非联合体：本项目不接受联合体磋商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西安市碑林区城市管理局（本级）</w:t>
      </w:r>
    </w:p>
    <w:p>
      <w:pPr>
        <w:pStyle w:val="null3"/>
      </w:pPr>
      <w:r>
        <w:rPr/>
        <w:t xml:space="preserve"> 地址： </w:t>
      </w:r>
      <w:r>
        <w:rPr/>
        <w:t>西安市碑林区雁塔北路23号</w:t>
      </w:r>
    </w:p>
    <w:p>
      <w:pPr>
        <w:pStyle w:val="null3"/>
      </w:pPr>
      <w:r>
        <w:rPr/>
        <w:t xml:space="preserve"> 邮编： </w:t>
      </w:r>
      <w:r>
        <w:rPr/>
        <w:t>710000</w:t>
      </w:r>
    </w:p>
    <w:p>
      <w:pPr>
        <w:pStyle w:val="null3"/>
      </w:pPr>
      <w:r>
        <w:rPr/>
        <w:t xml:space="preserve"> 联系人： </w:t>
      </w:r>
      <w:r>
        <w:rPr/>
        <w:t>何锐</w:t>
      </w:r>
    </w:p>
    <w:p>
      <w:pPr>
        <w:pStyle w:val="null3"/>
      </w:pPr>
      <w:r>
        <w:rPr/>
        <w:t xml:space="preserve"> 联系电话： </w:t>
      </w:r>
      <w:r>
        <w:rPr/>
        <w:t>029-62651335</w:t>
      </w:r>
    </w:p>
    <w:p>
      <w:pPr>
        <w:pStyle w:val="null3"/>
        <w:outlineLvl w:val="3"/>
      </w:pPr>
      <w:r>
        <w:rPr>
          <w:sz w:val="24"/>
          <w:b/>
        </w:rPr>
        <w:t>代理机构：</w:t>
      </w:r>
      <w:r>
        <w:rPr>
          <w:sz w:val="24"/>
          <w:b/>
        </w:rPr>
        <w:t>西北国际（陕西）造价管理集团有限公司</w:t>
      </w:r>
    </w:p>
    <w:p>
      <w:pPr>
        <w:pStyle w:val="null3"/>
      </w:pPr>
      <w:r>
        <w:rPr/>
        <w:t xml:space="preserve"> 地址： </w:t>
      </w:r>
      <w:r>
        <w:rPr/>
        <w:t>陕西省西安市碑林区长安国际中心F座17层</w:t>
      </w:r>
    </w:p>
    <w:p>
      <w:pPr>
        <w:pStyle w:val="null3"/>
      </w:pPr>
      <w:r>
        <w:rPr/>
        <w:t xml:space="preserve"> 邮编： </w:t>
      </w:r>
      <w:r>
        <w:rPr/>
        <w:t>710000</w:t>
      </w:r>
    </w:p>
    <w:p>
      <w:pPr>
        <w:pStyle w:val="null3"/>
      </w:pPr>
      <w:r>
        <w:rPr/>
        <w:t xml:space="preserve"> 联系人： </w:t>
      </w:r>
      <w:r>
        <w:rPr/>
        <w:t>王富敏、王薇、朱柯伟</w:t>
      </w:r>
    </w:p>
    <w:p>
      <w:pPr>
        <w:pStyle w:val="null3"/>
      </w:pPr>
      <w:r>
        <w:rPr/>
        <w:t xml:space="preserve"> 联系电话： </w:t>
      </w:r>
      <w:r>
        <w:rPr/>
        <w:t>029-85221302/17782814521</w:t>
      </w:r>
    </w:p>
    <w:p>
      <w:pPr>
        <w:pStyle w:val="null3"/>
        <w:outlineLvl w:val="3"/>
      </w:pPr>
      <w:r>
        <w:rPr>
          <w:sz w:val="24"/>
          <w:b/>
        </w:rPr>
        <w:t>采购监督机构：</w:t>
      </w:r>
      <w:r>
        <w:rPr>
          <w:sz w:val="24"/>
          <w:b/>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采购包1：988,000.00元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的金额参照国家计委颁发的《招标代理服务收费管理暂行办法》（计价格[2002]1980号）和国家发展改革委员会办公厅颁发的《关于招标代理服务收费有关问题的通知》（发改办价格[2003]857号）的有关规定执行，不足6000元按6000元收取。成交供应商须在领取《成交通知书》之前，向采购代理机构一次付清招标代理服务费。 户名：西北国际（陕西）造价管理集团有限公司 开户行：招商银行股份有限公司西安雁塔路支行 账号：129912898210301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西安市碑林区城市管理局（本级）</w:t>
      </w:r>
      <w:r>
        <w:rPr/>
        <w:t>和</w:t>
      </w:r>
      <w:r>
        <w:rPr/>
        <w:t>西北国际（陕西）造价管理集团有限公司</w:t>
      </w:r>
      <w:r>
        <w:rPr/>
        <w:t>享有。对磋商文件中供应商参加本次政府采购活动应当具备的条件，磋商项目技术、服务、商务及其他要求，评审细则及标准由</w:t>
      </w:r>
      <w:r>
        <w:rPr/>
        <w:t>西安市碑林区城市管理局（本级）</w:t>
      </w:r>
      <w:r>
        <w:rPr/>
        <w:t>负责解释。除上述磋商文件内容，其他内容由</w:t>
      </w:r>
      <w:r>
        <w:rPr/>
        <w:t>西北国际（陕西）造价管理集团有限公司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西安市碑林区城市管理局（本级）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西北国际（陕西）造价管理集团有限公司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以合同约定为准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西北国际（陕西）造价管理集团有限公司</w:t>
      </w:r>
      <w:r>
        <w:rPr/>
        <w:t xml:space="preserve"> 负责答复；供应商对除采购需求外的采购文件的询问、质疑由</w:t>
      </w:r>
      <w:r>
        <w:rPr/>
        <w:t>西北国际（陕西）造价管理集团有限公司</w:t>
      </w:r>
      <w:r>
        <w:rPr/>
        <w:t xml:space="preserve"> 负责答复；供应商对采购过程、采购结果的询问、质疑由 </w:t>
      </w:r>
      <w:r>
        <w:rPr/>
        <w:t>西北国际（陕西）造价管理集团有限公司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联系人：王富敏、王薇、朱柯伟</w:t>
      </w:r>
    </w:p>
    <w:p>
      <w:pPr>
        <w:pStyle w:val="null3"/>
      </w:pPr>
      <w:r>
        <w:rPr/>
        <w:t>联系电话：029-85221302/17782814521</w:t>
      </w:r>
    </w:p>
    <w:p>
      <w:pPr>
        <w:pStyle w:val="null3"/>
      </w:pPr>
      <w:r>
        <w:rPr/>
        <w:t>地址：陕西省西安市碑林区长安国际中心F座17层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2025年西安市碑林区燃气管道等老化更新改造项目供水工程设计服务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988,000.00</w:t>
      </w:r>
    </w:p>
    <w:p>
      <w:pPr>
        <w:pStyle w:val="null3"/>
      </w:pPr>
      <w:r>
        <w:rPr/>
        <w:t>采购包最高限价（元）: 988,000.00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因我局负责组织实施2025年西安市碑林区燃气管道等老化更新改造项目，现需开展2025年西安市碑林区燃气管道等老化更新改造项目供水工程设计服务</w:t>
            </w:r>
          </w:p>
        </w:tc>
        <w:tc>
          <w:tcPr>
            <w:tcW w:type="dxa" w:w="831"/>
          </w:tcPr>
          <w:p>
            <w:pPr>
              <w:pStyle w:val="null3"/>
              <w:jc w:val="right"/>
            </w:pPr>
            <w:r>
              <w:rPr/>
              <w:t>1.00</w:t>
            </w:r>
          </w:p>
        </w:tc>
        <w:tc>
          <w:tcPr>
            <w:tcW w:type="dxa" w:w="831"/>
          </w:tcPr>
          <w:p>
            <w:pPr>
              <w:pStyle w:val="null3"/>
              <w:jc w:val="right"/>
            </w:pPr>
            <w:r>
              <w:rPr/>
              <w:t>988,000.00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标的名称：因我局负责组织实施2025年西安市碑林区燃气管道等老化更新改造项目，现需开展2025年西安市碑林区燃气管道等老化更新改造项目供水工程设计服务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verdana" w:hAnsi="verdana" w:cs="verdana" w:eastAsia="verdana"/>
                <w:sz w:val="18"/>
              </w:rPr>
              <w:t>一、项目概况</w:t>
            </w:r>
          </w:p>
          <w:p>
            <w:pPr>
              <w:pStyle w:val="null3"/>
              <w:jc w:val="both"/>
            </w:pPr>
            <w:r>
              <w:rPr>
                <w:rFonts w:ascii="verdana" w:hAnsi="verdana" w:cs="verdana" w:eastAsia="verdana"/>
                <w:sz w:val="18"/>
              </w:rPr>
              <w:t>本项目为2025年西安市碑林区燃气管道等老化更新改造项目供水部分工程设计服务,项目建设地点位于碑林区辖区内太乙路街道、文艺路街道、张家村街道、长安路街道、长乐坊街道、柏树林街道,本次项目改造范围包括碑林区30个小区供水管道更新改造。</w:t>
            </w:r>
          </w:p>
        </w:tc>
      </w:tr>
      <w:tr>
        <w:tc>
          <w:tcPr>
            <w:tcW w:type="dxa" w:w="2769"/>
          </w:tcPr>
          <w:p/>
        </w:tc>
        <w:tc>
          <w:tcPr>
            <w:tcW w:type="dxa" w:w="2769"/>
          </w:tcPr>
          <w:p>
            <w:pPr>
              <w:pStyle w:val="null3"/>
            </w:pPr>
            <w:r>
              <w:rPr/>
              <w:t>2</w:t>
            </w:r>
          </w:p>
        </w:tc>
        <w:tc>
          <w:tcPr>
            <w:tcW w:type="dxa" w:w="2769"/>
          </w:tcPr>
          <w:p>
            <w:pPr>
              <w:pStyle w:val="null3"/>
              <w:ind w:firstLine="420"/>
              <w:jc w:val="both"/>
            </w:pPr>
            <w:r>
              <w:rPr>
                <w:rFonts w:ascii="verdana" w:hAnsi="verdana" w:cs="verdana" w:eastAsia="verdana"/>
                <w:sz w:val="18"/>
              </w:rPr>
              <w:t>二、改造内容</w:t>
            </w:r>
          </w:p>
          <w:p>
            <w:pPr>
              <w:pStyle w:val="null3"/>
              <w:ind w:firstLine="420"/>
              <w:jc w:val="both"/>
            </w:pPr>
            <w:r>
              <w:rPr>
                <w:rFonts w:ascii="verdana" w:hAnsi="verdana" w:cs="verdana" w:eastAsia="verdana"/>
                <w:sz w:val="18"/>
              </w:rPr>
              <w:t>改造内容包括上述 30 个小区或片区的庭院给水管网，分户管及水表箱，二次供水设施，在市政消火栓保护半径以外的直接与庭院给水管网连接的室外消火栓。设计界限为小区建设红线外 1m 内。其中室内消火栓系统，二次加压的临高压消防给水系统及其他消防系统均不在此次改造范围内。其中:庭院供水管道约17.632km，立管约157.381km，户内水表7310户(包括庭院供水管道、户表立管和智能物联网表)，二次加压泵房改造17套。</w:t>
            </w:r>
          </w:p>
          <w:tbl>
            <w:tblPr>
              <w:tblBorders>
                <w:top w:val="none" w:color="000000" w:sz="4"/>
                <w:left w:val="none" w:color="000000" w:sz="4"/>
                <w:bottom w:val="none" w:color="000000" w:sz="4"/>
                <w:right w:val="none" w:color="000000" w:sz="4"/>
                <w:insideH w:val="none"/>
                <w:insideV w:val="none"/>
              </w:tblBorders>
            </w:tblPr>
            <w:tblGrid>
              <w:gridCol w:w="294"/>
              <w:gridCol w:w="1029"/>
              <w:gridCol w:w="941"/>
              <w:gridCol w:w="289"/>
            </w:tblGrid>
            <w:tr>
              <w:tc>
                <w:tcPr>
                  <w:tcW w:type="dxa" w:w="2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序号</w:t>
                  </w:r>
                </w:p>
              </w:tc>
              <w:tc>
                <w:tcPr>
                  <w:tcW w:type="dxa" w:w="10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名称</w:t>
                  </w:r>
                </w:p>
              </w:tc>
              <w:tc>
                <w:tcPr>
                  <w:tcW w:type="dxa" w:w="9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改造性质</w:t>
                  </w:r>
                </w:p>
              </w:tc>
              <w:tc>
                <w:tcPr>
                  <w:tcW w:type="dxa" w:w="2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备注</w:t>
                  </w: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市建二公司</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市建二公司</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3</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景龙池34号院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4</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市塑料公司家属院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5</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华洋小区</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6</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文物局家属院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7</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下马陵1号院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8</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市房地一分局(隆庆坊东区)</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9</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朱雀大街付8号院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10</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友谊东路136号院4号楼</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11</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友谊东路136号院5号楼</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12</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人事局家属院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13</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市政房管所</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14</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妇联家属院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15</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市、区土地局家属院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16</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国旅家属院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17</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荣达小区</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18</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长乐坊街道索罗巷44号院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19</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搪瓷厂家属院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20</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省水利水电勘测设计院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21</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景龙社区居民委员会</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22</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景龙社区居民委员会</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23</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西安市房地一分局家属院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24</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兴庆小区</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25</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西安兴庆医院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26</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建东街14号楼</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27</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东仓巷19号家属院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28</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建行水文巷家属院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29</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索罗北巷24号院</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30</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阳光家园</w:t>
                  </w:r>
                </w:p>
              </w:tc>
              <w:tc>
                <w:tcPr>
                  <w:tcW w:type="dxa" w:w="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老化改造</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tc>
      </w:tr>
      <w:tr>
        <w:tc>
          <w:tcPr>
            <w:tcW w:type="dxa" w:w="2769"/>
          </w:tcPr>
          <w:p/>
        </w:tc>
        <w:tc>
          <w:tcPr>
            <w:tcW w:type="dxa" w:w="2769"/>
          </w:tcPr>
          <w:p>
            <w:pPr>
              <w:pStyle w:val="null3"/>
            </w:pPr>
            <w:r>
              <w:rPr/>
              <w:t>3</w:t>
            </w:r>
          </w:p>
        </w:tc>
        <w:tc>
          <w:tcPr>
            <w:tcW w:type="dxa" w:w="2769"/>
          </w:tcPr>
          <w:p>
            <w:pPr>
              <w:pStyle w:val="null3"/>
              <w:ind w:firstLine="420"/>
              <w:jc w:val="both"/>
            </w:pPr>
            <w:r>
              <w:rPr>
                <w:rFonts w:ascii="verdana" w:hAnsi="verdana" w:cs="verdana" w:eastAsia="verdana"/>
                <w:sz w:val="18"/>
              </w:rPr>
              <w:t>三、技术要求</w:t>
            </w:r>
          </w:p>
          <w:p>
            <w:pPr>
              <w:pStyle w:val="null3"/>
              <w:ind w:firstLine="420"/>
              <w:jc w:val="both"/>
            </w:pPr>
            <w:r>
              <w:rPr>
                <w:rFonts w:ascii="verdana" w:hAnsi="verdana" w:cs="verdana" w:eastAsia="verdana"/>
                <w:sz w:val="18"/>
              </w:rPr>
              <w:t>（一）改造依据</w:t>
            </w:r>
          </w:p>
          <w:p>
            <w:pPr>
              <w:pStyle w:val="null3"/>
              <w:ind w:firstLine="420"/>
              <w:jc w:val="both"/>
            </w:pPr>
            <w:r>
              <w:rPr>
                <w:rFonts w:ascii="verdana" w:hAnsi="verdana" w:cs="verdana" w:eastAsia="verdana"/>
                <w:sz w:val="18"/>
              </w:rPr>
              <w:t>（1）《西安市碑林区城市管理和综合执法局设计委托书》；</w:t>
            </w:r>
          </w:p>
          <w:p>
            <w:pPr>
              <w:pStyle w:val="null3"/>
              <w:ind w:firstLine="420"/>
              <w:jc w:val="both"/>
            </w:pPr>
            <w:r>
              <w:rPr>
                <w:rFonts w:ascii="verdana" w:hAnsi="verdana" w:cs="verdana" w:eastAsia="verdana"/>
                <w:sz w:val="18"/>
              </w:rPr>
              <w:t>（2）《市政公用工程设计文件编制深度规定》（2013 年版）；</w:t>
            </w:r>
          </w:p>
          <w:p>
            <w:pPr>
              <w:pStyle w:val="null3"/>
              <w:ind w:firstLine="420"/>
              <w:jc w:val="both"/>
            </w:pPr>
            <w:r>
              <w:rPr>
                <w:rFonts w:ascii="verdana" w:hAnsi="verdana" w:cs="verdana" w:eastAsia="verdana"/>
                <w:sz w:val="18"/>
              </w:rPr>
              <w:t>（3）《国务院办公厅关于全面推进城镇老旧小区改造工作的指导意见》（国办发〔2020〕23 号）；</w:t>
            </w:r>
          </w:p>
          <w:p>
            <w:pPr>
              <w:pStyle w:val="null3"/>
              <w:ind w:firstLine="420"/>
              <w:jc w:val="both"/>
            </w:pPr>
            <w:r>
              <w:rPr>
                <w:rFonts w:ascii="verdana" w:hAnsi="verdana" w:cs="verdana" w:eastAsia="verdana"/>
                <w:sz w:val="18"/>
              </w:rPr>
              <w:t>（4）西安市城市供水、排水和供热等管道老化更新改造实施方案(2022-2025 年〉的通知》（市城管委办〔2023〕10 号）；</w:t>
            </w:r>
          </w:p>
          <w:p>
            <w:pPr>
              <w:pStyle w:val="null3"/>
              <w:ind w:firstLine="420"/>
              <w:jc w:val="both"/>
            </w:pPr>
            <w:r>
              <w:rPr>
                <w:rFonts w:ascii="verdana" w:hAnsi="verdana" w:cs="verdana" w:eastAsia="verdana"/>
                <w:sz w:val="18"/>
              </w:rPr>
              <w:t>（5）《西安市发展和改革委员会关于抓紧做好城市地下管网及设施中央预算内投资；专项 2024 年投资计划申报工作的通知》（市发改投资〔2024〕14 号）</w:t>
            </w:r>
          </w:p>
          <w:p>
            <w:pPr>
              <w:pStyle w:val="null3"/>
              <w:ind w:firstLine="420"/>
              <w:jc w:val="both"/>
            </w:pPr>
            <w:r>
              <w:rPr>
                <w:rFonts w:ascii="verdana" w:hAnsi="verdana" w:cs="verdana" w:eastAsia="verdana"/>
                <w:sz w:val="18"/>
              </w:rPr>
              <w:t>（6）《西安市住建局关于城市管网老化更新改造工作流程的函》</w:t>
            </w:r>
          </w:p>
          <w:p>
            <w:pPr>
              <w:pStyle w:val="null3"/>
              <w:ind w:firstLine="420"/>
              <w:jc w:val="both"/>
            </w:pPr>
            <w:r>
              <w:rPr>
                <w:rFonts w:ascii="verdana" w:hAnsi="verdana" w:cs="verdana" w:eastAsia="verdana"/>
                <w:sz w:val="18"/>
              </w:rPr>
              <w:t>（7）《陕西省固定资产投资项目管理操作指南》陕西省发展和改革委员会</w:t>
            </w:r>
          </w:p>
          <w:p>
            <w:pPr>
              <w:pStyle w:val="null3"/>
              <w:ind w:firstLine="420"/>
              <w:jc w:val="both"/>
            </w:pPr>
            <w:r>
              <w:rPr>
                <w:rFonts w:ascii="verdana" w:hAnsi="verdana" w:cs="verdana" w:eastAsia="verdana"/>
                <w:sz w:val="18"/>
              </w:rPr>
              <w:t>（8）项目建设单位提供的有关本项目的技术资料等。</w:t>
            </w:r>
          </w:p>
          <w:p>
            <w:pPr>
              <w:pStyle w:val="null3"/>
              <w:ind w:firstLine="420"/>
              <w:jc w:val="both"/>
            </w:pPr>
            <w:r>
              <w:rPr>
                <w:rFonts w:ascii="verdana" w:hAnsi="verdana" w:cs="verdana" w:eastAsia="verdana"/>
                <w:sz w:val="18"/>
              </w:rPr>
              <w:t>（二）改造原则</w:t>
            </w:r>
          </w:p>
          <w:p>
            <w:pPr>
              <w:pStyle w:val="null3"/>
              <w:ind w:firstLine="420"/>
              <w:jc w:val="both"/>
            </w:pPr>
            <w:r>
              <w:rPr>
                <w:rFonts w:ascii="verdana" w:hAnsi="verdana" w:cs="verdana" w:eastAsia="verdana"/>
                <w:sz w:val="18"/>
              </w:rPr>
              <w:t>（1）符合国家有关政策法令、规范、标准的要求。</w:t>
            </w:r>
          </w:p>
          <w:p>
            <w:pPr>
              <w:pStyle w:val="null3"/>
              <w:ind w:firstLine="420"/>
              <w:jc w:val="both"/>
            </w:pPr>
            <w:r>
              <w:rPr>
                <w:rFonts w:ascii="verdana" w:hAnsi="verdana" w:cs="verdana" w:eastAsia="verdana"/>
                <w:sz w:val="18"/>
              </w:rPr>
              <w:t>（2）在设计内容及深度上满足建设单位在合同中所约定的要求，以及住建部颁布的《市政公用工程设计文件编制深度规定》（中华人民共和国住建部 2013 年 版）。</w:t>
            </w:r>
          </w:p>
          <w:p>
            <w:pPr>
              <w:pStyle w:val="null3"/>
              <w:ind w:firstLine="420"/>
              <w:jc w:val="both"/>
            </w:pPr>
            <w:r>
              <w:rPr>
                <w:rFonts w:ascii="verdana" w:hAnsi="verdana" w:cs="verdana" w:eastAsia="verdana"/>
                <w:sz w:val="18"/>
              </w:rPr>
              <w:t>（3）结合现状，进行院落供水系统的设计及管道改造。</w:t>
            </w:r>
          </w:p>
          <w:p>
            <w:pPr>
              <w:pStyle w:val="null3"/>
              <w:ind w:firstLine="420"/>
              <w:jc w:val="both"/>
            </w:pPr>
            <w:r>
              <w:rPr>
                <w:rFonts w:ascii="verdana" w:hAnsi="verdana" w:cs="verdana" w:eastAsia="verdana"/>
                <w:sz w:val="18"/>
              </w:rPr>
              <w:t>（4）在系统设计上要尽量优化，降低能耗，并确保供水系统的安全性。</w:t>
            </w:r>
          </w:p>
          <w:p>
            <w:pPr>
              <w:pStyle w:val="null3"/>
              <w:ind w:firstLine="420"/>
              <w:jc w:val="both"/>
            </w:pPr>
            <w:r>
              <w:rPr>
                <w:rFonts w:ascii="verdana" w:hAnsi="verdana" w:cs="verdana" w:eastAsia="verdana"/>
                <w:sz w:val="18"/>
              </w:rPr>
              <w:t>（5）管材的选用结合当地工程地质条件，同时考虑安全性，选择性价比最优、</w:t>
            </w:r>
          </w:p>
          <w:p>
            <w:pPr>
              <w:pStyle w:val="null3"/>
              <w:ind w:firstLine="420"/>
              <w:jc w:val="both"/>
            </w:pPr>
            <w:r>
              <w:rPr>
                <w:rFonts w:ascii="verdana" w:hAnsi="verdana" w:cs="verdana" w:eastAsia="verdana"/>
                <w:sz w:val="18"/>
              </w:rPr>
              <w:t>施工方便、运营管理方便的管材。</w:t>
            </w:r>
          </w:p>
          <w:p>
            <w:pPr>
              <w:pStyle w:val="null3"/>
              <w:ind w:firstLine="420"/>
              <w:jc w:val="both"/>
            </w:pPr>
            <w:r>
              <w:rPr>
                <w:rFonts w:ascii="verdana" w:hAnsi="verdana" w:cs="verdana" w:eastAsia="verdana"/>
                <w:sz w:val="18"/>
              </w:rPr>
              <w:t>（6）工程设计过程中，应在不断总结生产，建设和科学实验的基础上，积极</w:t>
            </w:r>
          </w:p>
          <w:p>
            <w:pPr>
              <w:pStyle w:val="null3"/>
              <w:ind w:firstLine="420"/>
              <w:jc w:val="both"/>
            </w:pPr>
            <w:r>
              <w:rPr>
                <w:rFonts w:ascii="verdana" w:hAnsi="verdana" w:cs="verdana" w:eastAsia="verdana"/>
                <w:sz w:val="18"/>
              </w:rPr>
              <w:t>采用行之有效的新工艺、新技术、新材料和新设备，做到技术先进，经济合理。</w:t>
            </w:r>
          </w:p>
          <w:p>
            <w:pPr>
              <w:pStyle w:val="null3"/>
              <w:ind w:firstLine="420"/>
              <w:jc w:val="both"/>
            </w:pPr>
            <w:r>
              <w:rPr>
                <w:rFonts w:ascii="verdana" w:hAnsi="verdana" w:cs="verdana" w:eastAsia="verdana"/>
                <w:sz w:val="18"/>
              </w:rPr>
              <w:t>（三）设计依据</w:t>
            </w:r>
          </w:p>
          <w:p>
            <w:pPr>
              <w:pStyle w:val="null3"/>
              <w:ind w:firstLine="420"/>
              <w:jc w:val="both"/>
            </w:pPr>
            <w:r>
              <w:rPr>
                <w:rFonts w:ascii="verdana" w:hAnsi="verdana" w:cs="verdana" w:eastAsia="verdana"/>
                <w:sz w:val="18"/>
              </w:rPr>
              <w:t>(1)《市政公用工程设计文件编制深度规定》（2013 年版）</w:t>
            </w:r>
          </w:p>
          <w:p>
            <w:pPr>
              <w:pStyle w:val="null3"/>
              <w:ind w:firstLine="420"/>
              <w:jc w:val="both"/>
            </w:pPr>
            <w:r>
              <w:rPr>
                <w:rFonts w:ascii="verdana" w:hAnsi="verdana" w:cs="verdana" w:eastAsia="verdana"/>
                <w:sz w:val="18"/>
              </w:rPr>
              <w:t>(2)《建筑防火通用规范》GB55037-2022</w:t>
            </w:r>
          </w:p>
          <w:p>
            <w:pPr>
              <w:pStyle w:val="null3"/>
              <w:ind w:firstLine="420"/>
              <w:jc w:val="both"/>
            </w:pPr>
            <w:r>
              <w:rPr>
                <w:rFonts w:ascii="verdana" w:hAnsi="verdana" w:cs="verdana" w:eastAsia="verdana"/>
                <w:sz w:val="18"/>
              </w:rPr>
              <w:t>(3)《建筑设计防火规范》GB50016-2014（2018 年版）</w:t>
            </w:r>
          </w:p>
          <w:p>
            <w:pPr>
              <w:pStyle w:val="null3"/>
              <w:ind w:firstLine="420"/>
              <w:jc w:val="both"/>
            </w:pPr>
            <w:r>
              <w:rPr>
                <w:rFonts w:ascii="verdana" w:hAnsi="verdana" w:cs="verdana" w:eastAsia="verdana"/>
                <w:sz w:val="18"/>
              </w:rPr>
              <w:t>(4)《建筑给水排水及采暖工程施工质量验收规范》（GB50242-2002）</w:t>
            </w:r>
          </w:p>
          <w:p>
            <w:pPr>
              <w:pStyle w:val="null3"/>
              <w:ind w:firstLine="420"/>
              <w:jc w:val="both"/>
            </w:pPr>
            <w:r>
              <w:rPr>
                <w:rFonts w:ascii="verdana" w:hAnsi="verdana" w:cs="verdana" w:eastAsia="verdana"/>
                <w:sz w:val="18"/>
              </w:rPr>
              <w:t>(5)《建筑节能工程施工质量验收标准》（GB50411-2019）</w:t>
            </w:r>
          </w:p>
          <w:p>
            <w:pPr>
              <w:pStyle w:val="null3"/>
              <w:ind w:firstLine="420"/>
              <w:jc w:val="both"/>
            </w:pPr>
            <w:r>
              <w:rPr>
                <w:rFonts w:ascii="verdana" w:hAnsi="verdana" w:cs="verdana" w:eastAsia="verdana"/>
                <w:sz w:val="18"/>
              </w:rPr>
              <w:t>(6)《城市给水工程规划规范》（GB50282-2016）</w:t>
            </w:r>
          </w:p>
          <w:p>
            <w:pPr>
              <w:pStyle w:val="null3"/>
              <w:ind w:firstLine="420"/>
              <w:jc w:val="both"/>
            </w:pPr>
            <w:r>
              <w:rPr>
                <w:rFonts w:ascii="verdana" w:hAnsi="verdana" w:cs="verdana" w:eastAsia="verdana"/>
                <w:sz w:val="18"/>
              </w:rPr>
              <w:t>(7)《城市居民生活用水量标准》（GB/T50331-2002）</w:t>
            </w:r>
          </w:p>
          <w:p>
            <w:pPr>
              <w:pStyle w:val="null3"/>
              <w:ind w:firstLine="420"/>
              <w:jc w:val="both"/>
            </w:pPr>
            <w:r>
              <w:rPr>
                <w:rFonts w:ascii="verdana" w:hAnsi="verdana" w:cs="verdana" w:eastAsia="verdana"/>
                <w:sz w:val="18"/>
              </w:rPr>
              <w:t>(8)《生活饮用水卫生标准》（GB5749-2022）</w:t>
            </w:r>
          </w:p>
          <w:p>
            <w:pPr>
              <w:pStyle w:val="null3"/>
              <w:ind w:firstLine="420"/>
              <w:jc w:val="both"/>
            </w:pPr>
            <w:r>
              <w:rPr>
                <w:rFonts w:ascii="verdana" w:hAnsi="verdana" w:cs="verdana" w:eastAsia="verdana"/>
                <w:sz w:val="18"/>
              </w:rPr>
              <w:t>(9)《室外给水设计标准》（GB50013-2018）</w:t>
            </w:r>
          </w:p>
          <w:p>
            <w:pPr>
              <w:pStyle w:val="null3"/>
              <w:ind w:firstLine="420"/>
              <w:jc w:val="both"/>
            </w:pPr>
            <w:r>
              <w:rPr>
                <w:rFonts w:ascii="verdana" w:hAnsi="verdana" w:cs="verdana" w:eastAsia="verdana"/>
                <w:sz w:val="18"/>
              </w:rPr>
              <w:t>(10)《建筑给水排水设计标准》（GB50015-2019）</w:t>
            </w:r>
          </w:p>
          <w:p>
            <w:pPr>
              <w:pStyle w:val="null3"/>
              <w:ind w:firstLine="420"/>
              <w:jc w:val="both"/>
            </w:pPr>
            <w:r>
              <w:rPr>
                <w:rFonts w:ascii="verdana" w:hAnsi="verdana" w:cs="verdana" w:eastAsia="verdana"/>
                <w:sz w:val="18"/>
              </w:rPr>
              <w:t>(11)《住宅设计规范》（GB50096-2011）</w:t>
            </w:r>
          </w:p>
          <w:p>
            <w:pPr>
              <w:pStyle w:val="null3"/>
              <w:ind w:firstLine="420"/>
              <w:jc w:val="both"/>
            </w:pPr>
            <w:r>
              <w:rPr>
                <w:rFonts w:ascii="verdana" w:hAnsi="verdana" w:cs="verdana" w:eastAsia="verdana"/>
                <w:sz w:val="18"/>
              </w:rPr>
              <w:t>(12)《住宅建筑规范》（GB50368-2005）</w:t>
            </w:r>
          </w:p>
          <w:p>
            <w:pPr>
              <w:pStyle w:val="null3"/>
              <w:ind w:firstLine="420"/>
              <w:jc w:val="both"/>
            </w:pPr>
            <w:r>
              <w:rPr>
                <w:rFonts w:ascii="verdana" w:hAnsi="verdana" w:cs="verdana" w:eastAsia="verdana"/>
                <w:sz w:val="18"/>
              </w:rPr>
              <w:t>(13)《给水排水工程管道结构设计规范》（GB50332-2002）</w:t>
            </w:r>
          </w:p>
          <w:p>
            <w:pPr>
              <w:pStyle w:val="null3"/>
              <w:ind w:firstLine="420"/>
              <w:jc w:val="both"/>
            </w:pPr>
            <w:r>
              <w:rPr>
                <w:rFonts w:ascii="verdana" w:hAnsi="verdana" w:cs="verdana" w:eastAsia="verdana"/>
                <w:sz w:val="18"/>
              </w:rPr>
              <w:t>(14)《建筑给水排水制图标准》（GB/T50106-2010）</w:t>
            </w:r>
          </w:p>
          <w:p>
            <w:pPr>
              <w:pStyle w:val="null3"/>
              <w:ind w:firstLine="420"/>
              <w:jc w:val="both"/>
            </w:pPr>
            <w:r>
              <w:rPr>
                <w:rFonts w:ascii="verdana" w:hAnsi="verdana" w:cs="verdana" w:eastAsia="verdana"/>
                <w:sz w:val="18"/>
              </w:rPr>
              <w:t>(15)《湿陷性黄土地区建筑标准》（GB50025-2018）</w:t>
            </w:r>
          </w:p>
          <w:p>
            <w:pPr>
              <w:pStyle w:val="null3"/>
              <w:ind w:firstLine="420"/>
              <w:jc w:val="both"/>
            </w:pPr>
            <w:r>
              <w:rPr>
                <w:rFonts w:ascii="verdana" w:hAnsi="verdana" w:cs="verdana" w:eastAsia="verdana"/>
                <w:sz w:val="18"/>
              </w:rPr>
              <w:t>(16)《室外给水排水和燃气热力工程抗震设计规范》（GB50032-2003）</w:t>
            </w:r>
          </w:p>
          <w:p>
            <w:pPr>
              <w:pStyle w:val="null3"/>
              <w:ind w:firstLine="420"/>
              <w:jc w:val="both"/>
            </w:pPr>
            <w:r>
              <w:rPr>
                <w:rFonts w:ascii="verdana" w:hAnsi="verdana" w:cs="verdana" w:eastAsia="verdana"/>
                <w:sz w:val="18"/>
              </w:rPr>
              <w:t>(17)《给水排水管道工程施工及验收规范》（GB50268-2008）</w:t>
            </w:r>
          </w:p>
          <w:p>
            <w:pPr>
              <w:pStyle w:val="null3"/>
              <w:ind w:firstLine="420"/>
              <w:jc w:val="both"/>
            </w:pPr>
            <w:r>
              <w:rPr>
                <w:rFonts w:ascii="verdana" w:hAnsi="verdana" w:cs="verdana" w:eastAsia="verdana"/>
                <w:sz w:val="18"/>
              </w:rPr>
              <w:t>(18)《埋地塑料给水管道工程技术规程》（CJJ101-2016）</w:t>
            </w:r>
          </w:p>
          <w:p>
            <w:pPr>
              <w:pStyle w:val="null3"/>
              <w:ind w:firstLine="420"/>
              <w:jc w:val="both"/>
            </w:pPr>
            <w:r>
              <w:rPr>
                <w:rFonts w:ascii="verdana" w:hAnsi="verdana" w:cs="verdana" w:eastAsia="verdana"/>
                <w:sz w:val="18"/>
              </w:rPr>
              <w:t>(19)《二次供水工程技术规程》（CJJ140-2010）</w:t>
            </w:r>
          </w:p>
          <w:p>
            <w:pPr>
              <w:pStyle w:val="null3"/>
              <w:ind w:firstLine="420"/>
              <w:jc w:val="both"/>
            </w:pPr>
            <w:r>
              <w:rPr>
                <w:rFonts w:ascii="verdana" w:hAnsi="verdana" w:cs="verdana" w:eastAsia="verdana"/>
                <w:sz w:val="18"/>
              </w:rPr>
              <w:t>(20)《生活饮用水输配水设备及防护材料的安全性评价标准》（GB/T17219-1998）</w:t>
            </w:r>
          </w:p>
          <w:p>
            <w:pPr>
              <w:pStyle w:val="null3"/>
              <w:ind w:firstLine="420"/>
              <w:jc w:val="both"/>
            </w:pPr>
            <w:r>
              <w:rPr>
                <w:rFonts w:ascii="verdana" w:hAnsi="verdana" w:cs="verdana" w:eastAsia="verdana"/>
                <w:sz w:val="18"/>
              </w:rPr>
              <w:t>(21)《城镇供水管网加压泵站无负压供水设备》（CJ/T415-2013）</w:t>
            </w:r>
          </w:p>
          <w:p>
            <w:pPr>
              <w:pStyle w:val="null3"/>
              <w:ind w:firstLine="420"/>
              <w:jc w:val="both"/>
            </w:pPr>
            <w:r>
              <w:rPr>
                <w:rFonts w:ascii="verdana" w:hAnsi="verdana" w:cs="verdana" w:eastAsia="verdana"/>
                <w:sz w:val="18"/>
              </w:rPr>
              <w:t>(22)《微机控制变频调速给水设备》（CJ/T352-2010）</w:t>
            </w:r>
          </w:p>
          <w:p>
            <w:pPr>
              <w:pStyle w:val="null3"/>
              <w:ind w:firstLine="420"/>
              <w:jc w:val="both"/>
            </w:pPr>
            <w:r>
              <w:rPr>
                <w:rFonts w:ascii="verdana" w:hAnsi="verdana" w:cs="verdana" w:eastAsia="verdana"/>
                <w:sz w:val="18"/>
              </w:rPr>
              <w:t>(23)《仪表供电设计规范》HG/T20509-2014，</w:t>
            </w:r>
          </w:p>
          <w:p>
            <w:pPr>
              <w:pStyle w:val="null3"/>
              <w:ind w:firstLine="420"/>
              <w:jc w:val="both"/>
            </w:pPr>
            <w:r>
              <w:rPr>
                <w:rFonts w:ascii="verdana" w:hAnsi="verdana" w:cs="verdana" w:eastAsia="verdana"/>
                <w:sz w:val="18"/>
              </w:rPr>
              <w:t>(24)《自动化仪表选型设计规范》HG/T20507-2014,</w:t>
            </w:r>
          </w:p>
          <w:p>
            <w:pPr>
              <w:pStyle w:val="null3"/>
              <w:ind w:firstLine="420"/>
              <w:jc w:val="both"/>
            </w:pPr>
            <w:r>
              <w:rPr>
                <w:rFonts w:ascii="verdana" w:hAnsi="verdana" w:cs="verdana" w:eastAsia="verdana"/>
                <w:sz w:val="18"/>
              </w:rPr>
              <w:t>(25)《仪表系统接地设计规范》HG/T20513-2014</w:t>
            </w:r>
          </w:p>
          <w:p>
            <w:pPr>
              <w:pStyle w:val="null3"/>
              <w:ind w:firstLine="420"/>
              <w:jc w:val="both"/>
            </w:pPr>
            <w:r>
              <w:rPr>
                <w:rFonts w:ascii="verdana" w:hAnsi="verdana" w:cs="verdana" w:eastAsia="verdana"/>
                <w:sz w:val="18"/>
              </w:rPr>
              <w:t>(26)《电力工程电缆设计标准》GB50217-2018</w:t>
            </w:r>
          </w:p>
          <w:p>
            <w:pPr>
              <w:pStyle w:val="null3"/>
              <w:ind w:firstLine="420"/>
              <w:jc w:val="both"/>
            </w:pPr>
            <w:r>
              <w:rPr>
                <w:rFonts w:ascii="verdana" w:hAnsi="verdana" w:cs="verdana" w:eastAsia="verdana"/>
                <w:sz w:val="18"/>
              </w:rPr>
              <w:t>(27)《过程测量与控制仪表的功能标志及图形符号》HG/T20505-2014</w:t>
            </w:r>
          </w:p>
          <w:p>
            <w:pPr>
              <w:pStyle w:val="null3"/>
              <w:ind w:firstLine="420"/>
              <w:jc w:val="both"/>
            </w:pPr>
            <w:r>
              <w:rPr>
                <w:rFonts w:ascii="verdana" w:hAnsi="verdana" w:cs="verdana" w:eastAsia="verdana"/>
                <w:sz w:val="18"/>
              </w:rPr>
              <w:t>(28)《工业电视系统工程设计标准》GB50115-2019</w:t>
            </w:r>
          </w:p>
          <w:p>
            <w:pPr>
              <w:pStyle w:val="null3"/>
              <w:ind w:firstLine="420"/>
              <w:jc w:val="both"/>
            </w:pPr>
            <w:r>
              <w:rPr>
                <w:rFonts w:ascii="verdana" w:hAnsi="verdana" w:cs="verdana" w:eastAsia="verdana"/>
                <w:sz w:val="18"/>
              </w:rPr>
              <w:t>(29)《出入口控制系统工程设计规范》GB50396-2007</w:t>
            </w:r>
          </w:p>
          <w:p>
            <w:pPr>
              <w:pStyle w:val="null3"/>
              <w:ind w:firstLine="420"/>
              <w:jc w:val="both"/>
            </w:pPr>
            <w:r>
              <w:rPr>
                <w:rFonts w:ascii="verdana" w:hAnsi="verdana" w:cs="verdana" w:eastAsia="verdana"/>
                <w:sz w:val="18"/>
              </w:rPr>
              <w:t>(30)《建筑物电子信息系统防雷技术规范》GB50343-2012</w:t>
            </w:r>
          </w:p>
          <w:p>
            <w:pPr>
              <w:pStyle w:val="null3"/>
              <w:ind w:firstLine="420"/>
              <w:jc w:val="both"/>
            </w:pPr>
            <w:r>
              <w:rPr>
                <w:rFonts w:ascii="verdana" w:hAnsi="verdana" w:cs="verdana" w:eastAsia="verdana"/>
                <w:sz w:val="18"/>
              </w:rPr>
              <w:t>(31)《二次供水工程技术规程》CJJ140-2010</w:t>
            </w:r>
          </w:p>
          <w:p>
            <w:pPr>
              <w:pStyle w:val="null3"/>
              <w:ind w:firstLine="420"/>
              <w:jc w:val="both"/>
            </w:pPr>
            <w:r>
              <w:rPr>
                <w:rFonts w:ascii="verdana" w:hAnsi="verdana" w:cs="verdana" w:eastAsia="verdana"/>
                <w:sz w:val="18"/>
              </w:rPr>
              <w:t>(32)《供配电系统设计规范》 GB50052-2009</w:t>
            </w:r>
          </w:p>
          <w:p>
            <w:pPr>
              <w:pStyle w:val="null3"/>
              <w:ind w:firstLine="420"/>
              <w:jc w:val="both"/>
            </w:pPr>
            <w:r>
              <w:rPr>
                <w:rFonts w:ascii="verdana" w:hAnsi="verdana" w:cs="verdana" w:eastAsia="verdana"/>
                <w:sz w:val="18"/>
              </w:rPr>
              <w:t>(33)《低压配电设计规范》 GB50054-2011</w:t>
            </w:r>
          </w:p>
          <w:p>
            <w:pPr>
              <w:pStyle w:val="null3"/>
              <w:ind w:firstLine="420"/>
              <w:jc w:val="both"/>
            </w:pPr>
            <w:r>
              <w:rPr>
                <w:rFonts w:ascii="verdana" w:hAnsi="verdana" w:cs="verdana" w:eastAsia="verdana"/>
                <w:sz w:val="18"/>
              </w:rPr>
              <w:t>(34)《通用用电设备配电设计规范》 GB50055-2011</w:t>
            </w:r>
          </w:p>
          <w:p>
            <w:pPr>
              <w:pStyle w:val="null3"/>
              <w:ind w:firstLine="420"/>
              <w:jc w:val="both"/>
            </w:pPr>
            <w:r>
              <w:rPr>
                <w:rFonts w:ascii="verdana" w:hAnsi="verdana" w:cs="verdana" w:eastAsia="verdana"/>
                <w:sz w:val="18"/>
              </w:rPr>
              <w:t>(35)《电力装置的继电保护和自动装置设计规范》 GB/T50062-2008</w:t>
            </w:r>
          </w:p>
          <w:p>
            <w:pPr>
              <w:pStyle w:val="null3"/>
              <w:ind w:firstLine="420"/>
              <w:jc w:val="both"/>
            </w:pPr>
            <w:r>
              <w:rPr>
                <w:rFonts w:ascii="verdana" w:hAnsi="verdana" w:cs="verdana" w:eastAsia="verdana"/>
                <w:sz w:val="18"/>
              </w:rPr>
              <w:t>(36)《电力装置的电测量仪表装置设计规范》 GB/T50063-2017</w:t>
            </w:r>
          </w:p>
          <w:p>
            <w:pPr>
              <w:pStyle w:val="null3"/>
              <w:ind w:firstLine="420"/>
              <w:jc w:val="both"/>
            </w:pPr>
            <w:r>
              <w:rPr>
                <w:rFonts w:ascii="verdana" w:hAnsi="verdana" w:cs="verdana" w:eastAsia="verdana"/>
                <w:sz w:val="18"/>
              </w:rPr>
              <w:t>(37)《交流电气装置的接地设计规范》 GB50065-2011</w:t>
            </w:r>
          </w:p>
          <w:p>
            <w:pPr>
              <w:pStyle w:val="null3"/>
              <w:ind w:firstLine="420"/>
              <w:jc w:val="both"/>
            </w:pPr>
            <w:r>
              <w:rPr>
                <w:rFonts w:ascii="verdana" w:hAnsi="verdana" w:cs="verdana" w:eastAsia="verdana"/>
                <w:sz w:val="18"/>
              </w:rPr>
              <w:t>(38)《电力工程电缆设计标准》 GB50217-2018</w:t>
            </w:r>
          </w:p>
          <w:p>
            <w:pPr>
              <w:pStyle w:val="null3"/>
              <w:ind w:firstLine="420"/>
              <w:jc w:val="both"/>
            </w:pPr>
            <w:r>
              <w:rPr>
                <w:rFonts w:ascii="verdana" w:hAnsi="verdana" w:cs="verdana" w:eastAsia="verdana"/>
                <w:sz w:val="18"/>
              </w:rPr>
              <w:t>(39)《民用建筑电气设计标准》 GB51348-2019</w:t>
            </w:r>
          </w:p>
          <w:p>
            <w:pPr>
              <w:pStyle w:val="null3"/>
              <w:ind w:firstLine="420"/>
              <w:jc w:val="both"/>
            </w:pPr>
            <w:r>
              <w:rPr>
                <w:rFonts w:ascii="verdana" w:hAnsi="verdana" w:cs="verdana" w:eastAsia="verdana"/>
                <w:sz w:val="18"/>
              </w:rPr>
              <w:t>(40)《泵站设计标准》 GB50265-2022</w:t>
            </w:r>
          </w:p>
          <w:p>
            <w:pPr>
              <w:pStyle w:val="null3"/>
              <w:ind w:firstLine="420"/>
              <w:jc w:val="both"/>
            </w:pPr>
            <w:r>
              <w:rPr>
                <w:rFonts w:ascii="verdana" w:hAnsi="verdana" w:cs="verdana" w:eastAsia="verdana"/>
                <w:sz w:val="18"/>
              </w:rPr>
              <w:t>(41)《建筑节能与可再生能源利用通用规范》 GB55015-2021</w:t>
            </w:r>
          </w:p>
          <w:p>
            <w:pPr>
              <w:pStyle w:val="null3"/>
              <w:ind w:firstLine="420"/>
              <w:jc w:val="both"/>
            </w:pPr>
            <w:r>
              <w:rPr>
                <w:rFonts w:ascii="verdana" w:hAnsi="verdana" w:cs="verdana" w:eastAsia="verdana"/>
                <w:sz w:val="18"/>
              </w:rPr>
              <w:t>(42)《建筑电气与智能化通用规范》 GB55024-2022</w:t>
            </w:r>
          </w:p>
          <w:p>
            <w:pPr>
              <w:pStyle w:val="null3"/>
              <w:jc w:val="both"/>
            </w:pPr>
            <w:r>
              <w:rPr>
                <w:rFonts w:ascii="verdana" w:hAnsi="verdana" w:cs="verdana" w:eastAsia="verdana"/>
                <w:sz w:val="18"/>
              </w:rPr>
              <w:t>国家及西安市地方现行相关设计规范，现场踏勘、采集得到的有关数据和资料。</w:t>
            </w:r>
          </w:p>
        </w:tc>
      </w:tr>
      <w:tr>
        <w:tc>
          <w:tcPr>
            <w:tcW w:type="dxa" w:w="2769"/>
          </w:tcPr>
          <w:p/>
        </w:tc>
        <w:tc>
          <w:tcPr>
            <w:tcW w:type="dxa" w:w="2769"/>
          </w:tcPr>
          <w:p>
            <w:pPr>
              <w:pStyle w:val="null3"/>
            </w:pPr>
            <w:r>
              <w:rPr/>
              <w:t>4</w:t>
            </w:r>
          </w:p>
        </w:tc>
        <w:tc>
          <w:tcPr>
            <w:tcW w:type="dxa" w:w="2769"/>
          </w:tcPr>
          <w:p>
            <w:pPr>
              <w:pStyle w:val="null3"/>
              <w:ind w:firstLine="420"/>
              <w:jc w:val="both"/>
            </w:pPr>
            <w:r>
              <w:rPr>
                <w:rFonts w:ascii="verdana" w:hAnsi="verdana" w:cs="verdana" w:eastAsia="verdana"/>
                <w:sz w:val="18"/>
              </w:rPr>
              <w:t>四、服务要求</w:t>
            </w:r>
          </w:p>
          <w:p>
            <w:pPr>
              <w:pStyle w:val="null3"/>
              <w:ind w:firstLine="420"/>
              <w:jc w:val="both"/>
            </w:pPr>
            <w:r>
              <w:rPr>
                <w:rFonts w:ascii="verdana" w:hAnsi="verdana" w:cs="verdana" w:eastAsia="verdana"/>
                <w:sz w:val="18"/>
              </w:rPr>
              <w:t>1.改造设计服务内容</w:t>
            </w:r>
          </w:p>
          <w:p>
            <w:pPr>
              <w:pStyle w:val="null3"/>
              <w:ind w:firstLine="420"/>
              <w:jc w:val="both"/>
            </w:pPr>
            <w:r>
              <w:rPr>
                <w:rFonts w:ascii="verdana" w:hAnsi="verdana" w:cs="verdana" w:eastAsia="verdana"/>
                <w:sz w:val="18"/>
              </w:rPr>
              <w:t>根据改造原则，本项目改造内容为西安市碑林区现有的 30 个小区，具体内容包括：</w:t>
            </w:r>
          </w:p>
          <w:p>
            <w:pPr>
              <w:pStyle w:val="null3"/>
              <w:ind w:firstLine="420"/>
              <w:jc w:val="both"/>
            </w:pPr>
            <w:r>
              <w:rPr>
                <w:rFonts w:ascii="verdana" w:hAnsi="verdana" w:cs="verdana" w:eastAsia="verdana"/>
                <w:sz w:val="18"/>
              </w:rPr>
              <w:t>对原有埋地管道进行维修更换，残旧破损管网进行改造，达到供水管网无渗漏，新建给水管道管位根据现场情况进行调整,同时确保小区内部给水管道与市政管道功能顺接良好；新建给水入户立管，保证一户一表，水表井位于户外集中管理。同时按照《市政公用工程设计文件编制深度规定》(中华人民共和国住建部 2013年版)中的有关要求，具体编制内容如下：</w:t>
            </w:r>
          </w:p>
          <w:p>
            <w:pPr>
              <w:pStyle w:val="null3"/>
              <w:ind w:firstLine="420"/>
              <w:jc w:val="both"/>
            </w:pPr>
            <w:r>
              <w:rPr>
                <w:rFonts w:ascii="verdana" w:hAnsi="verdana" w:cs="verdana" w:eastAsia="verdana"/>
                <w:sz w:val="18"/>
              </w:rPr>
              <w:t>(1)科学阐述该项工程建设的必要性；</w:t>
            </w:r>
          </w:p>
          <w:p>
            <w:pPr>
              <w:pStyle w:val="null3"/>
              <w:ind w:firstLine="420"/>
              <w:jc w:val="both"/>
            </w:pPr>
            <w:r>
              <w:rPr>
                <w:rFonts w:ascii="verdana" w:hAnsi="verdana" w:cs="verdana" w:eastAsia="verdana"/>
                <w:sz w:val="18"/>
              </w:rPr>
              <w:t>(2)合理确定本工程的建设规模；</w:t>
            </w:r>
          </w:p>
          <w:p>
            <w:pPr>
              <w:pStyle w:val="null3"/>
              <w:ind w:firstLine="420"/>
              <w:jc w:val="both"/>
            </w:pPr>
            <w:r>
              <w:rPr>
                <w:rFonts w:ascii="verdana" w:hAnsi="verdana" w:cs="verdana" w:eastAsia="verdana"/>
                <w:sz w:val="18"/>
              </w:rPr>
              <w:t>(3)根据小区条件，合理地确定给水管道的布局、走向及管道的管径、管长、管材；</w:t>
            </w:r>
          </w:p>
          <w:p>
            <w:pPr>
              <w:pStyle w:val="null3"/>
              <w:ind w:firstLine="420"/>
              <w:jc w:val="both"/>
            </w:pPr>
            <w:r>
              <w:rPr>
                <w:rFonts w:ascii="verdana" w:hAnsi="verdana" w:cs="verdana" w:eastAsia="verdana"/>
                <w:sz w:val="18"/>
              </w:rPr>
              <w:t>(4)对该庭院的给水管网进行设计；</w:t>
            </w:r>
          </w:p>
          <w:p>
            <w:pPr>
              <w:pStyle w:val="null3"/>
              <w:ind w:firstLine="420"/>
              <w:jc w:val="both"/>
            </w:pPr>
            <w:r>
              <w:rPr>
                <w:rFonts w:ascii="verdana" w:hAnsi="verdana" w:cs="verdana" w:eastAsia="verdana"/>
                <w:sz w:val="18"/>
              </w:rPr>
              <w:t>(5)提出本期建设工程的投资估算。</w:t>
            </w:r>
          </w:p>
          <w:p>
            <w:pPr>
              <w:pStyle w:val="null3"/>
              <w:ind w:firstLine="420"/>
              <w:jc w:val="both"/>
            </w:pPr>
            <w:r>
              <w:rPr>
                <w:rFonts w:ascii="verdana" w:hAnsi="verdana" w:cs="verdana" w:eastAsia="verdana"/>
                <w:sz w:val="18"/>
              </w:rPr>
              <w:t>2.人员配置</w:t>
            </w:r>
          </w:p>
          <w:p>
            <w:pPr>
              <w:pStyle w:val="null3"/>
              <w:jc w:val="both"/>
            </w:pPr>
            <w:r>
              <w:rPr>
                <w:rFonts w:ascii="verdana" w:hAnsi="verdana" w:cs="verdana" w:eastAsia="verdana"/>
                <w:sz w:val="18"/>
              </w:rPr>
              <w:t>须配备符合本项目要求的项目负责人及技术人员</w:t>
            </w:r>
          </w:p>
        </w:tc>
      </w:tr>
      <w:tr>
        <w:tc>
          <w:tcPr>
            <w:tcW w:type="dxa" w:w="2769"/>
          </w:tcPr>
          <w:p/>
        </w:tc>
        <w:tc>
          <w:tcPr>
            <w:tcW w:type="dxa" w:w="2769"/>
          </w:tcPr>
          <w:p>
            <w:pPr>
              <w:pStyle w:val="null3"/>
            </w:pPr>
            <w:r>
              <w:rPr/>
              <w:t>5</w:t>
            </w:r>
          </w:p>
        </w:tc>
        <w:tc>
          <w:tcPr>
            <w:tcW w:type="dxa" w:w="2769"/>
          </w:tcPr>
          <w:p>
            <w:pPr>
              <w:pStyle w:val="null3"/>
              <w:ind w:firstLine="420"/>
              <w:jc w:val="both"/>
            </w:pPr>
            <w:r>
              <w:rPr>
                <w:rFonts w:ascii="verdana" w:hAnsi="verdana" w:cs="verdana" w:eastAsia="verdana"/>
                <w:sz w:val="18"/>
              </w:rPr>
              <w:t>五、商务要求</w:t>
            </w:r>
          </w:p>
          <w:p>
            <w:pPr>
              <w:pStyle w:val="null3"/>
              <w:ind w:firstLine="420"/>
              <w:jc w:val="both"/>
            </w:pPr>
            <w:r>
              <w:rPr>
                <w:rFonts w:ascii="verdana" w:hAnsi="verdana" w:cs="verdana" w:eastAsia="verdana"/>
                <w:sz w:val="18"/>
              </w:rPr>
              <w:t>（一）服务期限：15日历天内提交成果文件，实际以采购人委托单为准。</w:t>
            </w:r>
          </w:p>
          <w:p>
            <w:pPr>
              <w:pStyle w:val="null3"/>
              <w:ind w:firstLine="420"/>
              <w:jc w:val="both"/>
            </w:pPr>
            <w:r>
              <w:rPr>
                <w:rFonts w:ascii="verdana" w:hAnsi="verdana" w:cs="verdana" w:eastAsia="verdana"/>
                <w:sz w:val="18"/>
              </w:rPr>
              <w:t>（二）服务地点：采购人指定地点</w:t>
            </w:r>
          </w:p>
          <w:p>
            <w:pPr>
              <w:pStyle w:val="null3"/>
              <w:ind w:firstLine="420"/>
              <w:jc w:val="both"/>
            </w:pPr>
            <w:r>
              <w:rPr>
                <w:rFonts w:ascii="verdana" w:hAnsi="verdana" w:cs="verdana" w:eastAsia="verdana"/>
                <w:sz w:val="18"/>
              </w:rPr>
              <w:t>（三）款项结算：①合同签订后30日内，采购人支付合同总价款的40%作为预付款；②项目完成，并经甲方验收合格后无任何问题，甲方支付合同总价款的60%。付款前成交单位须提供等额正规发票。</w:t>
            </w:r>
          </w:p>
        </w:tc>
      </w:tr>
      <w:tr>
        <w:tc>
          <w:tcPr>
            <w:tcW w:type="dxa" w:w="2769"/>
          </w:tcPr>
          <w:p/>
        </w:tc>
        <w:tc>
          <w:tcPr>
            <w:tcW w:type="dxa" w:w="2769"/>
          </w:tcPr>
          <w:p>
            <w:pPr>
              <w:pStyle w:val="null3"/>
            </w:pPr>
            <w:r>
              <w:rPr/>
              <w:t>6</w:t>
            </w:r>
          </w:p>
        </w:tc>
        <w:tc>
          <w:tcPr>
            <w:tcW w:type="dxa" w:w="2769"/>
          </w:tcPr>
          <w:p>
            <w:pPr>
              <w:pStyle w:val="null3"/>
              <w:ind w:firstLine="420"/>
              <w:jc w:val="both"/>
            </w:pPr>
            <w:r>
              <w:rPr>
                <w:rFonts w:ascii="verdana" w:hAnsi="verdana" w:cs="verdana" w:eastAsia="verdana"/>
                <w:sz w:val="18"/>
              </w:rPr>
              <w:t>六、其他</w:t>
            </w:r>
          </w:p>
          <w:p>
            <w:pPr>
              <w:pStyle w:val="null3"/>
              <w:ind w:firstLine="420"/>
              <w:jc w:val="both"/>
            </w:pPr>
            <w:r>
              <w:rPr>
                <w:rFonts w:ascii="verdana" w:hAnsi="verdana" w:cs="verdana" w:eastAsia="verdana"/>
                <w:sz w:val="18"/>
              </w:rPr>
              <w:t>（一）成果交付要求</w:t>
            </w:r>
          </w:p>
          <w:p>
            <w:pPr>
              <w:pStyle w:val="null3"/>
              <w:ind w:firstLine="420"/>
              <w:jc w:val="both"/>
            </w:pPr>
            <w:r>
              <w:rPr>
                <w:rFonts w:ascii="verdana" w:hAnsi="verdana" w:cs="verdana" w:eastAsia="verdana"/>
                <w:sz w:val="18"/>
              </w:rPr>
              <w:t>1. 成果文件：设计图纸</w:t>
            </w:r>
          </w:p>
          <w:p>
            <w:pPr>
              <w:pStyle w:val="null3"/>
              <w:ind w:firstLine="420"/>
              <w:jc w:val="both"/>
            </w:pPr>
            <w:r>
              <w:rPr>
                <w:rFonts w:ascii="verdana" w:hAnsi="verdana" w:cs="verdana" w:eastAsia="verdana"/>
                <w:sz w:val="18"/>
              </w:rPr>
              <w:t>2. 成果提交方式：</w:t>
            </w:r>
          </w:p>
          <w:p>
            <w:pPr>
              <w:pStyle w:val="null3"/>
              <w:ind w:firstLine="420"/>
              <w:jc w:val="both"/>
            </w:pPr>
            <w:r>
              <w:rPr>
                <w:rFonts w:ascii="verdana" w:hAnsi="verdana" w:cs="verdana" w:eastAsia="verdana"/>
                <w:sz w:val="18"/>
              </w:rPr>
              <w:t>电子版1份（整套文本及图纸，图纸采用JPG或者PDF格式），文本成册8份。</w:t>
            </w:r>
          </w:p>
          <w:p>
            <w:pPr>
              <w:pStyle w:val="null3"/>
              <w:ind w:firstLine="420"/>
              <w:jc w:val="both"/>
            </w:pPr>
            <w:r>
              <w:rPr>
                <w:rFonts w:ascii="verdana" w:hAnsi="verdana" w:cs="verdana" w:eastAsia="verdana"/>
                <w:sz w:val="18"/>
              </w:rPr>
              <w:t>（二）质量验收标准或规范</w:t>
            </w:r>
          </w:p>
          <w:p>
            <w:pPr>
              <w:pStyle w:val="null3"/>
              <w:ind w:firstLine="420"/>
              <w:jc w:val="both"/>
            </w:pPr>
            <w:r>
              <w:rPr>
                <w:rFonts w:ascii="verdana" w:hAnsi="verdana" w:cs="verdana" w:eastAsia="verdana"/>
                <w:sz w:val="18"/>
              </w:rPr>
              <w:t>现行的国家标准或国家行政部门颁布的法律法规、规章制度等，没有国家标准的，参考行业标准。</w:t>
            </w:r>
          </w:p>
          <w:p>
            <w:pPr>
              <w:pStyle w:val="null3"/>
              <w:ind w:firstLine="420"/>
              <w:jc w:val="both"/>
            </w:pPr>
            <w:r>
              <w:rPr>
                <w:rFonts w:ascii="verdana" w:hAnsi="verdana" w:cs="verdana" w:eastAsia="verdana"/>
                <w:sz w:val="18"/>
              </w:rPr>
              <w:t>（三）违约责任</w:t>
            </w:r>
          </w:p>
          <w:p>
            <w:pPr>
              <w:pStyle w:val="null3"/>
              <w:ind w:firstLine="420"/>
              <w:jc w:val="both"/>
            </w:pPr>
            <w:r>
              <w:rPr>
                <w:rFonts w:ascii="verdana" w:hAnsi="verdana" w:cs="verdana" w:eastAsia="verdana"/>
                <w:sz w:val="18"/>
              </w:rPr>
              <w:t>1.按《中华人民共和国民法典》中的相关条款执行。</w:t>
            </w:r>
          </w:p>
          <w:p>
            <w:pPr>
              <w:pStyle w:val="null3"/>
              <w:jc w:val="both"/>
            </w:pPr>
            <w:r>
              <w:rPr>
                <w:rFonts w:ascii="verdana" w:hAnsi="verdana" w:cs="verdana" w:eastAsia="verdana"/>
                <w:sz w:val="18"/>
              </w:rPr>
              <w:t>2.未按合同或采购文件要求执行，或质量不能满足甲方要求的，甲方有权终止合同，甚至对乙方违约行为进行追究。</w:t>
            </w:r>
          </w:p>
        </w:tc>
      </w:tr>
    </w:tbl>
    <w:p>
      <w:pPr>
        <w:pStyle w:val="null3"/>
        <w:outlineLvl w:val="2"/>
      </w:pPr>
      <w:r>
        <w:rPr>
          <w:sz w:val="28"/>
          <w:b/>
        </w:rPr>
        <w:t>3.2.3人员配置要求</w:t>
      </w:r>
    </w:p>
    <w:p>
      <w:pPr>
        <w:pStyle w:val="null3"/>
      </w:pPr>
      <w:r>
        <w:rPr/>
        <w:t>采购包1：</w:t>
      </w:r>
    </w:p>
    <w:p>
      <w:pPr>
        <w:pStyle w:val="null3"/>
      </w:pPr>
      <w:r>
        <w:rPr/>
        <w:t>详见服务内容及服务要求</w:t>
      </w:r>
    </w:p>
    <w:p>
      <w:pPr>
        <w:pStyle w:val="null3"/>
        <w:outlineLvl w:val="2"/>
      </w:pPr>
      <w:r>
        <w:rPr>
          <w:sz w:val="28"/>
          <w:b/>
        </w:rPr>
        <w:t>3.2.4设施设备要求</w:t>
      </w:r>
    </w:p>
    <w:p>
      <w:pPr>
        <w:pStyle w:val="null3"/>
      </w:pPr>
      <w:r>
        <w:rPr/>
        <w:t>采购包1：</w:t>
      </w:r>
    </w:p>
    <w:p>
      <w:pPr>
        <w:pStyle w:val="null3"/>
      </w:pPr>
      <w:r>
        <w:rPr/>
        <w:t>详见服务内容及服务要求</w:t>
      </w:r>
    </w:p>
    <w:p>
      <w:pPr>
        <w:pStyle w:val="null3"/>
        <w:outlineLvl w:val="2"/>
      </w:pPr>
      <w:r>
        <w:rPr>
          <w:sz w:val="28"/>
          <w:b/>
        </w:rPr>
        <w:t>3.2.5其他要求</w:t>
      </w:r>
    </w:p>
    <w:p>
      <w:pPr>
        <w:pStyle w:val="null3"/>
      </w:pPr>
      <w:r>
        <w:rPr/>
        <w:t>采购包1：</w:t>
      </w:r>
    </w:p>
    <w:p>
      <w:pPr>
        <w:pStyle w:val="null3"/>
      </w:pPr>
      <w:r>
        <w:rPr/>
        <w:t>详见服务内容及服务要求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15日历天内提交成果文件，实际以采购人委托单为准。</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1.成交供应商按照项目需求完成服务后，由用户方组织验收。 2.验收依据： (1) 合同文本； (2) 国家有关的验收标准及规范； (3) 竞争性磋商文件； (4) 磋商响应文件。 3.其他以采购合同约定为准。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合同签订后，成交单位提供等额正规发票</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项目完成，并经甲方验收合格后无任何问题，成交单位提供等额正规发票</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1.按《中华人民共和国民法典》、《中华人民共和国政府采购法》中的相关条款执行。 2.未按合同或采购文件要求执行，或质量不能满足甲方要求的，甲方有权终止合同，甚至对乙方违约行为进行追究。</w:t>
      </w:r>
    </w:p>
    <w:p>
      <w:pPr>
        <w:pStyle w:val="null3"/>
        <w:outlineLvl w:val="2"/>
      </w:pPr>
      <w:r>
        <w:rPr>
          <w:sz w:val="28"/>
          <w:b/>
        </w:rPr>
        <w:t>3.4其他要求</w:t>
      </w:r>
    </w:p>
    <w:p>
      <w:pPr>
        <w:pStyle w:val="null3"/>
      </w:pPr>
      <w:r>
        <w:rPr/>
        <w:t>成交供应商在结果公告发布后需提供纸质版响应文件贰份、电子版U盘壹份。纸质版响应文件应与政府采购电子化交易平台中上传的内容保持一致。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供应商需在项目电子化交易系统中按要求填写《投标函》完成承诺并进行电子签章。（须包含以下要求内容）： a.具有独立承担民事责任的能力； b.具有良好的商业信誉和健全的财务会计制度； c.具有履行合同所必需的设备和专业技术能力； d.有依法缴纳税收和社会保障资金的良好记录； e.参加政府采购活动前三年内，在经营活动中没有重大违法记录； f.法律、行政法规规定的其他条件。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1）供应商是法人的，提供2022年或2023年经审计的财务会计报告（包括审计报告、资产负债表、利润表、现金流量表、所有者权益变动表及其附注）；或其谈判截止时间前3个月内其基本账户开户银行出具的资信证明（附件1基本存款账户信息）； 2）供应商成立不到1年的，可提供企业任意时段财务报表或基本账户开户银行出具的资信证明； 3）供应商是自然人的，提供谈判截止时间前3个月内其银行出具的资信证明； 4）供应商为公益类事业单位的无需提供。</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企业资质</w:t>
            </w:r>
          </w:p>
        </w:tc>
        <w:tc>
          <w:tcPr>
            <w:tcW w:type="dxa" w:w="3322"/>
          </w:tcPr>
          <w:p>
            <w:pPr>
              <w:pStyle w:val="null3"/>
            </w:pPr>
            <w:r>
              <w:rPr/>
              <w:t>供应商须具备工程设计综合资质甲级，或市政行业工程设计乙级及以上资质，或市政行业（燃气工程、轨道交通工程除外）乙级及以上资质，或市政行业（给水工程）专业丙级及以上资质</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项目负责人资质</w:t>
            </w:r>
          </w:p>
        </w:tc>
        <w:tc>
          <w:tcPr>
            <w:tcW w:type="dxa" w:w="3322"/>
          </w:tcPr>
          <w:p>
            <w:pPr>
              <w:pStyle w:val="null3"/>
            </w:pPr>
            <w:r>
              <w:rPr/>
              <w:t>拟派项目负责人须具备（市政工程相关专业）高级工程师及以上职称，或注册公用设备工程师（给水排水）执业资格（在本单位注册）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网页查询截图</w:t>
            </w:r>
          </w:p>
        </w:tc>
        <w:tc>
          <w:tcPr>
            <w:tcW w:type="dxa" w:w="3322"/>
          </w:tcPr>
          <w:p>
            <w:pPr>
              <w:pStyle w:val="null3"/>
            </w:pPr>
            <w:r>
              <w:rPr/>
              <w:t>供应商基本信息及项目负责人的基本信息在“陕西省住房和城乡建设厅（http://js.shaanxi.gov.cn/）”或陕西政务服务网https://zwfw.shaanxi.gov.cn/sx/public/index可查询，提供官网截图并加盖供应商公章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法定代表人授权书</w:t>
            </w:r>
          </w:p>
        </w:tc>
        <w:tc>
          <w:tcPr>
            <w:tcW w:type="dxa" w:w="3322"/>
          </w:tcPr>
          <w:p>
            <w:pPr>
              <w:pStyle w:val="null3"/>
            </w:pPr>
            <w:r>
              <w:rPr/>
              <w:t>被授权人参加投标，须提供法定代表人授权书（附法定代表人、被授权人身份证复印件）；法定代表人直接参加投标，须提供法定代表人身份证明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供应商未被中国政府采购网（www.ccgp.gov.cn）列入政府采购严重违法失信行为记录名单，未被“信用中国”网站（www.creditchina.gov.cn）列入失信被执行人和重大税收违法失信主体</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非联合体</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响应文件封面 资格证明文件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资格证明文件 磋商报价表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标的清单 报价表 磋商报价表</w:t>
            </w:r>
          </w:p>
        </w:tc>
      </w:tr>
      <w:tr>
        <w:tc>
          <w:tcPr>
            <w:tcW w:type="dxa" w:w="831"/>
          </w:tcPr>
          <w:p>
            <w:pPr>
              <w:pStyle w:val="null3"/>
            </w:pPr>
            <w:r>
              <w:rPr/>
              <w:t>5</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磋商方案说明书</w:t>
            </w:r>
          </w:p>
        </w:tc>
      </w:tr>
      <w:tr>
        <w:tc>
          <w:tcPr>
            <w:tcW w:type="dxa" w:w="831"/>
          </w:tcPr>
          <w:p>
            <w:pPr>
              <w:pStyle w:val="null3"/>
            </w:pPr>
            <w:r>
              <w:rPr/>
              <w:t>6</w:t>
            </w:r>
          </w:p>
        </w:tc>
        <w:tc>
          <w:tcPr>
            <w:tcW w:type="dxa" w:w="2492"/>
          </w:tcPr>
          <w:p>
            <w:pPr>
              <w:pStyle w:val="null3"/>
            </w:pPr>
            <w:r>
              <w:rPr/>
              <w:t>服务期限（合同履行期限）</w:t>
            </w:r>
          </w:p>
        </w:tc>
        <w:tc>
          <w:tcPr>
            <w:tcW w:type="dxa" w:w="3322"/>
          </w:tcPr>
          <w:p>
            <w:pPr>
              <w:pStyle w:val="null3"/>
            </w:pPr>
            <w:r>
              <w:rPr/>
              <w:t>应满足磋商文件中要求的服务期限（合同履行期限）</w:t>
            </w:r>
          </w:p>
        </w:tc>
        <w:tc>
          <w:tcPr>
            <w:tcW w:type="dxa" w:w="1661"/>
          </w:tcPr>
          <w:p>
            <w:pPr>
              <w:pStyle w:val="null3"/>
            </w:pPr>
            <w:r>
              <w:rPr/>
              <w:t>报价表 磋商报价表</w:t>
            </w:r>
          </w:p>
        </w:tc>
      </w:tr>
      <w:tr>
        <w:tc>
          <w:tcPr>
            <w:tcW w:type="dxa" w:w="831"/>
          </w:tcPr>
          <w:p>
            <w:pPr>
              <w:pStyle w:val="null3"/>
            </w:pPr>
            <w:r>
              <w:rPr/>
              <w:t>7</w:t>
            </w:r>
          </w:p>
        </w:tc>
        <w:tc>
          <w:tcPr>
            <w:tcW w:type="dxa" w:w="2492"/>
          </w:tcPr>
          <w:p>
            <w:pPr>
              <w:pStyle w:val="null3"/>
            </w:pPr>
            <w:r>
              <w:rPr/>
              <w:t>服务地点</w:t>
            </w:r>
          </w:p>
        </w:tc>
        <w:tc>
          <w:tcPr>
            <w:tcW w:type="dxa" w:w="3322"/>
          </w:tcPr>
          <w:p>
            <w:pPr>
              <w:pStyle w:val="null3"/>
            </w:pPr>
            <w:r>
              <w:rPr/>
              <w:t>应满足磋商文件中要求的服务地点</w:t>
            </w:r>
          </w:p>
        </w:tc>
        <w:tc>
          <w:tcPr>
            <w:tcW w:type="dxa" w:w="1661"/>
          </w:tcPr>
          <w:p>
            <w:pPr>
              <w:pStyle w:val="null3"/>
            </w:pPr>
            <w:r>
              <w:rPr/>
              <w:t>报价表 磋商报价表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不存在法律、法规和采购文件规定的其他无效投标情形</w:t>
            </w:r>
          </w:p>
        </w:tc>
        <w:tc>
          <w:tcPr>
            <w:tcW w:type="dxa" w:w="1661"/>
          </w:tcPr>
          <w:p>
            <w:pPr>
              <w:pStyle w:val="null3"/>
            </w:pPr>
            <w:r>
              <w:rPr/>
              <w:t>资格证明文件 其它资料</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项目理解及针对本项目的任务分析</w:t>
            </w:r>
          </w:p>
        </w:tc>
        <w:tc>
          <w:tcPr>
            <w:tcW w:type="dxa" w:w="2492"/>
          </w:tcPr>
          <w:p>
            <w:pPr>
              <w:pStyle w:val="null3"/>
            </w:pPr>
            <w:r>
              <w:rPr/>
              <w:t>项目理解到位、分析准确，掌握项目各项工作要求，任务分析全面完善，计10分； 项目理解基本准确，了解项目相关情况，基本掌握项目各项工作要求，任务分析基本全面，计7分； 项目理解有欠缺，相关情况了解有欠缺，掌握项目基础工作要求，任务分析片面，计4分； 项目理解不准确，任务分析有欠缺，计1分； 其他或未提供不得分。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重难点分析</w:t>
            </w:r>
          </w:p>
        </w:tc>
        <w:tc>
          <w:tcPr>
            <w:tcW w:type="dxa" w:w="2492"/>
          </w:tcPr>
          <w:p>
            <w:pPr>
              <w:pStyle w:val="null3"/>
            </w:pPr>
            <w:r>
              <w:rPr/>
              <w:t>对项目重难点、关键性技术问题的认识及其对策措施： A.对项目重难点、关键性技术问题的把握准确、分析到位，所提供的对策措施完善，有较强的针对性，得9分； B.对项目重难点、关键性技术问题的把握基本准确、分析简单，所提供的对策措施合理，有一定的针对性，得6分； C.对项目重难点、关键性技术问题的把握有偏差、分析欠缺，所提供的对策措施简单普遍，对本项目没有针对性，得3分。 D.其他或未提供得0分。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设计思路及方案</w:t>
            </w:r>
          </w:p>
        </w:tc>
        <w:tc>
          <w:tcPr>
            <w:tcW w:type="dxa" w:w="2492"/>
          </w:tcPr>
          <w:p>
            <w:pPr>
              <w:pStyle w:val="null3"/>
            </w:pPr>
            <w:r>
              <w:rPr/>
              <w:t>设计思路合理、严谨、清晰，设计方案完整，描述详尽，针对性、可行性强，得10分； 设计思路较合理、清晰，设计方案较完整，描述清晰，针对性、可行性一般，得7分； 设计思路基本明确、合理，设计方案普遍通用，描述简单，针对性、可行性一般，得4分； 设计思路需进一步梳理，设计方案不完整，描述模糊，针对性、可行性欠缺，得1分； 其他或未提供不得分。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人员配备方案</w:t>
            </w:r>
          </w:p>
        </w:tc>
        <w:tc>
          <w:tcPr>
            <w:tcW w:type="dxa" w:w="2492"/>
          </w:tcPr>
          <w:p>
            <w:pPr>
              <w:pStyle w:val="null3"/>
            </w:pPr>
            <w:r>
              <w:rPr/>
              <w:t>A.人员组织架构完整，岗位设置合理、明确，技术人员专业性、经验性强，且对本项目有针对性，得9分； B.人员组织架构有待优化，技术人员岗位设置基本合理，人员专业性、经验性一般，得6分； C.人员组织架构不完整，人员岗位设置紧张，技术人员专业性、经验性欠缺，得3分； D.其他或未提供得0分。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进度计划及保障措施</w:t>
            </w:r>
          </w:p>
        </w:tc>
        <w:tc>
          <w:tcPr>
            <w:tcW w:type="dxa" w:w="2492"/>
          </w:tcPr>
          <w:p>
            <w:pPr>
              <w:pStyle w:val="null3"/>
            </w:pPr>
            <w:r>
              <w:rPr/>
              <w:t>根据设计工作进度计划安排的合理性、与本项目实际情况的符合性，进度保证措施的可靠性、可实施性进行评分： A.进度安排合理可行，进度保证措施详细、工作节点清晰，得9分； B.进度安排基本合理，进度保证措施不明确，需进一步协调，得6分； C.进度安排不合理，进度保证措施简单，得3分； D.其他或未提供得0分。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质量保障措施</w:t>
            </w:r>
          </w:p>
        </w:tc>
        <w:tc>
          <w:tcPr>
            <w:tcW w:type="dxa" w:w="2492"/>
          </w:tcPr>
          <w:p>
            <w:pPr>
              <w:pStyle w:val="null3"/>
            </w:pPr>
            <w:r>
              <w:rPr/>
              <w:t>A.设计质量保障措施描述严谨、完整合理、切实可行，针对性、可行性强，得10分； B.设计质量保障措施描述清晰但不够完整，基本合理性，针对性、可行性一般，得7分； C.设计质量保障措施描述简单，合理性、严谨度一般，针对性、可行性一般，得4分； D.设计质量保障措施描述不够清晰，合理性一般，针对性、可行性欠缺，得1分； E.其他或未提供得0分。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设计阶段工程造价控制措施</w:t>
            </w:r>
          </w:p>
        </w:tc>
        <w:tc>
          <w:tcPr>
            <w:tcW w:type="dxa" w:w="2492"/>
          </w:tcPr>
          <w:p>
            <w:pPr>
              <w:pStyle w:val="null3"/>
            </w:pPr>
            <w:r>
              <w:rPr/>
              <w:t>A.控制措施内容完整，描述详尽，针对性、可行性强得10分； B.控制措施描述清晰但不够完整，基本合理，针对性、可行性一般得7分； C.控制措施描述简单，合理性、严谨度一般，针对性、可行性一般，得4分； D.控制措施描述不够清晰，合理性一般，针对性、可行性欠缺，得1分； E.其他或未提供得0分。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服务承诺</w:t>
            </w:r>
          </w:p>
        </w:tc>
        <w:tc>
          <w:tcPr>
            <w:tcW w:type="dxa" w:w="2492"/>
          </w:tcPr>
          <w:p>
            <w:pPr>
              <w:pStyle w:val="null3"/>
            </w:pPr>
            <w:r>
              <w:rPr/>
              <w:t>A.承诺内容全面，描述详尽，针对性、可行性强，得8分； B.承诺内容较全面，描述较详尽，针对性、可行性一般，得6分； C.承诺内容简单，描述粗略，针对性、可行性一般得4分； D.承诺内容简单笼统，针对性、可行性欠缺，得2分； 其他或未提供得0分。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合理化建议</w:t>
            </w:r>
          </w:p>
        </w:tc>
        <w:tc>
          <w:tcPr>
            <w:tcW w:type="dxa" w:w="2492"/>
          </w:tcPr>
          <w:p>
            <w:pPr>
              <w:pStyle w:val="null3"/>
            </w:pPr>
            <w:r>
              <w:rPr/>
              <w:t>针对本项目服务内容及特点，提出合理化建议： A.内容详细，见解独到，具有较强针对性，得5分； B.内容较简单，提出的建议常规通用，缺乏针对性，得3分； C.内容笼统，没有对其观点展开论述，得1分； D.无或其它不得分。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供应商2021年11月1日（以合同签订时间为准）至本项目磋商响应文件递交截止时间止完成过的类似项目业绩，每提供一个得2分，最高得10分。 注：业绩以加盖公章的合同协议书的复印件为准。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1.实质性满足磋商文件要求且最终报价最低的有效报价为评标基准价,其价格分值为满分10分。 2.磋商报价得分=（磋商基准价/最终磋商报价）×10。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详见附件：磋商方案说明书</w:t>
      </w:r>
    </w:p>
    <w:p>
      <w:pPr>
        <w:pStyle w:val="null3"/>
        <w:ind w:firstLine="960"/>
      </w:pPr>
      <w:r>
        <w:rPr/>
        <w:t>详见附件：资格证明文件</w:t>
      </w:r>
    </w:p>
    <w:p>
      <w:pPr>
        <w:pStyle w:val="null3"/>
        <w:ind w:firstLine="960"/>
      </w:pPr>
      <w:r>
        <w:rPr/>
        <w:t>详见附件：其它资料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