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beforeLines="50"/>
        <w:ind w:firstLine="0"/>
        <w:jc w:val="center"/>
        <w:outlineLvl w:val="9"/>
        <w:rPr>
          <w:rFonts w:hint="eastAsia" w:ascii="方正小标宋简体" w:eastAsia="方正小标宋简体"/>
          <w:sz w:val="72"/>
          <w:szCs w:val="72"/>
          <w:lang w:val="en-US" w:eastAsia="zh-CN"/>
        </w:rPr>
      </w:pPr>
    </w:p>
    <w:p>
      <w:pPr>
        <w:rPr>
          <w:rFonts w:hint="eastAsia" w:ascii="方正小标宋简体" w:eastAsia="方正小标宋简体"/>
          <w:sz w:val="72"/>
          <w:szCs w:val="72"/>
          <w:lang w:val="en-US" w:eastAsia="zh-CN"/>
        </w:rPr>
      </w:pPr>
    </w:p>
    <w:p>
      <w:pPr>
        <w:rPr>
          <w:rFonts w:hint="eastAsia" w:ascii="方正小标宋简体" w:eastAsia="方正小标宋简体"/>
          <w:sz w:val="72"/>
          <w:szCs w:val="72"/>
          <w:lang w:val="en-US" w:eastAsia="zh-CN"/>
        </w:rPr>
      </w:pPr>
    </w:p>
    <w:p>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pPr>
        <w:pStyle w:val="2"/>
        <w:spacing w:before="120" w:beforeLines="50"/>
        <w:ind w:firstLine="0"/>
        <w:jc w:val="center"/>
        <w:outlineLvl w:val="9"/>
        <w:rPr>
          <w:rFonts w:hint="eastAsia" w:ascii="方正小标宋简体" w:eastAsia="方正小标宋简体"/>
          <w:sz w:val="72"/>
          <w:szCs w:val="72"/>
        </w:rPr>
      </w:pPr>
    </w:p>
    <w:p>
      <w:pPr>
        <w:rPr>
          <w:rFonts w:hint="eastAsia" w:ascii="方正小标宋简体" w:eastAsia="方正小标宋简体"/>
          <w:sz w:val="72"/>
          <w:szCs w:val="72"/>
        </w:rPr>
      </w:pPr>
      <w:r>
        <w:rPr>
          <w:rFonts w:hint="eastAsia" w:ascii="方正小标宋简体" w:eastAsia="方正小标宋简体"/>
          <w:sz w:val="72"/>
          <w:szCs w:val="72"/>
        </w:rPr>
        <w:br w:type="page"/>
      </w:r>
    </w:p>
    <w:p>
      <w:pPr>
        <w:pStyle w:val="2"/>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14949"/>
      <w:bookmarkStart w:id="1" w:name="_Toc28924"/>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pPr>
        <w:pStyle w:val="2"/>
        <w:spacing w:before="120" w:beforeLines="50" w:line="360" w:lineRule="auto"/>
        <w:ind w:firstLineChars="200"/>
        <w:outlineLvl w:val="9"/>
        <w:rPr>
          <w:rFonts w:hint="eastAsia"/>
          <w:color w:val="auto"/>
          <w:szCs w:val="21"/>
          <w:highlight w:val="none"/>
        </w:rPr>
      </w:pPr>
    </w:p>
    <w:p>
      <w:pPr>
        <w:pStyle w:val="2"/>
        <w:spacing w:before="120" w:beforeLines="50" w:line="360" w:lineRule="auto"/>
        <w:ind w:firstLineChars="200"/>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12053"/>
      <w:bookmarkStart w:id="3" w:name="_Toc539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pPr>
        <w:pStyle w:val="2"/>
        <w:spacing w:before="120" w:beforeLines="50" w:line="360" w:lineRule="auto"/>
        <w:outlineLvl w:val="9"/>
        <w:rPr>
          <w:rFonts w:hint="eastAsia"/>
          <w:color w:val="auto"/>
          <w:szCs w:val="21"/>
          <w:highlight w:val="none"/>
          <w:lang w:eastAsia="zh-CN"/>
        </w:rPr>
      </w:pPr>
      <w:bookmarkStart w:id="4" w:name="_Toc6195"/>
      <w:bookmarkStart w:id="5" w:name="_Toc16629"/>
      <w:r>
        <w:rPr>
          <w:rFonts w:hint="eastAsia" w:eastAsia="宋体"/>
          <w:szCs w:val="21"/>
          <w:highlight w:val="none"/>
          <w:lang w:val="en-US" w:eastAsia="zh-CN"/>
        </w:rPr>
        <w:t>二</w:t>
      </w:r>
      <w:r>
        <w:rPr>
          <w:rFonts w:hint="eastAsia"/>
          <w:szCs w:val="21"/>
          <w:highlight w:val="none"/>
        </w:rPr>
        <w:t>、</w:t>
      </w:r>
      <w:r>
        <w:rPr>
          <w:rFonts w:hint="eastAsia" w:hAnsi="宋体"/>
          <w:bCs/>
          <w:kern w:val="0"/>
          <w:szCs w:val="21"/>
          <w:highlight w:val="none"/>
        </w:rPr>
        <w:t xml:space="preserve">服务要求偏离表 </w:t>
      </w:r>
      <w:r>
        <w:rPr>
          <w:rFonts w:hint="eastAsia"/>
          <w:szCs w:val="21"/>
          <w:highlight w:val="none"/>
        </w:rPr>
        <w:t>…………………………………………………………………</w:t>
      </w:r>
    </w:p>
    <w:p>
      <w:pPr>
        <w:pStyle w:val="2"/>
        <w:tabs>
          <w:tab w:val="right" w:pos="8539"/>
        </w:tabs>
        <w:spacing w:before="120" w:beforeLines="50" w:line="360" w:lineRule="auto"/>
        <w:ind w:firstLineChars="200"/>
        <w:outlineLvl w:val="9"/>
        <w:rPr>
          <w:rFonts w:hint="eastAsia"/>
          <w:color w:val="auto"/>
          <w:szCs w:val="21"/>
          <w:highlight w:val="none"/>
        </w:rPr>
      </w:pPr>
      <w:r>
        <w:rPr>
          <w:rFonts w:hint="eastAsia"/>
          <w:color w:val="auto"/>
          <w:szCs w:val="21"/>
          <w:highlight w:val="none"/>
          <w:lang w:val="en-US" w:eastAsia="zh-CN"/>
        </w:rPr>
        <w:t>三</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pPr>
        <w:pStyle w:val="2"/>
        <w:tabs>
          <w:tab w:val="right" w:pos="8539"/>
        </w:tabs>
        <w:spacing w:before="120" w:beforeLines="50" w:line="360" w:lineRule="auto"/>
        <w:ind w:firstLineChars="200"/>
        <w:outlineLvl w:val="9"/>
        <w:rPr>
          <w:rFonts w:hint="eastAsia"/>
        </w:rPr>
      </w:pPr>
      <w:bookmarkStart w:id="6" w:name="_Toc21359"/>
      <w:r>
        <w:rPr>
          <w:rFonts w:hint="eastAsia" w:eastAsia="宋体"/>
          <w:szCs w:val="21"/>
          <w:highlight w:val="none"/>
          <w:lang w:val="en-US" w:eastAsia="zh-CN"/>
        </w:rPr>
        <w:t>四</w:t>
      </w:r>
      <w:r>
        <w:rPr>
          <w:rFonts w:hint="eastAsia"/>
          <w:szCs w:val="21"/>
          <w:highlight w:val="none"/>
        </w:rPr>
        <w:t>、合同条款偏离表 …………………………………………………………………</w:t>
      </w:r>
      <w:bookmarkEnd w:id="6"/>
    </w:p>
    <w:p>
      <w:pPr>
        <w:pStyle w:val="2"/>
        <w:spacing w:before="120" w:beforeLines="50" w:line="360" w:lineRule="auto"/>
        <w:outlineLvl w:val="9"/>
        <w:rPr>
          <w:rFonts w:hint="eastAsia"/>
          <w:szCs w:val="21"/>
          <w:highlight w:val="none"/>
        </w:rPr>
      </w:pPr>
      <w:r>
        <w:rPr>
          <w:rFonts w:hint="eastAsia" w:eastAsia="宋体"/>
          <w:szCs w:val="21"/>
          <w:highlight w:val="none"/>
          <w:lang w:val="en-US" w:eastAsia="zh-CN"/>
        </w:rPr>
        <w:t>五</w:t>
      </w:r>
      <w:r>
        <w:rPr>
          <w:rFonts w:hint="eastAsia"/>
          <w:szCs w:val="21"/>
          <w:highlight w:val="none"/>
        </w:rPr>
        <w:t>、承诺文件 …………………………………………………………………………………………………</w:t>
      </w:r>
    </w:p>
    <w:p>
      <w:pPr>
        <w:pStyle w:val="2"/>
        <w:spacing w:before="120" w:beforeLines="50" w:line="360" w:lineRule="auto"/>
        <w:outlineLvl w:val="9"/>
        <w:rPr>
          <w:rFonts w:hint="eastAsia"/>
          <w:szCs w:val="21"/>
          <w:highlight w:val="none"/>
        </w:rPr>
      </w:pPr>
      <w:bookmarkStart w:id="7" w:name="_Toc9796"/>
      <w:r>
        <w:rPr>
          <w:rFonts w:hint="eastAsia" w:eastAsia="宋体"/>
          <w:szCs w:val="21"/>
          <w:highlight w:val="none"/>
          <w:lang w:val="en-US" w:eastAsia="zh-CN"/>
        </w:rPr>
        <w:t>六</w:t>
      </w:r>
      <w:r>
        <w:rPr>
          <w:rFonts w:hint="eastAsia"/>
          <w:szCs w:val="21"/>
          <w:highlight w:val="none"/>
        </w:rPr>
        <w:t>、近年类似项目业绩一览表 ……………………………………………………………………</w:t>
      </w:r>
      <w:bookmarkEnd w:id="7"/>
    </w:p>
    <w:p>
      <w:pPr>
        <w:pStyle w:val="2"/>
        <w:spacing w:before="120" w:beforeLines="50" w:line="360" w:lineRule="auto"/>
        <w:outlineLvl w:val="9"/>
        <w:rPr>
          <w:rFonts w:hint="eastAsia"/>
          <w:szCs w:val="21"/>
          <w:highlight w:val="none"/>
        </w:rPr>
      </w:pPr>
      <w:r>
        <w:rPr>
          <w:rFonts w:hint="eastAsia" w:eastAsia="宋体"/>
          <w:szCs w:val="21"/>
          <w:highlight w:val="none"/>
          <w:lang w:val="en-US" w:eastAsia="zh-CN"/>
        </w:rPr>
        <w:t>七</w:t>
      </w:r>
      <w:r>
        <w:rPr>
          <w:rFonts w:hint="eastAsia"/>
          <w:szCs w:val="21"/>
          <w:highlight w:val="none"/>
        </w:rPr>
        <w:t>、技术</w:t>
      </w:r>
      <w:r>
        <w:rPr>
          <w:rFonts w:hint="eastAsia" w:eastAsia="宋体"/>
          <w:szCs w:val="21"/>
          <w:highlight w:val="none"/>
          <w:lang w:val="en-US" w:eastAsia="zh-CN"/>
        </w:rPr>
        <w:t>/服务</w:t>
      </w:r>
      <w:r>
        <w:rPr>
          <w:rFonts w:hint="eastAsia"/>
          <w:szCs w:val="21"/>
          <w:highlight w:val="none"/>
        </w:rPr>
        <w:t>文件 …………………………………………………………………………</w:t>
      </w:r>
    </w:p>
    <w:p>
      <w:pPr>
        <w:pStyle w:val="2"/>
        <w:spacing w:before="120" w:beforeLines="50" w:line="360" w:lineRule="auto"/>
        <w:outlineLvl w:val="9"/>
        <w:rPr>
          <w:rFonts w:hint="eastAsia"/>
          <w:szCs w:val="21"/>
          <w:highlight w:val="none"/>
        </w:rPr>
        <w:sectPr>
          <w:footerReference r:id="rId5" w:type="default"/>
          <w:pgSz w:w="11900" w:h="16840"/>
          <w:pgMar w:top="1440" w:right="1080" w:bottom="1440" w:left="1080" w:header="0" w:footer="0" w:gutter="0"/>
          <w:cols w:space="720" w:num="1"/>
        </w:sectPr>
      </w:pPr>
      <w:r>
        <w:rPr>
          <w:rFonts w:hint="eastAsia" w:eastAsia="宋体"/>
          <w:szCs w:val="21"/>
          <w:highlight w:val="none"/>
          <w:lang w:val="en-US" w:eastAsia="zh-CN"/>
        </w:rPr>
        <w:t>八</w:t>
      </w:r>
      <w:r>
        <w:rPr>
          <w:rFonts w:hint="eastAsia"/>
          <w:szCs w:val="21"/>
          <w:highlight w:val="none"/>
        </w:rPr>
        <w:t>、供应商认为有必要补充说明的事项 …………………………………………</w:t>
      </w:r>
    </w:p>
    <w:p>
      <w:pPr>
        <w:spacing w:before="240" w:beforeLines="100" w:after="240" w:afterLines="100" w:line="400" w:lineRule="exact"/>
        <w:jc w:val="both"/>
        <w:outlineLvl w:val="1"/>
        <w:rPr>
          <w:rFonts w:hint="eastAsia" w:ascii="宋体" w:hAnsi="宋体" w:eastAsia="宋体" w:cs="宋体"/>
          <w:b/>
          <w:color w:val="000000"/>
          <w:sz w:val="36"/>
          <w:szCs w:val="36"/>
          <w:highlight w:val="none"/>
          <w:lang w:eastAsia="zh-CN"/>
        </w:rPr>
      </w:pPr>
      <w:r>
        <w:rPr>
          <w:rFonts w:hint="eastAsia" w:ascii="宋体" w:hAnsi="宋体" w:eastAsia="宋体" w:cs="Times New Roman"/>
          <w:b/>
          <w:bCs/>
          <w:color w:val="auto"/>
          <w:kern w:val="2"/>
          <w:sz w:val="32"/>
          <w:szCs w:val="32"/>
          <w:highlight w:val="none"/>
          <w:lang w:val="en-US" w:eastAsia="zh-CN" w:bidi="ar-SA"/>
        </w:rPr>
        <w:t>一、</w:t>
      </w:r>
      <w:r>
        <w:rPr>
          <w:rFonts w:hint="eastAsia" w:ascii="宋体" w:hAnsi="宋体" w:eastAsia="宋体" w:cs="宋体"/>
          <w:b/>
          <w:color w:val="000000"/>
          <w:sz w:val="32"/>
          <w:szCs w:val="32"/>
          <w:highlight w:val="none"/>
        </w:rPr>
        <w:t>分项明细报价表</w:t>
      </w:r>
      <w:r>
        <w:rPr>
          <w:rFonts w:hint="eastAsia" w:ascii="宋体" w:hAnsi="宋体" w:cs="宋体"/>
          <w:b/>
          <w:color w:val="000000"/>
          <w:sz w:val="32"/>
          <w:szCs w:val="32"/>
          <w:highlight w:val="none"/>
          <w:lang w:eastAsia="zh-CN"/>
        </w:rPr>
        <w:t>（第</w:t>
      </w:r>
      <w:r>
        <w:rPr>
          <w:rFonts w:hint="eastAsia" w:ascii="宋体" w:hAnsi="宋体" w:cs="宋体"/>
          <w:b/>
          <w:color w:val="000000"/>
          <w:sz w:val="32"/>
          <w:szCs w:val="32"/>
          <w:highlight w:val="none"/>
          <w:lang w:val="en-US" w:eastAsia="zh-CN"/>
        </w:rPr>
        <w:t>二</w:t>
      </w:r>
      <w:r>
        <w:rPr>
          <w:rFonts w:hint="eastAsia" w:ascii="宋体" w:hAnsi="宋体" w:cs="宋体"/>
          <w:b/>
          <w:color w:val="000000"/>
          <w:sz w:val="32"/>
          <w:szCs w:val="32"/>
          <w:highlight w:val="none"/>
          <w:lang w:eastAsia="zh-CN"/>
        </w:rPr>
        <w:t>包：心理健康服务项目（西南片区））</w:t>
      </w:r>
    </w:p>
    <w:p>
      <w:pPr>
        <w:pStyle w:val="2"/>
        <w:spacing w:before="120" w:beforeLines="50" w:after="120" w:afterLines="50" w:line="360" w:lineRule="auto"/>
        <w:ind w:left="0" w:leftChars="0" w:firstLine="0" w:firstLineChars="0"/>
        <w:rPr>
          <w:rFonts w:hint="eastAsia" w:ascii="宋体" w:hAnsi="宋体" w:eastAsia="宋体" w:cs="宋体"/>
          <w:color w:val="000000"/>
          <w:highlight w:val="none"/>
          <w:lang w:val="en-US" w:eastAsia="zh-CN"/>
        </w:rPr>
      </w:pPr>
    </w:p>
    <w:p>
      <w:pPr>
        <w:pStyle w:val="2"/>
        <w:spacing w:before="120" w:beforeLines="50" w:after="120" w:afterLines="50" w:line="240" w:lineRule="auto"/>
        <w:ind w:left="0" w:leftChars="0" w:firstLine="0" w:firstLineChars="0"/>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项目名称：</w:t>
      </w:r>
      <w:r>
        <w:rPr>
          <w:rFonts w:hint="eastAsia" w:ascii="宋体" w:hAnsi="宋体" w:cs="宋体"/>
          <w:color w:val="000000"/>
          <w:highlight w:val="none"/>
          <w:u w:val="single"/>
          <w:lang w:val="en-US" w:eastAsia="zh-CN"/>
        </w:rPr>
        <w:t xml:space="preserve">                   </w:t>
      </w:r>
      <w:r>
        <w:rPr>
          <w:rFonts w:hint="eastAsia" w:ascii="宋体" w:hAnsi="宋体" w:cs="宋体"/>
          <w:color w:val="000000"/>
          <w:highlight w:val="none"/>
          <w:lang w:val="en-US" w:eastAsia="zh-CN"/>
        </w:rPr>
        <w:t xml:space="preserve"> </w:t>
      </w:r>
    </w:p>
    <w:p>
      <w:pPr>
        <w:pStyle w:val="2"/>
        <w:spacing w:before="120" w:beforeLines="50" w:after="120" w:afterLines="50" w:line="240" w:lineRule="auto"/>
        <w:ind w:left="0" w:leftChars="0" w:firstLine="0" w:firstLineChars="0"/>
        <w:rPr>
          <w:rFonts w:hint="default"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供应商名称：</w:t>
      </w:r>
      <w:r>
        <w:rPr>
          <w:rFonts w:hint="eastAsia" w:ascii="宋体" w:hAnsi="宋体" w:cs="宋体"/>
          <w:color w:val="000000"/>
          <w:highlight w:val="none"/>
          <w:u w:val="single"/>
          <w:lang w:val="en-US" w:eastAsia="zh-CN"/>
        </w:rPr>
        <w:t xml:space="preserve">                   </w:t>
      </w:r>
      <w:r>
        <w:rPr>
          <w:rFonts w:hint="eastAsia" w:ascii="宋体" w:hAnsi="宋体" w:cs="宋体"/>
          <w:color w:val="000000"/>
          <w:highlight w:val="none"/>
          <w:lang w:val="en-US" w:eastAsia="zh-CN"/>
        </w:rPr>
        <w:t xml:space="preserve"> （盖公章）</w:t>
      </w:r>
    </w:p>
    <w:p>
      <w:pPr>
        <w:pStyle w:val="2"/>
        <w:spacing w:before="120" w:beforeLines="50" w:after="120" w:afterLines="50" w:line="240" w:lineRule="auto"/>
        <w:ind w:left="0" w:leftChars="0" w:firstLine="0" w:firstLineChars="0"/>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包：</w:t>
      </w:r>
      <w:r>
        <w:rPr>
          <w:rFonts w:hint="eastAsia" w:ascii="宋体" w:hAnsi="宋体" w:cs="宋体"/>
          <w:color w:val="000000"/>
          <w:highlight w:val="none"/>
          <w:u w:val="single"/>
          <w:lang w:val="en-US" w:eastAsia="zh-CN"/>
        </w:rPr>
        <w:t xml:space="preserve">                   </w:t>
      </w:r>
      <w:r>
        <w:rPr>
          <w:rFonts w:hint="eastAsia" w:ascii="宋体" w:hAnsi="宋体" w:cs="宋体"/>
          <w:color w:val="000000"/>
          <w:highlight w:val="none"/>
          <w:lang w:val="en-US" w:eastAsia="zh-CN"/>
        </w:rPr>
        <w:t xml:space="preserve"> </w:t>
      </w:r>
      <w:r>
        <w:rPr>
          <w:rFonts w:hint="eastAsia" w:ascii="宋体" w:hAnsi="宋体" w:eastAsia="宋体" w:cs="宋体"/>
          <w:color w:val="000000"/>
          <w:highlight w:val="none"/>
          <w:lang w:val="en-US" w:eastAsia="zh-CN"/>
        </w:rPr>
        <w:t xml:space="preserve">     </w:t>
      </w:r>
    </w:p>
    <w:tbl>
      <w:tblPr>
        <w:tblStyle w:val="10"/>
        <w:tblpPr w:leftFromText="180" w:rightFromText="180" w:vertAnchor="text" w:horzAnchor="page" w:tblpX="1071" w:tblpY="453"/>
        <w:tblOverlap w:val="never"/>
        <w:tblW w:w="100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7"/>
        <w:gridCol w:w="1200"/>
        <w:gridCol w:w="2267"/>
        <w:gridCol w:w="1373"/>
        <w:gridCol w:w="1413"/>
        <w:gridCol w:w="1320"/>
        <w:gridCol w:w="1095"/>
        <w:gridCol w:w="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1001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1.个体咨询、家庭咨询及入户陪护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序号</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项目模块</w:t>
            </w:r>
          </w:p>
        </w:tc>
        <w:tc>
          <w:tcPr>
            <w:tcW w:w="2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eastAsia"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服务内容</w:t>
            </w: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eastAsia"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总服务人数/户数</w:t>
            </w:r>
          </w:p>
        </w:tc>
        <w:tc>
          <w:tcPr>
            <w:tcW w:w="1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总服务次数</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单位（元）</w:t>
            </w:r>
          </w:p>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每人（户）/每次/每小时</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eastAsia"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小计（元）</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default"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8" w:hRule="atLeast"/>
        </w:trPr>
        <w:tc>
          <w:tcPr>
            <w:tcW w:w="50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个体心理咨询（精神残疾人）</w:t>
            </w:r>
          </w:p>
        </w:tc>
        <w:tc>
          <w:tcPr>
            <w:tcW w:w="226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网络、电话咨询预约及面对面咨询预约服务，根据个人意愿，提供内、外部场所个体咨询服务。</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人</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Style w:val="16"/>
                <w:rFonts w:hint="eastAsia" w:ascii="宋体" w:hAnsi="宋体" w:eastAsia="宋体" w:cs="宋体"/>
                <w:sz w:val="20"/>
                <w:szCs w:val="20"/>
                <w:lang w:val="en-US" w:eastAsia="zh-CN" w:bidi="ar"/>
              </w:rPr>
              <w:t>（不得少于</w:t>
            </w:r>
            <w:r>
              <w:rPr>
                <w:rStyle w:val="16"/>
                <w:rFonts w:hint="eastAsia" w:ascii="宋体" w:hAnsi="宋体" w:cs="宋体"/>
                <w:sz w:val="20"/>
                <w:szCs w:val="20"/>
                <w:lang w:val="en-US" w:eastAsia="zh-CN" w:bidi="ar"/>
              </w:rPr>
              <w:t>37</w:t>
            </w:r>
            <w:r>
              <w:rPr>
                <w:rStyle w:val="16"/>
                <w:rFonts w:hint="eastAsia" w:ascii="宋体" w:hAnsi="宋体" w:eastAsia="宋体" w:cs="宋体"/>
                <w:sz w:val="20"/>
                <w:szCs w:val="20"/>
                <w:lang w:val="en-US" w:eastAsia="zh-CN" w:bidi="ar"/>
              </w:rPr>
              <w:t>人）</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（不得少于</w:t>
            </w:r>
            <w:r>
              <w:rPr>
                <w:rFonts w:hint="eastAsia" w:ascii="宋体" w:hAnsi="宋体" w:cs="宋体"/>
                <w:i w:val="0"/>
                <w:iCs w:val="0"/>
                <w:color w:val="000000"/>
                <w:kern w:val="0"/>
                <w:sz w:val="20"/>
                <w:szCs w:val="20"/>
                <w:u w:val="none"/>
                <w:lang w:val="en-US" w:eastAsia="zh-CN" w:bidi="ar"/>
              </w:rPr>
              <w:t>225</w:t>
            </w:r>
            <w:r>
              <w:rPr>
                <w:rFonts w:hint="eastAsia" w:ascii="宋体" w:hAnsi="宋体" w:eastAsia="宋体" w:cs="宋体"/>
                <w:i w:val="0"/>
                <w:iCs w:val="0"/>
                <w:color w:val="000000"/>
                <w:kern w:val="0"/>
                <w:sz w:val="20"/>
                <w:szCs w:val="20"/>
                <w:u w:val="none"/>
                <w:lang w:val="en-US" w:eastAsia="zh-CN" w:bidi="ar"/>
              </w:rPr>
              <w:t>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spacing w:line="240" w:lineRule="auto"/>
              <w:jc w:val="left"/>
              <w:textAlignment w:val="center"/>
              <w:rPr>
                <w:rFonts w:hint="eastAsia" w:ascii="宋体" w:hAnsi="宋体" w:eastAsia="宋体" w:cs="宋体"/>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spacing w:line="240" w:lineRule="auto"/>
              <w:jc w:val="left"/>
              <w:textAlignment w:val="center"/>
              <w:rPr>
                <w:rFonts w:hint="default" w:ascii="宋体" w:hAnsi="宋体" w:eastAsia="宋体" w:cs="宋体"/>
                <w:sz w:val="20"/>
                <w:szCs w:val="20"/>
                <w:lang w:val="en-US" w:eastAsia="zh-CN"/>
              </w:rPr>
            </w:pPr>
            <w:r>
              <w:rPr>
                <w:rFonts w:hint="eastAsia" w:ascii="宋体" w:hAnsi="宋体" w:eastAsia="宋体" w:cs="宋体"/>
                <w:i w:val="0"/>
                <w:iCs w:val="0"/>
                <w:color w:val="000000"/>
                <w:kern w:val="0"/>
                <w:sz w:val="20"/>
                <w:szCs w:val="20"/>
                <w:u w:val="none"/>
                <w:lang w:val="en-US" w:eastAsia="zh-CN" w:bidi="ar"/>
              </w:rPr>
              <w:t>75000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4" w:hRule="atLeast"/>
        </w:trPr>
        <w:tc>
          <w:tcPr>
            <w:tcW w:w="50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家庭咨询（精神类）</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网络、电话咨询预约及面对面咨询预约服务，根据个人意愿，提供内、外部场所家庭询服务。（家属不超过2人，直系亲属或长期一起居住生活的人，以家庭为单位一次计费）</w:t>
            </w:r>
          </w:p>
        </w:tc>
        <w:tc>
          <w:tcPr>
            <w:tcW w:w="137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户</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Style w:val="16"/>
                <w:rFonts w:hint="eastAsia" w:ascii="宋体" w:hAnsi="宋体" w:eastAsia="宋体" w:cs="宋体"/>
                <w:sz w:val="20"/>
                <w:szCs w:val="20"/>
                <w:lang w:val="en-US" w:eastAsia="zh-CN" w:bidi="ar"/>
              </w:rPr>
              <w:t>（不得少于15户）</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（不得少于45次）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6" w:hRule="atLeast"/>
        </w:trPr>
        <w:tc>
          <w:tcPr>
            <w:tcW w:w="50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2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心理咨询（其他各类残疾人、残疾人工作者、残疾人家属）</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网络、电话咨询预约及面对面咨询预约服务，根据个人意愿，提供内、外场所个体咨询服务。</w:t>
            </w:r>
          </w:p>
        </w:tc>
        <w:tc>
          <w:tcPr>
            <w:tcW w:w="137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人</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Style w:val="16"/>
                <w:rFonts w:hint="eastAsia" w:ascii="宋体" w:hAnsi="宋体" w:eastAsia="宋体" w:cs="宋体"/>
                <w:sz w:val="20"/>
                <w:szCs w:val="20"/>
                <w:lang w:val="en-US" w:eastAsia="zh-CN" w:bidi="ar"/>
              </w:rPr>
              <w:t>（不得少于</w:t>
            </w:r>
            <w:r>
              <w:rPr>
                <w:rStyle w:val="16"/>
                <w:rFonts w:hint="eastAsia" w:ascii="宋体" w:hAnsi="宋体" w:cs="宋体"/>
                <w:sz w:val="20"/>
                <w:szCs w:val="20"/>
                <w:lang w:val="en-US" w:eastAsia="zh-CN" w:bidi="ar"/>
              </w:rPr>
              <w:t>45</w:t>
            </w:r>
            <w:r>
              <w:rPr>
                <w:rStyle w:val="16"/>
                <w:rFonts w:hint="eastAsia" w:ascii="宋体" w:hAnsi="宋体" w:eastAsia="宋体" w:cs="宋体"/>
                <w:sz w:val="20"/>
                <w:szCs w:val="20"/>
                <w:lang w:val="en-US" w:eastAsia="zh-CN" w:bidi="ar"/>
              </w:rPr>
              <w:t>人）</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（不得少于</w:t>
            </w:r>
            <w:r>
              <w:rPr>
                <w:rFonts w:hint="eastAsia" w:ascii="宋体" w:hAnsi="宋体" w:cs="宋体"/>
                <w:i w:val="0"/>
                <w:iCs w:val="0"/>
                <w:color w:val="000000"/>
                <w:kern w:val="0"/>
                <w:sz w:val="20"/>
                <w:szCs w:val="20"/>
                <w:u w:val="none"/>
                <w:lang w:val="en-US" w:eastAsia="zh-CN" w:bidi="ar"/>
              </w:rPr>
              <w:t>263</w:t>
            </w:r>
            <w:r>
              <w:rPr>
                <w:rFonts w:hint="eastAsia" w:ascii="宋体" w:hAnsi="宋体" w:eastAsia="宋体" w:cs="宋体"/>
                <w:i w:val="0"/>
                <w:iCs w:val="0"/>
                <w:color w:val="000000"/>
                <w:kern w:val="0"/>
                <w:sz w:val="20"/>
                <w:szCs w:val="20"/>
                <w:u w:val="none"/>
                <w:lang w:val="en-US" w:eastAsia="zh-CN" w:bidi="ar"/>
              </w:rPr>
              <w:t>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0" w:hRule="atLeast"/>
        </w:trPr>
        <w:tc>
          <w:tcPr>
            <w:tcW w:w="50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12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入户心理陪护</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通过入户走访的形式，对行动不便的残疾人及老人进行心理陪护服务。</w:t>
            </w:r>
          </w:p>
        </w:tc>
        <w:tc>
          <w:tcPr>
            <w:tcW w:w="137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人</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Style w:val="16"/>
                <w:rFonts w:hint="eastAsia" w:ascii="宋体" w:hAnsi="宋体" w:eastAsia="宋体" w:cs="宋体"/>
                <w:sz w:val="20"/>
                <w:szCs w:val="20"/>
                <w:lang w:val="en-US" w:eastAsia="zh-CN" w:bidi="ar"/>
              </w:rPr>
              <w:t>（不得少于</w:t>
            </w:r>
            <w:r>
              <w:rPr>
                <w:rStyle w:val="16"/>
                <w:rFonts w:hint="eastAsia" w:ascii="宋体" w:hAnsi="宋体" w:cs="宋体"/>
                <w:sz w:val="20"/>
                <w:szCs w:val="20"/>
                <w:lang w:val="en-US" w:eastAsia="zh-CN" w:bidi="ar"/>
              </w:rPr>
              <w:t>35</w:t>
            </w:r>
            <w:r>
              <w:rPr>
                <w:rStyle w:val="16"/>
                <w:rFonts w:hint="eastAsia" w:ascii="宋体" w:hAnsi="宋体" w:eastAsia="宋体" w:cs="宋体"/>
                <w:sz w:val="20"/>
                <w:szCs w:val="20"/>
                <w:lang w:val="en-US" w:eastAsia="zh-CN" w:bidi="ar"/>
              </w:rPr>
              <w:t>人）</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（不得少于</w:t>
            </w:r>
            <w:r>
              <w:rPr>
                <w:rFonts w:hint="eastAsia" w:ascii="宋体" w:hAnsi="宋体" w:cs="宋体"/>
                <w:i w:val="0"/>
                <w:iCs w:val="0"/>
                <w:color w:val="000000"/>
                <w:kern w:val="0"/>
                <w:sz w:val="20"/>
                <w:szCs w:val="20"/>
                <w:u w:val="none"/>
                <w:lang w:val="en-US" w:eastAsia="zh-CN" w:bidi="ar"/>
              </w:rPr>
              <w:t>200</w:t>
            </w:r>
            <w:r>
              <w:rPr>
                <w:rFonts w:hint="eastAsia" w:ascii="宋体" w:hAnsi="宋体" w:eastAsia="宋体" w:cs="宋体"/>
                <w:i w:val="0"/>
                <w:iCs w:val="0"/>
                <w:color w:val="000000"/>
                <w:kern w:val="0"/>
                <w:sz w:val="20"/>
                <w:szCs w:val="20"/>
                <w:u w:val="none"/>
                <w:lang w:val="en-US" w:eastAsia="zh-CN" w:bidi="ar"/>
              </w:rPr>
              <w:t>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0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个体咨询、家庭咨询及入户陪护合计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trPr>
        <w:tc>
          <w:tcPr>
            <w:tcW w:w="10015" w:type="dxa"/>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cs="宋体"/>
                <w:b/>
                <w:bCs/>
                <w:i w:val="0"/>
                <w:iCs w:val="0"/>
                <w:color w:val="000000"/>
                <w:sz w:val="22"/>
                <w:szCs w:val="22"/>
                <w:u w:val="none"/>
                <w:lang w:val="en-US" w:eastAsia="zh-CN"/>
              </w:rPr>
              <w:t>2.团体服务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507"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序号</w:t>
            </w:r>
          </w:p>
        </w:tc>
        <w:tc>
          <w:tcPr>
            <w:tcW w:w="1200"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项目模块</w:t>
            </w:r>
          </w:p>
        </w:tc>
        <w:tc>
          <w:tcPr>
            <w:tcW w:w="364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Style w:val="16"/>
                <w:rFonts w:hint="eastAsia" w:ascii="宋体" w:hAnsi="宋体" w:eastAsia="宋体" w:cs="宋体"/>
                <w:sz w:val="20"/>
                <w:szCs w:val="20"/>
                <w:lang w:val="en-US" w:eastAsia="zh-CN" w:bidi="ar"/>
              </w:rPr>
              <w:t>服务内容</w:t>
            </w:r>
          </w:p>
        </w:tc>
        <w:tc>
          <w:tcPr>
            <w:tcW w:w="1413"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总服务</w:t>
            </w:r>
          </w:p>
          <w:p>
            <w:pPr>
              <w:keepNext w:val="0"/>
              <w:keepLines w:val="0"/>
              <w:widowControl/>
              <w:suppressLineNumbers w:val="0"/>
              <w:spacing w:line="240" w:lineRule="auto"/>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次数</w:t>
            </w:r>
            <w:r>
              <w:rPr>
                <w:rFonts w:hint="eastAsia" w:ascii="宋体" w:hAnsi="宋体" w:cs="宋体"/>
                <w:i w:val="0"/>
                <w:iCs w:val="0"/>
                <w:color w:val="000000"/>
                <w:kern w:val="0"/>
                <w:sz w:val="20"/>
                <w:szCs w:val="20"/>
                <w:u w:val="none"/>
                <w:lang w:val="en-US" w:eastAsia="zh-CN" w:bidi="ar"/>
              </w:rPr>
              <w:t>/场数</w:t>
            </w:r>
          </w:p>
        </w:tc>
        <w:tc>
          <w:tcPr>
            <w:tcW w:w="1320"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单位（元）</w:t>
            </w:r>
          </w:p>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每</w:t>
            </w:r>
            <w:r>
              <w:rPr>
                <w:rFonts w:hint="eastAsia" w:ascii="宋体" w:hAnsi="宋体" w:cs="宋体"/>
                <w:i w:val="0"/>
                <w:iCs w:val="0"/>
                <w:color w:val="000000"/>
                <w:kern w:val="0"/>
                <w:sz w:val="20"/>
                <w:szCs w:val="20"/>
                <w:u w:val="none"/>
                <w:lang w:val="en-US" w:eastAsia="zh-CN" w:bidi="ar"/>
              </w:rPr>
              <w:t>次</w:t>
            </w:r>
            <w:r>
              <w:rPr>
                <w:rFonts w:hint="eastAsia" w:ascii="宋体" w:hAnsi="宋体" w:eastAsia="宋体" w:cs="宋体"/>
                <w:i w:val="0"/>
                <w:iCs w:val="0"/>
                <w:color w:val="000000"/>
                <w:kern w:val="0"/>
                <w:sz w:val="20"/>
                <w:szCs w:val="20"/>
                <w:u w:val="none"/>
                <w:lang w:val="en-US" w:eastAsia="zh-CN" w:bidi="ar"/>
              </w:rPr>
              <w:t>/每小时</w:t>
            </w:r>
          </w:p>
        </w:tc>
        <w:tc>
          <w:tcPr>
            <w:tcW w:w="1095"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Style w:val="16"/>
                <w:rFonts w:hint="eastAsia" w:ascii="宋体" w:hAnsi="宋体" w:eastAsia="宋体" w:cs="宋体"/>
                <w:sz w:val="20"/>
                <w:szCs w:val="20"/>
                <w:lang w:val="en-US" w:eastAsia="zh-CN" w:bidi="ar"/>
              </w:rPr>
              <w:t>小计（元）</w:t>
            </w:r>
          </w:p>
        </w:tc>
        <w:tc>
          <w:tcPr>
            <w:tcW w:w="840"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eastAsia"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9" w:hRule="atLeast"/>
        </w:trPr>
        <w:tc>
          <w:tcPr>
            <w:tcW w:w="50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心理沙龙</w:t>
            </w:r>
          </w:p>
        </w:tc>
        <w:tc>
          <w:tcPr>
            <w:tcW w:w="364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针对精神残疾人、精神残疾人家属、残疾儿童及家长、残疾人及残疾人工作者分别开展心理健康宣讲和团体心理辅导或心理沙龙等活动，满足配套物料及宣传需要。</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团体室外拓展</w:t>
            </w:r>
          </w:p>
        </w:tc>
        <w:tc>
          <w:tcPr>
            <w:tcW w:w="3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对残疾人及残疾人工作者、街道与社区相关工作人员分别开展不同主题和形式多样的团体心理团建和拓展活动。满足配套物料及宣传需要。</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公益性讲座</w:t>
            </w:r>
          </w:p>
        </w:tc>
        <w:tc>
          <w:tcPr>
            <w:tcW w:w="3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按照残联要求选择合适的讲座主题为相关群体提供心理讲座服务。</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themeColor="text1"/>
                <w:sz w:val="20"/>
                <w:szCs w:val="20"/>
                <w:u w:val="none"/>
                <w:lang w:val="en-US"/>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免费0元</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免费0元</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808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团体服务合计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808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第一次磋商总报价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r>
    </w:tbl>
    <w:p>
      <w:pPr>
        <w:pStyle w:val="2"/>
        <w:spacing w:before="120" w:beforeLines="50" w:after="120" w:afterLines="50"/>
        <w:ind w:left="0" w:leftChars="0" w:firstLine="0" w:firstLineChars="0"/>
        <w:rPr>
          <w:rFonts w:hint="eastAsia" w:ascii="宋体" w:hAnsi="宋体" w:eastAsia="宋体" w:cs="宋体"/>
          <w:color w:val="000000"/>
          <w:highlight w:val="none"/>
          <w:lang w:val="en-US" w:eastAsia="zh-CN"/>
        </w:rPr>
      </w:pPr>
    </w:p>
    <w:p>
      <w:pPr>
        <w:pStyle w:val="2"/>
        <w:spacing w:before="120" w:beforeLines="50" w:after="120" w:afterLines="50" w:line="240" w:lineRule="auto"/>
        <w:ind w:firstLine="300" w:firstLineChars="150"/>
        <w:rPr>
          <w:rFonts w:hint="eastAsia" w:ascii="宋体" w:hAnsi="宋体" w:eastAsia="宋体" w:cs="宋体"/>
          <w:color w:val="000000"/>
          <w:sz w:val="20"/>
          <w:szCs w:val="22"/>
          <w:highlight w:val="none"/>
          <w:lang w:val="en-US" w:eastAsia="zh-CN"/>
        </w:rPr>
      </w:pPr>
      <w:r>
        <w:rPr>
          <w:rFonts w:hint="eastAsia" w:ascii="宋体" w:hAnsi="宋体" w:eastAsia="宋体" w:cs="宋体"/>
          <w:color w:val="000000"/>
          <w:sz w:val="20"/>
          <w:szCs w:val="22"/>
          <w:highlight w:val="none"/>
          <w:lang w:val="en-US" w:eastAsia="zh-CN"/>
        </w:rPr>
        <w:t>注：</w:t>
      </w:r>
    </w:p>
    <w:p>
      <w:pPr>
        <w:pStyle w:val="2"/>
        <w:spacing w:before="120" w:beforeLines="50" w:after="120" w:afterLines="50" w:line="24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1.磋商报价保留两位小数；</w:t>
      </w:r>
    </w:p>
    <w:p>
      <w:pPr>
        <w:pStyle w:val="2"/>
        <w:spacing w:before="120" w:beforeLines="50" w:after="120" w:afterLines="50" w:line="24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2.分项明细报价表中的“第一次磋商总报价”须与“响应报价表 ”中的第一次磋商总报价一致；</w:t>
      </w:r>
    </w:p>
    <w:p>
      <w:pPr>
        <w:pStyle w:val="2"/>
        <w:spacing w:before="120" w:beforeLines="50" w:after="120" w:afterLines="50" w:line="24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3.个体咨询、家庭咨询及入户陪护，按照单人单次及时长报价，各项服务总价不得超过该项最高限价；</w:t>
      </w:r>
    </w:p>
    <w:p>
      <w:pPr>
        <w:pStyle w:val="2"/>
        <w:spacing w:before="120" w:beforeLines="50" w:after="120" w:afterLines="50" w:line="24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cs="宋体"/>
          <w:color w:val="000000" w:themeColor="text1"/>
          <w:sz w:val="20"/>
          <w:szCs w:val="22"/>
          <w:highlight w:val="none"/>
          <w:lang w:val="en-US" w:eastAsia="zh-CN"/>
          <w14:textFill>
            <w14:solidFill>
              <w14:schemeClr w14:val="tx1"/>
            </w14:solidFill>
          </w14:textFill>
        </w:rPr>
        <w:t>4.</w:t>
      </w:r>
      <w:r>
        <w:rPr>
          <w:rFonts w:hint="eastAsia" w:ascii="宋体" w:hAnsi="宋体" w:eastAsia="宋体" w:cs="宋体"/>
          <w:color w:val="000000" w:themeColor="text1"/>
          <w:sz w:val="20"/>
          <w:szCs w:val="22"/>
          <w:highlight w:val="none"/>
          <w:lang w:val="en-US" w:eastAsia="zh-CN"/>
          <w14:textFill>
            <w14:solidFill>
              <w14:schemeClr w14:val="tx1"/>
            </w14:solidFill>
          </w14:textFill>
        </w:rPr>
        <w:t>团体服务按照单次及时长报价，各项服务总价不得超过该项最高限价</w:t>
      </w:r>
      <w:r>
        <w:rPr>
          <w:rFonts w:hint="eastAsia" w:ascii="宋体" w:hAnsi="宋体" w:cs="宋体"/>
          <w:color w:val="000000" w:themeColor="text1"/>
          <w:sz w:val="20"/>
          <w:szCs w:val="22"/>
          <w:highlight w:val="none"/>
          <w:lang w:val="en-US" w:eastAsia="zh-CN"/>
          <w14:textFill>
            <w14:solidFill>
              <w14:schemeClr w14:val="tx1"/>
            </w14:solidFill>
          </w14:textFill>
        </w:rPr>
        <w:t>；</w:t>
      </w:r>
    </w:p>
    <w:p>
      <w:pPr>
        <w:pStyle w:val="2"/>
        <w:spacing w:before="120" w:beforeLines="50" w:after="120" w:afterLines="50" w:line="24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cs="宋体"/>
          <w:color w:val="000000" w:themeColor="text1"/>
          <w:sz w:val="20"/>
          <w:szCs w:val="22"/>
          <w:highlight w:val="none"/>
          <w:lang w:val="en-US" w:eastAsia="zh-CN"/>
          <w14:textFill>
            <w14:solidFill>
              <w14:schemeClr w14:val="tx1"/>
            </w14:solidFill>
          </w14:textFill>
        </w:rPr>
        <w:t>5.</w:t>
      </w:r>
      <w:r>
        <w:rPr>
          <w:rFonts w:hint="eastAsia" w:ascii="宋体" w:hAnsi="宋体" w:eastAsia="宋体" w:cs="宋体"/>
          <w:color w:val="000000" w:themeColor="text1"/>
          <w:sz w:val="20"/>
          <w:szCs w:val="22"/>
          <w:highlight w:val="none"/>
          <w:lang w:val="en-US" w:eastAsia="zh-CN"/>
          <w14:textFill>
            <w14:solidFill>
              <w14:schemeClr w14:val="tx1"/>
            </w14:solidFill>
          </w14:textFill>
        </w:rPr>
        <w:t>供应商须对服务内容的各子项分别报价，且每轮磋商，供应商各分项磋商报价均不得超过该项最高限价；</w:t>
      </w:r>
    </w:p>
    <w:p>
      <w:pPr>
        <w:pStyle w:val="2"/>
        <w:spacing w:before="120" w:beforeLines="50" w:after="120" w:afterLines="50" w:line="24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cs="宋体"/>
          <w:color w:val="000000" w:themeColor="text1"/>
          <w:sz w:val="20"/>
          <w:szCs w:val="22"/>
          <w:highlight w:val="none"/>
          <w:lang w:val="en-US" w:eastAsia="zh-CN"/>
          <w14:textFill>
            <w14:solidFill>
              <w14:schemeClr w14:val="tx1"/>
            </w14:solidFill>
          </w14:textFill>
        </w:rPr>
        <w:t>6.</w:t>
      </w:r>
      <w:r>
        <w:rPr>
          <w:rFonts w:hint="eastAsia" w:ascii="宋体" w:hAnsi="宋体" w:eastAsia="宋体" w:cs="宋体"/>
          <w:color w:val="000000" w:themeColor="text1"/>
          <w:sz w:val="20"/>
          <w:szCs w:val="22"/>
          <w:highlight w:val="none"/>
          <w:lang w:val="en-US" w:eastAsia="zh-CN"/>
          <w14:textFill>
            <w14:solidFill>
              <w14:schemeClr w14:val="tx1"/>
            </w14:solidFill>
          </w14:textFill>
        </w:rPr>
        <w:t>第</w:t>
      </w:r>
      <w:r>
        <w:rPr>
          <w:rFonts w:hint="eastAsia" w:ascii="宋体" w:hAnsi="宋体" w:cs="宋体"/>
          <w:color w:val="000000" w:themeColor="text1"/>
          <w:sz w:val="20"/>
          <w:szCs w:val="22"/>
          <w:highlight w:val="none"/>
          <w:lang w:val="en-US" w:eastAsia="zh-CN"/>
          <w14:textFill>
            <w14:solidFill>
              <w14:schemeClr w14:val="tx1"/>
            </w14:solidFill>
          </w14:textFill>
        </w:rPr>
        <w:t>二</w:t>
      </w:r>
      <w:r>
        <w:rPr>
          <w:rFonts w:hint="eastAsia" w:ascii="宋体" w:hAnsi="宋体" w:eastAsia="宋体" w:cs="宋体"/>
          <w:color w:val="000000" w:themeColor="text1"/>
          <w:sz w:val="20"/>
          <w:szCs w:val="22"/>
          <w:highlight w:val="none"/>
          <w:lang w:val="en-US" w:eastAsia="zh-CN"/>
          <w14:textFill>
            <w14:solidFill>
              <w14:schemeClr w14:val="tx1"/>
            </w14:solidFill>
          </w14:textFill>
        </w:rPr>
        <w:t>包供应商各轮次磋商总报价均不得高于2</w:t>
      </w:r>
      <w:r>
        <w:rPr>
          <w:rFonts w:hint="eastAsia" w:ascii="宋体" w:hAnsi="宋体" w:cs="宋体"/>
          <w:color w:val="000000" w:themeColor="text1"/>
          <w:sz w:val="20"/>
          <w:szCs w:val="22"/>
          <w:highlight w:val="none"/>
          <w:lang w:val="en-US" w:eastAsia="zh-CN"/>
          <w14:textFill>
            <w14:solidFill>
              <w14:schemeClr w14:val="tx1"/>
            </w14:solidFill>
          </w14:textFill>
        </w:rPr>
        <w:t>5</w:t>
      </w:r>
      <w:r>
        <w:rPr>
          <w:rFonts w:hint="eastAsia" w:ascii="宋体" w:hAnsi="宋体" w:eastAsia="宋体" w:cs="宋体"/>
          <w:color w:val="000000" w:themeColor="text1"/>
          <w:sz w:val="20"/>
          <w:szCs w:val="22"/>
          <w:highlight w:val="none"/>
          <w:lang w:val="en-US" w:eastAsia="zh-CN"/>
          <w14:textFill>
            <w14:solidFill>
              <w14:schemeClr w14:val="tx1"/>
            </w14:solidFill>
          </w14:textFill>
        </w:rPr>
        <w:t>0000元；</w:t>
      </w:r>
    </w:p>
    <w:p>
      <w:pPr>
        <w:pStyle w:val="2"/>
        <w:spacing w:before="120" w:beforeLines="50" w:after="120" w:afterLines="50" w:line="360" w:lineRule="auto"/>
        <w:rPr>
          <w:rFonts w:hint="default" w:ascii="宋体" w:hAnsi="宋体" w:eastAsia="宋体" w:cs="宋体"/>
          <w:b/>
          <w:bCs/>
          <w:color w:val="000000" w:themeColor="text1"/>
          <w:sz w:val="20"/>
          <w:szCs w:val="22"/>
          <w:highlight w:val="none"/>
          <w:lang w:val="en-US" w:eastAsia="zh-CN"/>
          <w14:textFill>
            <w14:solidFill>
              <w14:schemeClr w14:val="tx1"/>
            </w14:solidFill>
          </w14:textFill>
        </w:rPr>
      </w:pPr>
      <w:r>
        <w:rPr>
          <w:rFonts w:hint="eastAsia" w:ascii="微软雅黑" w:hAnsi="微软雅黑" w:eastAsia="微软雅黑" w:cs="微软雅黑"/>
          <w:b/>
          <w:bCs/>
          <w:color w:val="000000" w:themeColor="text1"/>
          <w:sz w:val="20"/>
          <w:szCs w:val="22"/>
          <w:highlight w:val="none"/>
          <w:lang w:val="en-US" w:eastAsia="zh-CN"/>
          <w14:textFill>
            <w14:solidFill>
              <w14:schemeClr w14:val="tx1"/>
            </w14:solidFill>
          </w14:textFill>
        </w:rPr>
        <w:t>★</w:t>
      </w:r>
      <w:r>
        <w:rPr>
          <w:rFonts w:hint="eastAsia" w:ascii="宋体" w:hAnsi="宋体" w:eastAsia="宋体" w:cs="宋体"/>
          <w:b/>
          <w:bCs/>
          <w:color w:val="000000" w:themeColor="text1"/>
          <w:sz w:val="20"/>
          <w:szCs w:val="22"/>
          <w:highlight w:val="none"/>
          <w:lang w:val="en-US" w:eastAsia="zh-CN"/>
          <w14:textFill>
            <w14:solidFill>
              <w14:schemeClr w14:val="tx1"/>
            </w14:solidFill>
          </w14:textFill>
        </w:rPr>
        <w:t>7.各供应商在最终报价后，须将最终报价表的分项报价扫描件（参考此表）发送至采购代理邮箱2644970372@qq.com，最终报价表的分项报价合计须与最终报价表的总计一致。</w:t>
      </w:r>
    </w:p>
    <w:p>
      <w:pPr>
        <w:pStyle w:val="3"/>
        <w:rPr>
          <w:rFonts w:hint="eastAsia"/>
          <w:lang w:val="en-US" w:eastAsia="zh-CN"/>
        </w:rPr>
      </w:pPr>
    </w:p>
    <w:p>
      <w:pPr>
        <w:pStyle w:val="3"/>
        <w:rPr>
          <w:rFonts w:hint="eastAsia" w:ascii="宋体" w:hAnsi="宋体" w:eastAsia="宋体" w:cs="宋体"/>
          <w:color w:val="000000"/>
          <w:sz w:val="20"/>
          <w:szCs w:val="22"/>
          <w:highlight w:val="none"/>
          <w:lang w:val="en-US" w:eastAsia="zh-CN"/>
        </w:rPr>
      </w:pPr>
    </w:p>
    <w:p>
      <w:pPr>
        <w:pStyle w:val="2"/>
        <w:rPr>
          <w:rFonts w:hint="eastAsia" w:ascii="宋体" w:hAnsi="宋体" w:eastAsia="宋体" w:cs="宋体"/>
          <w:lang w:val="en-US" w:eastAsia="zh-CN"/>
        </w:rPr>
      </w:pPr>
    </w:p>
    <w:p>
      <w:pPr>
        <w:adjustRightInd w:val="0"/>
        <w:spacing w:before="480" w:beforeLines="200" w:line="360" w:lineRule="auto"/>
        <w:jc w:val="right"/>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（盖单位</w:t>
      </w:r>
      <w:r>
        <w:rPr>
          <w:rFonts w:hint="eastAsia" w:ascii="宋体" w:hAnsi="宋体" w:eastAsia="宋体" w:cs="宋体"/>
          <w:color w:val="000000"/>
          <w:szCs w:val="21"/>
          <w:highlight w:val="none"/>
          <w:lang w:val="en-US" w:eastAsia="zh-CN"/>
        </w:rPr>
        <w:t>公章</w:t>
      </w:r>
      <w:r>
        <w:rPr>
          <w:rFonts w:hint="eastAsia" w:ascii="宋体" w:hAnsi="宋体" w:eastAsia="宋体" w:cs="宋体"/>
          <w:color w:val="000000"/>
          <w:szCs w:val="21"/>
          <w:highlight w:val="none"/>
        </w:rPr>
        <w:t>）</w:t>
      </w:r>
    </w:p>
    <w:p>
      <w:pPr>
        <w:adjustRightInd w:val="0"/>
        <w:spacing w:before="120" w:beforeLines="50" w:line="360" w:lineRule="auto"/>
        <w:jc w:val="righ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或委托代理人：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（签名）</w:t>
      </w:r>
    </w:p>
    <w:p>
      <w:pPr>
        <w:adjustRightInd w:val="0"/>
        <w:spacing w:before="120" w:beforeLines="50" w:after="120" w:afterLines="50" w:line="400" w:lineRule="exact"/>
        <w:ind w:firstLine="3780" w:firstLineChars="1800"/>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日   期：</w:t>
      </w:r>
      <w:r>
        <w:rPr>
          <w:rFonts w:hint="eastAsia" w:ascii="宋体" w:hAnsi="宋体" w:eastAsia="宋体" w:cs="宋体"/>
          <w:color w:val="000000"/>
          <w:szCs w:val="21"/>
          <w:highlight w:val="none"/>
          <w:lang w:val="en-US" w:eastAsia="zh-CN"/>
        </w:rPr>
        <w:t xml:space="preserve">  </w:t>
      </w:r>
      <w:r>
        <w:rPr>
          <w:rFonts w:hint="eastAsia" w:ascii="宋体" w:hAnsi="宋体" w:eastAsia="宋体" w:cs="宋体"/>
          <w:color w:val="000000"/>
          <w:szCs w:val="21"/>
          <w:highlight w:val="none"/>
        </w:rPr>
        <w:t xml:space="preserve">   年   月   日</w:t>
      </w:r>
    </w:p>
    <w:p>
      <w:pPr>
        <w:pStyle w:val="3"/>
        <w:ind w:left="0" w:leftChars="0" w:firstLine="0" w:firstLineChars="0"/>
        <w:rPr>
          <w:rFonts w:hint="default"/>
          <w:lang w:val="en-US" w:eastAsia="zh-CN"/>
        </w:rPr>
      </w:pPr>
    </w:p>
    <w:p>
      <w:pPr>
        <w:pStyle w:val="2"/>
        <w:spacing w:before="120" w:beforeLines="50" w:after="120" w:afterLines="50" w:line="240" w:lineRule="auto"/>
        <w:ind w:left="0" w:leftChars="0" w:firstLine="0" w:firstLineChars="0"/>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 xml:space="preserve">     </w:t>
      </w:r>
    </w:p>
    <w:p>
      <w:pPr>
        <w:pStyle w:val="2"/>
        <w:spacing w:before="120" w:beforeLines="50" w:after="120" w:afterLines="50"/>
        <w:ind w:left="0" w:leftChars="0" w:firstLine="0" w:firstLineChars="0"/>
        <w:rPr>
          <w:rFonts w:hint="eastAsia" w:ascii="宋体" w:hAnsi="宋体" w:eastAsia="宋体" w:cs="宋体"/>
          <w:color w:val="000000"/>
          <w:highlight w:val="none"/>
          <w:lang w:val="en-US" w:eastAsia="zh-CN"/>
        </w:rPr>
      </w:pPr>
    </w:p>
    <w:p>
      <w:pPr>
        <w:pStyle w:val="2"/>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sectPr>
          <w:pgSz w:w="11900" w:h="16840"/>
          <w:pgMar w:top="1440" w:right="1080" w:bottom="1440" w:left="1080" w:header="0" w:footer="0" w:gutter="0"/>
          <w:cols w:space="720" w:num="1"/>
        </w:sectPr>
      </w:pPr>
      <w:bookmarkStart w:id="9" w:name="_GoBack"/>
      <w:bookmarkEnd w:id="9"/>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二、服务要求偏离表</w:t>
      </w:r>
    </w:p>
    <w:p>
      <w:pPr>
        <w:pStyle w:val="2"/>
        <w:spacing w:before="120" w:beforeLines="50" w:after="120" w:afterLines="50"/>
        <w:ind w:left="0" w:leftChars="0" w:firstLine="0" w:firstLineChars="0"/>
        <w:rPr>
          <w:rFonts w:hint="eastAsia" w:ascii="宋体" w:hAnsi="宋体"/>
          <w:color w:val="auto"/>
          <w:highlight w:val="none"/>
        </w:rPr>
      </w:pPr>
      <w:r>
        <w:rPr>
          <w:rFonts w:hint="eastAsia"/>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r>
        <w:rPr>
          <w:rFonts w:hint="eastAsia" w:ascii="宋体" w:hAnsi="宋体" w:eastAsia="宋体"/>
          <w:color w:val="auto"/>
          <w:highlight w:val="none"/>
          <w:lang w:val="en-US" w:eastAsia="zh-CN"/>
        </w:rPr>
        <w:t xml:space="preserve">            采购包：</w:t>
      </w:r>
      <w:r>
        <w:rPr>
          <w:rFonts w:hint="eastAsia" w:ascii="宋体" w:hAnsi="宋体" w:eastAsia="宋体"/>
          <w:color w:val="auto"/>
          <w:highlight w:val="none"/>
          <w:u w:val="single"/>
          <w:lang w:val="en-US" w:eastAsia="zh-CN"/>
        </w:rPr>
        <w:t xml:space="preserve">      </w:t>
      </w:r>
      <w:r>
        <w:rPr>
          <w:rFonts w:hint="eastAsia" w:ascii="宋体" w:hAnsi="宋体" w:eastAsia="宋体"/>
          <w:color w:val="auto"/>
          <w:highlight w:val="none"/>
          <w:lang w:val="en-US" w:eastAsia="zh-CN"/>
        </w:rPr>
        <w:t>（包号）</w:t>
      </w:r>
    </w:p>
    <w:tbl>
      <w:tblPr>
        <w:tblStyle w:val="10"/>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342"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418"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026"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51"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bl>
    <w:p>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w:t>
      </w:r>
    </w:p>
    <w:p>
      <w:pPr>
        <w:spacing w:line="400" w:lineRule="exact"/>
        <w:ind w:firstLine="420" w:firstLineChars="200"/>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1.本表只填写响应文件中与磋商文件有偏离（包括正偏离和负偏离）的内容，响应文件中的指标响应与磋商文件要求完全一致的，不用在此表中列出，但必须提交空白表。</w:t>
      </w:r>
    </w:p>
    <w:p>
      <w:pPr>
        <w:spacing w:line="400" w:lineRule="exact"/>
        <w:ind w:left="-141" w:leftChars="-67" w:firstLine="680" w:firstLineChars="324"/>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2．供应商必须据实填写，不得虚假响应，否则将取消其磋商或成交资格，并按有关规定进行处罚。</w:t>
      </w:r>
    </w:p>
    <w:p>
      <w:pPr>
        <w:adjustRightInd w:val="0"/>
        <w:spacing w:line="400" w:lineRule="exact"/>
        <w:ind w:firstLine="367" w:firstLineChars="175"/>
        <w:jc w:val="left"/>
        <w:rPr>
          <w:rFonts w:hint="eastAsia" w:ascii="仿宋_GB2312" w:hAnsi="宋体" w:eastAsia="仿宋_GB2312"/>
          <w:bCs/>
          <w:color w:val="auto"/>
          <w:szCs w:val="21"/>
          <w:highlight w:val="none"/>
        </w:rPr>
      </w:pPr>
    </w:p>
    <w:p>
      <w:pPr>
        <w:adjustRightInd w:val="0"/>
        <w:spacing w:line="400" w:lineRule="exact"/>
        <w:ind w:firstLine="367" w:firstLineChars="175"/>
        <w:jc w:val="left"/>
        <w:rPr>
          <w:rFonts w:hint="eastAsia" w:ascii="仿宋_GB2312" w:hAnsi="宋体" w:eastAsia="仿宋_GB2312"/>
          <w:bCs/>
          <w:color w:val="auto"/>
          <w:szCs w:val="21"/>
          <w:highlight w:val="none"/>
        </w:rPr>
      </w:pPr>
    </w:p>
    <w:p>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pPr>
        <w:adjustRightInd w:val="0"/>
        <w:spacing w:before="360" w:beforeLines="150" w:line="360" w:lineRule="auto"/>
        <w:ind w:firstLine="420" w:firstLineChars="200"/>
        <w:jc w:val="left"/>
        <w:rPr>
          <w:rFonts w:hint="eastAsia" w:ascii="宋体" w:hAnsi="宋体"/>
          <w:bCs/>
          <w:color w:val="auto"/>
          <w:szCs w:val="21"/>
          <w:highlight w:val="none"/>
        </w:r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三、商务条款偏离表</w:t>
      </w:r>
    </w:p>
    <w:p>
      <w:pPr>
        <w:pStyle w:val="2"/>
        <w:spacing w:after="120" w:afterLines="50"/>
        <w:rPr>
          <w:rFonts w:hint="default" w:ascii="宋体" w:hAnsi="宋体" w:eastAsia="宋体"/>
          <w:color w:val="auto"/>
          <w:highlight w:val="none"/>
          <w:lang w:val="en-US" w:eastAsia="zh-CN"/>
        </w:rPr>
      </w:pPr>
      <w:r>
        <w:rPr>
          <w:rFonts w:hint="eastAsia" w:ascii="宋体" w:hAnsi="宋体"/>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r>
        <w:rPr>
          <w:rFonts w:hint="eastAsia" w:ascii="宋体" w:hAnsi="宋体" w:eastAsia="宋体"/>
          <w:color w:val="auto"/>
          <w:highlight w:val="none"/>
          <w:lang w:val="en-US" w:eastAsia="zh-CN"/>
        </w:rPr>
        <w:t xml:space="preserve">               采购包：</w:t>
      </w:r>
      <w:r>
        <w:rPr>
          <w:rFonts w:hint="eastAsia" w:ascii="宋体" w:hAnsi="宋体" w:eastAsia="宋体"/>
          <w:color w:val="auto"/>
          <w:highlight w:val="none"/>
          <w:u w:val="single"/>
          <w:lang w:val="en-US" w:eastAsia="zh-CN"/>
        </w:rPr>
        <w:t xml:space="preserve">      </w:t>
      </w:r>
      <w:r>
        <w:rPr>
          <w:rFonts w:hint="eastAsia" w:ascii="宋体" w:hAnsi="宋体" w:eastAsia="宋体"/>
          <w:color w:val="auto"/>
          <w:highlight w:val="none"/>
          <w:lang w:val="en-US" w:eastAsia="zh-CN"/>
        </w:rPr>
        <w:t>（包号）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128"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464"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224"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883"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bl>
    <w:p>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1.本表只填写响应文件中与磋商文件有偏离（包括正偏离和负偏离）的内容，响应文件中商务响应与磋商文件要求完全一致的，不用在此表中列出，但必须提交空白表。</w:t>
      </w:r>
    </w:p>
    <w:p>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2.供应商必须据实填写，不得虚假响应，否则将取消其磋商或成交资格，并按有关规定进处罚。</w:t>
      </w:r>
    </w:p>
    <w:p>
      <w:pPr>
        <w:adjustRightInd w:val="0"/>
        <w:spacing w:line="400" w:lineRule="exact"/>
        <w:ind w:firstLine="560" w:firstLineChars="200"/>
        <w:jc w:val="left"/>
        <w:rPr>
          <w:rFonts w:hint="eastAsia" w:ascii="仿宋_GB2312" w:hAnsi="宋体" w:eastAsia="仿宋_GB2312"/>
          <w:bCs/>
          <w:color w:val="auto"/>
          <w:sz w:val="28"/>
          <w:szCs w:val="28"/>
          <w:highlight w:val="none"/>
        </w:rPr>
      </w:pPr>
    </w:p>
    <w:p>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pPr>
        <w:adjustRightInd w:val="0"/>
        <w:spacing w:line="400" w:lineRule="exact"/>
        <w:jc w:val="center"/>
        <w:rPr>
          <w:rFonts w:hint="eastAsia"/>
          <w:b/>
          <w:color w:val="auto"/>
          <w:sz w:val="36"/>
          <w:szCs w:val="36"/>
          <w:highlight w:val="none"/>
        </w:rPr>
      </w:pPr>
    </w:p>
    <w:p>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8" w:name="_Toc26277"/>
      <w:r>
        <w:rPr>
          <w:rFonts w:hint="eastAsia" w:ascii="宋体" w:hAnsi="宋体" w:eastAsia="宋体" w:cs="Times New Roman"/>
          <w:b/>
          <w:bCs/>
          <w:color w:val="auto"/>
          <w:kern w:val="2"/>
          <w:sz w:val="32"/>
          <w:szCs w:val="32"/>
          <w:highlight w:val="none"/>
          <w:lang w:val="en-US" w:eastAsia="zh-CN" w:bidi="ar-SA"/>
        </w:rPr>
        <w:t>四、合同条款偏离表</w:t>
      </w:r>
      <w:bookmarkEnd w:id="8"/>
    </w:p>
    <w:p>
      <w:pPr>
        <w:spacing w:after="120" w:afterLines="50"/>
        <w:ind w:firstLine="945" w:firstLineChars="4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r>
        <w:rPr>
          <w:rFonts w:hint="eastAsia" w:ascii="宋体" w:hAnsi="宋体" w:eastAsia="宋体"/>
          <w:color w:val="auto"/>
          <w:highlight w:val="none"/>
          <w:lang w:val="en-US" w:eastAsia="zh-CN"/>
        </w:rPr>
        <w:t>采购包：</w:t>
      </w:r>
      <w:r>
        <w:rPr>
          <w:rFonts w:hint="eastAsia" w:ascii="宋体" w:hAnsi="宋体" w:eastAsia="宋体"/>
          <w:color w:val="auto"/>
          <w:highlight w:val="none"/>
          <w:u w:val="single"/>
          <w:lang w:val="en-US" w:eastAsia="zh-CN"/>
        </w:rPr>
        <w:t xml:space="preserve">      </w:t>
      </w:r>
      <w:r>
        <w:rPr>
          <w:rFonts w:hint="eastAsia" w:ascii="宋体" w:hAnsi="宋体" w:eastAsia="宋体"/>
          <w:color w:val="auto"/>
          <w:highlight w:val="none"/>
          <w:lang w:val="en-US" w:eastAsia="zh-CN"/>
        </w:rPr>
        <w:t>（包号）</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b/>
                <w:color w:val="000000"/>
                <w:szCs w:val="21"/>
                <w:highlight w:val="none"/>
              </w:rPr>
            </w:pPr>
            <w:r>
              <w:rPr>
                <w:b/>
                <w:color w:val="000000"/>
                <w:szCs w:val="21"/>
                <w:highlight w:val="none"/>
              </w:rPr>
              <w:t>序号</w:t>
            </w:r>
          </w:p>
        </w:tc>
        <w:tc>
          <w:tcPr>
            <w:tcW w:w="1701" w:type="dxa"/>
            <w:noWrap w:val="0"/>
            <w:vAlign w:val="center"/>
          </w:tcPr>
          <w:p>
            <w:pPr>
              <w:adjustRightInd w:val="0"/>
              <w:snapToGrid w:val="0"/>
              <w:jc w:val="center"/>
              <w:rPr>
                <w:b/>
                <w:color w:val="000000"/>
                <w:szCs w:val="21"/>
                <w:highlight w:val="none"/>
              </w:rPr>
            </w:pPr>
            <w:r>
              <w:rPr>
                <w:b/>
                <w:color w:val="000000"/>
                <w:szCs w:val="21"/>
                <w:highlight w:val="none"/>
              </w:rPr>
              <w:t>磋商文件要求</w:t>
            </w:r>
          </w:p>
        </w:tc>
        <w:tc>
          <w:tcPr>
            <w:tcW w:w="2410" w:type="dxa"/>
            <w:noWrap w:val="0"/>
            <w:vAlign w:val="center"/>
          </w:tcPr>
          <w:p>
            <w:pPr>
              <w:adjustRightInd w:val="0"/>
              <w:snapToGrid w:val="0"/>
              <w:jc w:val="center"/>
              <w:rPr>
                <w:b/>
                <w:color w:val="000000"/>
                <w:szCs w:val="21"/>
                <w:highlight w:val="none"/>
              </w:rPr>
            </w:pPr>
            <w:r>
              <w:rPr>
                <w:b/>
                <w:color w:val="000000"/>
                <w:szCs w:val="21"/>
                <w:highlight w:val="none"/>
              </w:rPr>
              <w:t>响应文件响应</w:t>
            </w:r>
          </w:p>
        </w:tc>
        <w:tc>
          <w:tcPr>
            <w:tcW w:w="958" w:type="dxa"/>
            <w:noWrap w:val="0"/>
            <w:vAlign w:val="center"/>
          </w:tcPr>
          <w:p>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pPr>
              <w:adjustRightInd w:val="0"/>
              <w:snapToGrid w:val="0"/>
              <w:jc w:val="center"/>
              <w:rPr>
                <w:b/>
                <w:color w:val="000000"/>
                <w:szCs w:val="21"/>
                <w:highlight w:val="none"/>
              </w:rPr>
            </w:pPr>
            <w:r>
              <w:rPr>
                <w:b/>
                <w:color w:val="000000"/>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noWrap w:val="0"/>
            <w:vAlign w:val="center"/>
          </w:tcPr>
          <w:p>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2.对合同条款中所有要求，除本表所列出偏离外，均视为供应商响应其余全部合同条款要求；如供应商响应磋商文件所有合同条款要求的，必须提交空白表，</w:t>
            </w:r>
            <w:r>
              <w:rPr>
                <w:rFonts w:hint="eastAsia" w:ascii="宋体" w:hAnsi="宋体"/>
                <w:b/>
                <w:bCs/>
                <w:szCs w:val="21"/>
                <w:highlight w:val="none"/>
              </w:rPr>
              <w:t>否则，其响应文件无效。</w:t>
            </w:r>
          </w:p>
        </w:tc>
      </w:tr>
    </w:tbl>
    <w:p>
      <w:pPr>
        <w:adjustRightInd w:val="0"/>
        <w:spacing w:line="400" w:lineRule="exact"/>
        <w:ind w:firstLine="420" w:firstLineChars="200"/>
        <w:jc w:val="left"/>
        <w:rPr>
          <w:rFonts w:hint="eastAsia" w:ascii="宋体" w:hAnsi="宋体"/>
          <w:bCs/>
          <w:szCs w:val="21"/>
          <w:highlight w:val="none"/>
        </w:rPr>
      </w:pPr>
    </w:p>
    <w:p>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五、承诺文件</w:t>
      </w:r>
    </w:p>
    <w:p>
      <w:pPr>
        <w:jc w:val="center"/>
        <w:outlineLvl w:val="9"/>
        <w:rPr>
          <w:rFonts w:hint="eastAsia" w:ascii="楷体" w:hAnsi="楷体" w:eastAsia="楷体" w:cs="Arial"/>
          <w:b w:val="0"/>
          <w:bCs w:val="0"/>
          <w:snapToGrid w:val="0"/>
          <w:color w:val="auto"/>
          <w:kern w:val="0"/>
          <w:sz w:val="24"/>
          <w:szCs w:val="24"/>
          <w:highlight w:val="none"/>
          <w:lang w:val="en-US" w:eastAsia="en-US" w:bidi="ar-SA"/>
        </w:rPr>
      </w:pPr>
      <w:r>
        <w:rPr>
          <w:rFonts w:hint="eastAsia" w:ascii="楷体" w:hAnsi="楷体" w:eastAsia="楷体" w:cs="Arial"/>
          <w:b w:val="0"/>
          <w:bCs w:val="0"/>
          <w:snapToGrid w:val="0"/>
          <w:color w:val="auto"/>
          <w:kern w:val="0"/>
          <w:sz w:val="24"/>
          <w:szCs w:val="24"/>
          <w:highlight w:val="none"/>
          <w:lang w:val="en-US" w:eastAsia="en-US" w:bidi="ar-SA"/>
        </w:rPr>
        <w:t>格式自定。</w:t>
      </w:r>
    </w:p>
    <w:p>
      <w:pPr>
        <w:jc w:val="center"/>
        <w:outlineLvl w:val="9"/>
        <w:rPr>
          <w:rFonts w:hint="eastAsia" w:ascii="楷体" w:hAnsi="楷体" w:eastAsia="楷体" w:cs="Arial"/>
          <w:b w:val="0"/>
          <w:bCs w:val="0"/>
          <w:snapToGrid w:val="0"/>
          <w:color w:val="auto"/>
          <w:kern w:val="0"/>
          <w:sz w:val="21"/>
          <w:szCs w:val="21"/>
          <w:highlight w:val="none"/>
          <w:lang w:val="en-US" w:eastAsia="en-US" w:bidi="ar-SA"/>
        </w:rPr>
      </w:pPr>
    </w:p>
    <w:p>
      <w:pPr>
        <w:jc w:val="center"/>
        <w:outlineLvl w:val="9"/>
        <w:rPr>
          <w:rFonts w:hint="eastAsia" w:ascii="楷体" w:hAnsi="楷体" w:eastAsia="楷体" w:cs="Arial"/>
          <w:b w:val="0"/>
          <w:bCs w:val="0"/>
          <w:snapToGrid w:val="0"/>
          <w:color w:val="auto"/>
          <w:kern w:val="0"/>
          <w:sz w:val="22"/>
          <w:szCs w:val="22"/>
          <w:highlight w:val="none"/>
          <w:lang w:val="en-US" w:eastAsia="en-US" w:bidi="ar-SA"/>
        </w:rPr>
      </w:pPr>
    </w:p>
    <w:p>
      <w:pPr>
        <w:outlineLvl w:val="9"/>
        <w:rPr>
          <w:rFonts w:hint="eastAsia" w:ascii="楷体" w:hAnsi="楷体" w:eastAsia="楷体" w:cs="Arial"/>
          <w:b w:val="0"/>
          <w:bCs w:val="0"/>
          <w:snapToGrid w:val="0"/>
          <w:color w:val="auto"/>
          <w:kern w:val="0"/>
          <w:sz w:val="22"/>
          <w:szCs w:val="22"/>
          <w:highlight w:val="none"/>
          <w:lang w:val="en-US" w:eastAsia="zh-CN" w:bidi="ar-SA"/>
        </w:rPr>
        <w:sectPr>
          <w:pgSz w:w="11900" w:h="16840"/>
          <w:pgMar w:top="1440" w:right="1080" w:bottom="1440" w:left="1080" w:header="0" w:footer="0" w:gutter="0"/>
          <w:cols w:space="720" w:num="1"/>
        </w:sectPr>
      </w:pPr>
      <w:r>
        <w:rPr>
          <w:rFonts w:hint="eastAsia" w:ascii="楷体" w:hAnsi="楷体" w:eastAsia="楷体" w:cs="Arial"/>
          <w:b w:val="0"/>
          <w:bCs w:val="0"/>
          <w:snapToGrid w:val="0"/>
          <w:color w:val="auto"/>
          <w:kern w:val="0"/>
          <w:sz w:val="22"/>
          <w:szCs w:val="22"/>
          <w:highlight w:val="none"/>
          <w:lang w:val="en-US" w:eastAsia="en-US" w:bidi="ar-SA"/>
        </w:rPr>
        <w:t>供应商根据磋商文件要求和采购需求，作出服务质量保证承诺和产品（如有）质保期服务计划</w:t>
      </w:r>
      <w:r>
        <w:rPr>
          <w:rFonts w:hint="eastAsia" w:ascii="楷体" w:hAnsi="楷体" w:eastAsia="楷体" w:cs="Arial"/>
          <w:b w:val="0"/>
          <w:bCs w:val="0"/>
          <w:snapToGrid w:val="0"/>
          <w:color w:val="auto"/>
          <w:kern w:val="0"/>
          <w:sz w:val="22"/>
          <w:szCs w:val="22"/>
          <w:highlight w:val="none"/>
          <w:lang w:val="en-US" w:eastAsia="zh-CN" w:bidi="ar-SA"/>
        </w:rPr>
        <w:t>。</w:t>
      </w:r>
    </w:p>
    <w:p>
      <w:pPr>
        <w:pStyle w:val="7"/>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为保证本采购项目顺利进行，作为投标人，现郑重承诺：</w:t>
      </w:r>
    </w:p>
    <w:p>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szCs w:val="21"/>
          <w:highlight w:val="none"/>
        </w:rPr>
      </w:pPr>
    </w:p>
    <w:p>
      <w:pPr>
        <w:spacing w:line="360" w:lineRule="auto"/>
        <w:rPr>
          <w:rFonts w:hint="eastAsia" w:ascii="宋体" w:hAnsi="宋体"/>
          <w:szCs w:val="21"/>
          <w:highlight w:val="none"/>
        </w:rPr>
      </w:pPr>
    </w:p>
    <w:p>
      <w:pPr>
        <w:spacing w:line="360" w:lineRule="auto"/>
        <w:rPr>
          <w:rFonts w:hint="eastAsia" w:ascii="宋体" w:hAnsi="宋体"/>
          <w:szCs w:val="21"/>
          <w:highlight w:val="none"/>
        </w:rPr>
      </w:pPr>
    </w:p>
    <w:p>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pPr>
        <w:adjustRightInd w:val="0"/>
        <w:spacing w:line="360" w:lineRule="auto"/>
        <w:ind w:firstLine="420"/>
        <w:jc w:val="left"/>
        <w:rPr>
          <w:rFonts w:hint="eastAsia" w:ascii="宋体" w:hAnsi="宋体"/>
          <w:szCs w:val="21"/>
          <w:highlight w:val="none"/>
        </w:rPr>
      </w:pPr>
    </w:p>
    <w:p>
      <w:pPr>
        <w:adjustRightInd w:val="0"/>
        <w:spacing w:line="360" w:lineRule="auto"/>
        <w:jc w:val="center"/>
        <w:rPr>
          <w:rFonts w:hint="eastAsia" w:ascii="宋体" w:hAnsi="宋体"/>
          <w:bCs/>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pPr>
        <w:pStyle w:val="7"/>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pPr>
        <w:spacing w:line="360" w:lineRule="auto"/>
        <w:ind w:firstLine="420" w:firstLineChars="200"/>
        <w:rPr>
          <w:rFonts w:ascii="宋体" w:hAnsi="宋体"/>
          <w:szCs w:val="21"/>
          <w:highlight w:val="none"/>
        </w:rPr>
      </w:pPr>
      <w:r>
        <w:rPr>
          <w:rFonts w:ascii="宋体" w:hAnsi="宋体"/>
          <w:szCs w:val="21"/>
          <w:highlight w:val="none"/>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pPr>
        <w:spacing w:line="360" w:lineRule="auto"/>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w:t>
      </w:r>
      <w:r>
        <w:rPr>
          <w:rFonts w:ascii="宋体" w:hAnsi="宋体"/>
          <w:szCs w:val="21"/>
          <w:highlight w:val="none"/>
        </w:rPr>
        <w:t>不与其他投标人恶意串通，采取“围标、串标、陪标”等商业欺诈手段谋取中标、成交；</w:t>
      </w:r>
    </w:p>
    <w:p>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szCs w:val="21"/>
          <w:highlight w:val="none"/>
        </w:rPr>
      </w:pPr>
      <w:r>
        <w:rPr>
          <w:rFonts w:ascii="宋体" w:hAnsi="宋体"/>
          <w:szCs w:val="21"/>
          <w:highlight w:val="none"/>
        </w:rPr>
        <w:t>4</w:t>
      </w:r>
      <w:r>
        <w:rPr>
          <w:rFonts w:hint="eastAsia" w:ascii="宋体" w:hAnsi="宋体"/>
          <w:szCs w:val="21"/>
          <w:highlight w:val="none"/>
        </w:rPr>
        <w:t>．</w:t>
      </w:r>
      <w:r>
        <w:rPr>
          <w:rFonts w:ascii="宋体" w:hAnsi="宋体"/>
          <w:szCs w:val="21"/>
          <w:highlight w:val="none"/>
        </w:rPr>
        <w:t>不采取不正当手段诋毁、排挤其他供应商；</w:t>
      </w:r>
    </w:p>
    <w:p>
      <w:pPr>
        <w:spacing w:line="360" w:lineRule="auto"/>
        <w:ind w:firstLine="420" w:firstLineChars="200"/>
        <w:rPr>
          <w:rFonts w:ascii="宋体" w:hAnsi="宋体"/>
          <w:szCs w:val="21"/>
          <w:highlight w:val="none"/>
        </w:rPr>
      </w:pPr>
      <w:r>
        <w:rPr>
          <w:rFonts w:ascii="宋体" w:hAnsi="宋体"/>
          <w:szCs w:val="21"/>
          <w:highlight w:val="none"/>
        </w:rPr>
        <w:t>5</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szCs w:val="21"/>
          <w:highlight w:val="none"/>
        </w:rPr>
      </w:pPr>
      <w:r>
        <w:rPr>
          <w:rFonts w:ascii="宋体" w:hAnsi="宋体"/>
          <w:szCs w:val="21"/>
          <w:highlight w:val="none"/>
        </w:rPr>
        <w:t>6</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pPr>
        <w:spacing w:line="360" w:lineRule="auto"/>
        <w:ind w:firstLine="420" w:firstLineChars="200"/>
        <w:rPr>
          <w:rFonts w:ascii="宋体" w:hAnsi="宋体"/>
          <w:szCs w:val="21"/>
          <w:highlight w:val="none"/>
        </w:rPr>
      </w:pPr>
      <w:r>
        <w:rPr>
          <w:rFonts w:ascii="宋体" w:hAnsi="宋体"/>
          <w:szCs w:val="21"/>
          <w:highlight w:val="none"/>
        </w:rPr>
        <w:t>7</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pPr>
        <w:spacing w:line="360" w:lineRule="auto"/>
        <w:ind w:firstLine="420" w:firstLineChars="200"/>
        <w:rPr>
          <w:rFonts w:ascii="宋体" w:hAnsi="宋体"/>
          <w:szCs w:val="21"/>
          <w:highlight w:val="none"/>
        </w:rPr>
      </w:pPr>
      <w:r>
        <w:rPr>
          <w:rFonts w:ascii="宋体" w:hAnsi="宋体"/>
          <w:szCs w:val="21"/>
          <w:highlight w:val="none"/>
        </w:rPr>
        <w:t>8</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pPr>
        <w:spacing w:line="360" w:lineRule="auto"/>
        <w:ind w:firstLine="420" w:firstLineChars="200"/>
        <w:rPr>
          <w:rFonts w:ascii="宋体" w:hAnsi="宋体"/>
          <w:szCs w:val="21"/>
          <w:highlight w:val="none"/>
        </w:rPr>
      </w:pPr>
      <w:r>
        <w:rPr>
          <w:rFonts w:ascii="宋体" w:hAnsi="宋体"/>
          <w:szCs w:val="21"/>
          <w:highlight w:val="none"/>
        </w:rPr>
        <w:t>9</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pPr>
        <w:spacing w:line="360" w:lineRule="auto"/>
        <w:ind w:firstLine="420" w:firstLineChars="200"/>
        <w:rPr>
          <w:rFonts w:ascii="宋体" w:hAnsi="宋体"/>
          <w:szCs w:val="21"/>
          <w:highlight w:val="none"/>
        </w:rPr>
      </w:pPr>
      <w:r>
        <w:rPr>
          <w:rFonts w:ascii="宋体" w:hAnsi="宋体"/>
          <w:szCs w:val="21"/>
          <w:highlight w:val="none"/>
        </w:rPr>
        <w:t>10</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szCs w:val="21"/>
          <w:highlight w:val="none"/>
        </w:rPr>
      </w:pPr>
    </w:p>
    <w:p>
      <w:pPr>
        <w:spacing w:line="360" w:lineRule="auto"/>
        <w:ind w:firstLine="420" w:firstLineChars="200"/>
        <w:rPr>
          <w:rFonts w:ascii="宋体" w:hAnsi="宋体"/>
          <w:szCs w:val="21"/>
          <w:highlight w:val="none"/>
        </w:rPr>
      </w:pPr>
    </w:p>
    <w:p>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w:t>
      </w:r>
      <w:r>
        <w:rPr>
          <w:rFonts w:hint="eastAsia" w:ascii="宋体" w:hAnsi="宋体" w:eastAsia="宋体"/>
          <w:szCs w:val="21"/>
          <w:highlight w:val="none"/>
          <w:lang w:val="en-US" w:eastAsia="zh-CN"/>
        </w:rPr>
        <w:t>公章</w:t>
      </w:r>
      <w:r>
        <w:rPr>
          <w:rFonts w:ascii="宋体" w:hAnsi="宋体"/>
          <w:szCs w:val="21"/>
          <w:highlight w:val="none"/>
        </w:rPr>
        <w:t>）</w:t>
      </w:r>
    </w:p>
    <w:p>
      <w:pPr>
        <w:spacing w:line="360" w:lineRule="auto"/>
        <w:ind w:firstLine="420" w:firstLineChars="200"/>
        <w:jc w:val="right"/>
        <w:rPr>
          <w:rFonts w:hint="eastAsia" w:ascii="宋体" w:hAnsi="宋体"/>
          <w:szCs w:val="21"/>
          <w:highlight w:val="none"/>
        </w:rPr>
      </w:pPr>
    </w:p>
    <w:p>
      <w:pPr>
        <w:pStyle w:val="8"/>
        <w:jc w:val="right"/>
        <w:rPr>
          <w:rFonts w:hint="eastAsia"/>
        </w:rPr>
        <w:sectPr>
          <w:pgSz w:w="11900" w:h="16840"/>
          <w:pgMar w:top="1440" w:right="1080" w:bottom="1440" w:left="1080" w:header="0" w:footer="0" w:gutter="0"/>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pPr>
        <w:pStyle w:val="8"/>
        <w:spacing w:line="360" w:lineRule="auto"/>
        <w:rPr>
          <w:rFonts w:hint="eastAsia"/>
          <w:lang w:val="en-US" w:eastAsia="en-US"/>
        </w:rPr>
      </w:pPr>
    </w:p>
    <w:p>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pPr>
        <w:spacing w:line="360" w:lineRule="auto"/>
        <w:jc w:val="right"/>
        <w:rPr>
          <w:rFonts w:hint="eastAsia" w:ascii="宋体" w:hAnsi="宋体"/>
          <w:bCs/>
          <w:szCs w:val="21"/>
          <w:highlight w:val="none"/>
        </w:r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p>
    <w:p>
      <w:pPr>
        <w:pStyle w:val="8"/>
        <w:spacing w:line="360" w:lineRule="auto"/>
        <w:jc w:val="center"/>
        <w:rPr>
          <w:rFonts w:hint="eastAsia"/>
          <w:lang w:val="en-US" w:eastAsia="zh-CN"/>
        </w:rPr>
        <w:sectPr>
          <w:pgSz w:w="11900" w:h="16840"/>
          <w:pgMar w:top="1440" w:right="1080" w:bottom="1440" w:left="1080" w:header="0" w:footer="0" w:gutter="0"/>
          <w:cols w:space="720" w:num="1"/>
        </w:sectPr>
      </w:pPr>
      <w:r>
        <w:rPr>
          <w:rFonts w:hint="eastAsia" w:ascii="宋体" w:hAnsi="宋体" w:eastAsia="宋体"/>
          <w:szCs w:val="21"/>
          <w:highlight w:val="none"/>
          <w:lang w:val="en-US" w:eastAsia="zh-CN"/>
        </w:rPr>
        <w:t xml:space="preserve">                          </w:t>
      </w:r>
    </w:p>
    <w:p>
      <w:pPr>
        <w:spacing w:before="0" w:after="360" w:line="360" w:lineRule="auto"/>
        <w:jc w:val="center"/>
        <w:outlineLvl w:val="1"/>
        <w:rPr>
          <w:rFonts w:hint="eastAsia" w:ascii="黑体" w:hAnsi="宋体" w:cs="Arial"/>
          <w:b w:val="0"/>
          <w:bCs/>
          <w:color w:val="auto"/>
          <w:sz w:val="36"/>
          <w:szCs w:val="36"/>
          <w:highlight w:val="none"/>
        </w:rPr>
      </w:pPr>
      <w:r>
        <w:rPr>
          <w:rFonts w:hint="eastAsia" w:ascii="宋体" w:hAnsi="宋体" w:eastAsia="宋体" w:cs="Times New Roman"/>
          <w:b/>
          <w:bCs/>
          <w:color w:val="auto"/>
          <w:kern w:val="2"/>
          <w:sz w:val="32"/>
          <w:szCs w:val="32"/>
          <w:highlight w:val="none"/>
          <w:lang w:val="en-US" w:eastAsia="zh-CN" w:bidi="ar-SA"/>
        </w:rPr>
        <w:t>六、近年类似项目业绩一览表</w:t>
      </w:r>
    </w:p>
    <w:p>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 xml:space="preserve">供应商名称：                                        </w:t>
      </w:r>
      <w:r>
        <w:rPr>
          <w:rFonts w:hint="eastAsia" w:ascii="宋体" w:hAnsi="宋体" w:eastAsia="宋体" w:cs="Arial"/>
          <w:b w:val="0"/>
          <w:bCs/>
          <w:color w:val="auto"/>
          <w:sz w:val="21"/>
          <w:szCs w:val="21"/>
          <w:highlight w:val="none"/>
          <w:lang w:val="en-US" w:eastAsia="zh-CN"/>
        </w:rPr>
        <w:t xml:space="preserve">                  </w:t>
      </w:r>
      <w:r>
        <w:rPr>
          <w:rFonts w:hint="eastAsia" w:ascii="宋体" w:hAnsi="宋体" w:eastAsia="宋体" w:cs="Arial"/>
          <w:b w:val="0"/>
          <w:bCs/>
          <w:color w:val="auto"/>
          <w:sz w:val="21"/>
          <w:szCs w:val="21"/>
          <w:highlight w:val="none"/>
        </w:rPr>
        <w:t xml:space="preserve">   单位：万元</w:t>
      </w:r>
    </w:p>
    <w:tbl>
      <w:tblPr>
        <w:tblStyle w:val="10"/>
        <w:tblW w:w="92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259"/>
        <w:gridCol w:w="1701"/>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1620"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596"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288"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259"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完成时间</w:t>
            </w:r>
          </w:p>
        </w:tc>
        <w:tc>
          <w:tcPr>
            <w:tcW w:w="1701"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是否通过验收</w:t>
            </w:r>
          </w:p>
        </w:tc>
        <w:tc>
          <w:tcPr>
            <w:tcW w:w="904"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bl>
    <w:p>
      <w:pPr>
        <w:pStyle w:val="2"/>
        <w:rPr>
          <w:rFonts w:hint="eastAsia"/>
          <w:color w:val="auto"/>
          <w:highlight w:val="none"/>
        </w:rPr>
      </w:pPr>
    </w:p>
    <w:p>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说明：供应商人</w:t>
      </w:r>
      <w:r>
        <w:rPr>
          <w:rFonts w:hint="eastAsia" w:ascii="楷体" w:hAnsi="楷体" w:eastAsia="楷体"/>
          <w:bCs/>
          <w:color w:val="auto"/>
          <w:szCs w:val="21"/>
          <w:highlight w:val="none"/>
        </w:rPr>
        <w:t>未按上述要求提供、</w:t>
      </w:r>
      <w:r>
        <w:rPr>
          <w:rFonts w:hint="eastAsia" w:ascii="楷体" w:hAnsi="楷体" w:eastAsia="楷体"/>
          <w:color w:val="auto"/>
          <w:szCs w:val="21"/>
          <w:highlight w:val="none"/>
        </w:rPr>
        <w:t>填写</w:t>
      </w:r>
      <w:r>
        <w:rPr>
          <w:rFonts w:hint="eastAsia" w:ascii="楷体" w:hAnsi="楷体" w:eastAsia="楷体"/>
          <w:bCs/>
          <w:color w:val="auto"/>
          <w:szCs w:val="21"/>
          <w:highlight w:val="none"/>
        </w:rPr>
        <w:t>的，评审时不予加分。</w:t>
      </w:r>
    </w:p>
    <w:p>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pPr>
        <w:pStyle w:val="15"/>
        <w:spacing w:before="360" w:beforeLines="150" w:line="360" w:lineRule="auto"/>
        <w:ind w:firstLine="105" w:firstLineChars="50"/>
        <w:rPr>
          <w:rFonts w:hint="eastAsia" w:ascii="宋体" w:hAnsi="宋体"/>
          <w:bCs/>
          <w:color w:val="auto"/>
          <w:highlight w:val="none"/>
        </w:rPr>
      </w:pPr>
      <w:r>
        <w:rPr>
          <w:rFonts w:hint="eastAsia" w:ascii="宋体" w:hAnsi="宋体"/>
          <w:color w:val="auto"/>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highlight w:val="none"/>
        </w:rPr>
        <w:t>或委托代理人：</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rPr>
        <w:t>）</w:t>
      </w:r>
    </w:p>
    <w:p>
      <w:pPr>
        <w:pStyle w:val="15"/>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pPr>
        <w:adjustRightInd w:val="0"/>
        <w:spacing w:line="400" w:lineRule="exact"/>
        <w:jc w:val="center"/>
        <w:rPr>
          <w:rFonts w:hint="eastAsia" w:ascii="宋体" w:hAnsi="宋体"/>
          <w:b/>
          <w:bCs/>
          <w:color w:val="auto"/>
          <w:sz w:val="32"/>
          <w:szCs w:val="32"/>
          <w:highlight w:val="none"/>
          <w:lang w:eastAsia="zh-CN"/>
        </w:rPr>
      </w:pPr>
    </w:p>
    <w:p>
      <w:pPr>
        <w:adjustRightInd w:val="0"/>
        <w:spacing w:line="400" w:lineRule="exact"/>
        <w:jc w:val="center"/>
        <w:rPr>
          <w:rFonts w:hint="eastAsia" w:ascii="宋体" w:hAnsi="宋体"/>
          <w:b/>
          <w:bCs/>
          <w:color w:val="auto"/>
          <w:sz w:val="32"/>
          <w:szCs w:val="32"/>
          <w:highlight w:val="none"/>
          <w:lang w:eastAsia="zh-CN"/>
        </w:rPr>
      </w:pPr>
    </w:p>
    <w:p>
      <w:pPr>
        <w:adjustRightInd w:val="0"/>
        <w:spacing w:line="400" w:lineRule="exact"/>
        <w:jc w:val="center"/>
        <w:rPr>
          <w:rFonts w:hint="eastAsia" w:ascii="宋体" w:hAnsi="宋体"/>
          <w:b/>
          <w:bCs/>
          <w:color w:val="auto"/>
          <w:sz w:val="32"/>
          <w:szCs w:val="32"/>
          <w:highlight w:val="none"/>
          <w:lang w:eastAsia="zh-CN"/>
        </w:rPr>
        <w:sectPr>
          <w:pgSz w:w="11900" w:h="16840"/>
          <w:pgMar w:top="1440" w:right="1080" w:bottom="1440" w:left="1080" w:header="0" w:footer="0" w:gutter="0"/>
          <w:cols w:space="720" w:num="1"/>
        </w:sect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七、技术/服务文件</w:t>
      </w:r>
    </w:p>
    <w:p>
      <w:pPr>
        <w:adjustRightInd w:val="0"/>
        <w:spacing w:line="400" w:lineRule="exact"/>
        <w:jc w:val="left"/>
        <w:rPr>
          <w:rFonts w:hint="eastAsia" w:ascii="宋体" w:hAnsi="宋体"/>
          <w:bCs/>
          <w:color w:val="auto"/>
          <w:sz w:val="21"/>
          <w:szCs w:val="18"/>
          <w:highlight w:val="none"/>
        </w:rPr>
      </w:pPr>
    </w:p>
    <w:p>
      <w:pPr>
        <w:pStyle w:val="9"/>
        <w:adjustRightInd w:val="0"/>
        <w:snapToGrid w:val="0"/>
        <w:spacing w:line="360" w:lineRule="auto"/>
        <w:jc w:val="center"/>
        <w:rPr>
          <w:rFonts w:hint="eastAsia" w:ascii="楷体" w:hAnsi="楷体" w:eastAsia="楷体"/>
          <w:color w:val="auto"/>
          <w:sz w:val="28"/>
          <w:szCs w:val="28"/>
          <w:highlight w:val="none"/>
        </w:rPr>
        <w:sectPr>
          <w:pgSz w:w="11900" w:h="16840"/>
          <w:pgMar w:top="1440" w:right="1080" w:bottom="1440" w:left="1080" w:header="0" w:footer="0" w:gutter="0"/>
          <w:cols w:space="720" w:num="1"/>
        </w:sectPr>
      </w:pPr>
      <w:r>
        <w:rPr>
          <w:rFonts w:hint="eastAsia" w:ascii="楷体" w:hAnsi="楷体" w:eastAsia="楷体"/>
          <w:color w:val="auto"/>
          <w:sz w:val="28"/>
          <w:szCs w:val="28"/>
          <w:highlight w:val="none"/>
          <w:lang w:val="en-US" w:eastAsia="zh-CN"/>
        </w:rPr>
        <w:t>内容</w:t>
      </w:r>
      <w:r>
        <w:rPr>
          <w:rFonts w:hint="eastAsia" w:ascii="楷体" w:hAnsi="楷体" w:eastAsia="楷体"/>
          <w:color w:val="auto"/>
          <w:sz w:val="28"/>
          <w:szCs w:val="28"/>
          <w:highlight w:val="none"/>
        </w:rPr>
        <w:t>格式自定。</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八、供应商认为有必要补充说明的事项</w:t>
      </w:r>
    </w:p>
    <w:p>
      <w:pPr>
        <w:pStyle w:val="15"/>
        <w:spacing w:line="400" w:lineRule="exact"/>
        <w:rPr>
          <w:rFonts w:hint="eastAsia"/>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AB57C93"/>
    <w:rsid w:val="0BBB157A"/>
    <w:rsid w:val="0BEE32C2"/>
    <w:rsid w:val="0E916E0F"/>
    <w:rsid w:val="1BCE2B98"/>
    <w:rsid w:val="2682656C"/>
    <w:rsid w:val="28C01707"/>
    <w:rsid w:val="28E03E7D"/>
    <w:rsid w:val="298970CB"/>
    <w:rsid w:val="2C1C1DF7"/>
    <w:rsid w:val="2FCB43E0"/>
    <w:rsid w:val="364430FF"/>
    <w:rsid w:val="36EB52DD"/>
    <w:rsid w:val="37294A27"/>
    <w:rsid w:val="422C694D"/>
    <w:rsid w:val="431E61AB"/>
    <w:rsid w:val="43995A03"/>
    <w:rsid w:val="44725549"/>
    <w:rsid w:val="492C14BA"/>
    <w:rsid w:val="4BFE3A92"/>
    <w:rsid w:val="59D41C83"/>
    <w:rsid w:val="613D3C7E"/>
    <w:rsid w:val="667A008B"/>
    <w:rsid w:val="6C0C59DE"/>
    <w:rsid w:val="746960C4"/>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5">
    <w:name w:val="heading 1"/>
    <w:basedOn w:val="1"/>
    <w:next w:val="1"/>
    <w:link w:val="14"/>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6">
    <w:name w:val="heading 2"/>
    <w:basedOn w:val="1"/>
    <w:next w:val="2"/>
    <w:link w:val="13"/>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7">
    <w:name w:val="heading 3"/>
    <w:basedOn w:val="1"/>
    <w:next w:val="1"/>
    <w:link w:val="12"/>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1">
    <w:name w:val="Default Paragraph Font"/>
    <w:autoRedefine/>
    <w:semiHidden/>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ind w:firstLine="420" w:firstLineChars="200"/>
    </w:pPr>
  </w:style>
  <w:style w:type="paragraph" w:styleId="3">
    <w:name w:val="Body Text First Indent 2"/>
    <w:basedOn w:val="4"/>
    <w:next w:val="2"/>
    <w:autoRedefine/>
    <w:unhideWhenUsed/>
    <w:qFormat/>
    <w:uiPriority w:val="0"/>
    <w:pPr>
      <w:ind w:firstLine="420" w:firstLineChars="200"/>
    </w:pPr>
    <w:rPr>
      <w:szCs w:val="20"/>
    </w:rPr>
  </w:style>
  <w:style w:type="paragraph" w:styleId="4">
    <w:name w:val="Body Text Indent"/>
    <w:basedOn w:val="1"/>
    <w:next w:val="1"/>
    <w:autoRedefine/>
    <w:qFormat/>
    <w:uiPriority w:val="0"/>
    <w:pPr>
      <w:ind w:firstLine="630"/>
    </w:pPr>
    <w:rPr>
      <w:sz w:val="32"/>
      <w:szCs w:val="20"/>
    </w:rPr>
  </w:style>
  <w:style w:type="paragraph" w:styleId="8">
    <w:name w:val="Body Text"/>
    <w:basedOn w:val="1"/>
    <w:autoRedefine/>
    <w:semiHidden/>
    <w:qFormat/>
    <w:uiPriority w:val="0"/>
    <w:rPr>
      <w:rFonts w:ascii="Arial" w:hAnsi="Arial" w:eastAsia="Arial" w:cs="Arial"/>
      <w:sz w:val="21"/>
      <w:szCs w:val="21"/>
      <w:lang w:val="en-US" w:eastAsia="en-US" w:bidi="ar-SA"/>
    </w:rPr>
  </w:style>
  <w:style w:type="paragraph" w:styleId="9">
    <w:name w:val="Plain Text"/>
    <w:basedOn w:val="1"/>
    <w:autoRedefine/>
    <w:qFormat/>
    <w:uiPriority w:val="0"/>
    <w:rPr>
      <w:rFonts w:ascii="宋体" w:hAnsi="Courier New" w:cs="Courier New"/>
      <w:szCs w:val="21"/>
    </w:rPr>
  </w:style>
  <w:style w:type="character" w:customStyle="1" w:styleId="12">
    <w:name w:val="标题 3 Char"/>
    <w:link w:val="7"/>
    <w:autoRedefine/>
    <w:qFormat/>
    <w:uiPriority w:val="0"/>
    <w:rPr>
      <w:rFonts w:ascii="Calibri" w:hAnsi="Calibri" w:eastAsia="宋体"/>
      <w:b/>
      <w:sz w:val="30"/>
    </w:rPr>
  </w:style>
  <w:style w:type="character" w:customStyle="1" w:styleId="13">
    <w:name w:val="标题 2 Char"/>
    <w:link w:val="6"/>
    <w:autoRedefine/>
    <w:qFormat/>
    <w:uiPriority w:val="0"/>
    <w:rPr>
      <w:rFonts w:ascii="Arial" w:hAnsi="Arial" w:eastAsia="黑体"/>
      <w:b/>
      <w:kern w:val="2"/>
      <w:sz w:val="36"/>
    </w:rPr>
  </w:style>
  <w:style w:type="character" w:customStyle="1" w:styleId="14">
    <w:name w:val="标题 1 Char"/>
    <w:link w:val="5"/>
    <w:autoRedefine/>
    <w:qFormat/>
    <w:uiPriority w:val="0"/>
    <w:rPr>
      <w:rFonts w:ascii="Times New Roman" w:hAnsi="Times New Roman" w:eastAsia="宋体"/>
      <w:b/>
      <w:kern w:val="44"/>
      <w:sz w:val="44"/>
      <w:szCs w:val="20"/>
    </w:rPr>
  </w:style>
  <w:style w:type="paragraph" w:customStyle="1" w:styleId="15">
    <w:name w:val="Char1"/>
    <w:basedOn w:val="1"/>
    <w:autoRedefine/>
    <w:qFormat/>
    <w:uiPriority w:val="0"/>
    <w:rPr>
      <w:szCs w:val="21"/>
    </w:rPr>
  </w:style>
  <w:style w:type="character" w:customStyle="1" w:styleId="16">
    <w:name w:val="font11"/>
    <w:basedOn w:val="11"/>
    <w:autoRedefine/>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野</cp:lastModifiedBy>
  <dcterms:modified xsi:type="dcterms:W3CDTF">2024-03-04T02:01:11Z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0E578352A9D94473AC475CC1BFFC67B4</vt:lpwstr>
  </property>
</Properties>
</file>