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其他资料</w:t>
      </w:r>
    </w:p>
    <w:p>
      <w:pPr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28"/>
          <w:szCs w:val="28"/>
        </w:rPr>
        <w:t>、依据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采购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</w:rPr>
        <w:t>文件要求，供应商认为有必要说明的其他内容。</w:t>
      </w:r>
    </w:p>
    <w:p>
      <w:pPr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8"/>
          <w:szCs w:val="28"/>
        </w:rPr>
        <w:t>、其他可以证明供应商实力的文件。</w:t>
      </w:r>
    </w:p>
    <w:p>
      <w:pPr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kYjMxNGIxYjc2ZWNmNzc2YjkwZjA5OGZlMDkzNzUifQ=="/>
  </w:docVars>
  <w:rsids>
    <w:rsidRoot w:val="1C0B30B4"/>
    <w:rsid w:val="15525AA8"/>
    <w:rsid w:val="1C0B30B4"/>
    <w:rsid w:val="3EFF29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2024-01-12T01:24:00Z</dcterms:created>
  <dc:creator>1</dc:creator>
  <cp:lastModifiedBy>Administrator</cp:lastModifiedBy>
  <dcterms:modified xsi:type="dcterms:W3CDTF">2024-03-15T07:21:02Z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2222EA78C5A64A959C1646ACA26B80D5_11</vt:lpwstr>
  </property>
</Properties>
</file>