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版本号：240520001</w:t>
      </w:r>
      <w:r>
        <w:br/>
      </w:r>
      <w:r>
        <w:br/>
      </w:r>
      <w:r>
        <w:br/>
      </w:r>
      <w:r>
        <w:br/>
      </w:r>
      <w:r>
        <w:br/>
      </w:r>
    </w:p>
    <w:p>
      <w:pPr>
        <w:pStyle w:val="null3"/>
        <w:jc w:val="center"/>
        <w:outlineLvl w:val="0"/>
      </w:pPr>
      <w:r>
        <w:rPr>
          <w:sz w:val="48"/>
          <w:b/>
        </w:rPr>
        <w:t>谈 判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云机房设备(二次)</w:t>
      </w:r>
    </w:p>
    <w:p>
      <w:pPr>
        <w:pStyle w:val="null3"/>
        <w:jc w:val="center"/>
        <w:outlineLvl w:val="2"/>
      </w:pPr>
      <w:r>
        <w:rPr>
          <w:sz w:val="28"/>
          <w:b/>
        </w:rPr>
        <w:t>采购项目编号：</w:t>
      </w:r>
      <w:r>
        <w:rPr>
          <w:sz w:val="28"/>
          <w:b/>
        </w:rPr>
        <w:t>ZCTH2024-04-024-1</w:t>
      </w:r>
      <w:r>
        <w:br/>
      </w:r>
      <w:r>
        <w:br/>
      </w:r>
      <w:r>
        <w:br/>
      </w:r>
    </w:p>
    <w:p>
      <w:pPr>
        <w:pStyle w:val="null3"/>
        <w:jc w:val="center"/>
        <w:outlineLvl w:val="2"/>
      </w:pPr>
      <w:r>
        <w:rPr>
          <w:sz w:val="28"/>
          <w:b/>
        </w:rPr>
        <w:t>西安市第82中学</w:t>
      </w:r>
    </w:p>
    <w:p>
      <w:pPr>
        <w:pStyle w:val="null3"/>
        <w:jc w:val="center"/>
        <w:outlineLvl w:val="2"/>
      </w:pPr>
      <w:r>
        <w:rPr>
          <w:sz w:val="28"/>
          <w:b/>
        </w:rPr>
        <w:t>陕西中诚天和项目管理有限公司</w:t>
      </w:r>
      <w:r>
        <w:rPr>
          <w:sz w:val="28"/>
          <w:b/>
        </w:rPr>
        <w:t>共同编制</w:t>
      </w:r>
    </w:p>
    <w:p>
      <w:pPr>
        <w:pStyle w:val="null3"/>
        <w:jc w:val="center"/>
        <w:outlineLvl w:val="2"/>
      </w:pPr>
      <w:r>
        <w:rPr>
          <w:sz w:val="28"/>
          <w:b/>
        </w:rPr>
        <w:t>2024年05月20日</w:t>
      </w:r>
    </w:p>
    <w:p>
      <w:pPr>
        <w:pStyle w:val="null3"/>
      </w:pPr>
      <w:r>
        <w:rPr/>
        <w:t xml:space="preserve"> </w:t>
        <w:br/>
        <w:br w:type="page"/>
      </w:r>
    </w:p>
    <w:p>
      <w:pPr>
        <w:pStyle w:val="null3"/>
        <w:jc w:val="center"/>
        <w:outlineLvl w:val="1"/>
      </w:pPr>
      <w:r>
        <w:rPr>
          <w:sz w:val="36"/>
          <w:b/>
        </w:rPr>
        <w:t>第一章 竞争性谈判邀请</w:t>
      </w:r>
    </w:p>
    <w:p>
      <w:pPr>
        <w:pStyle w:val="null3"/>
        <w:ind w:firstLine="480"/>
      </w:pPr>
      <w:r>
        <w:rPr/>
        <w:t>陕西中诚天和项目管理有限公司</w:t>
      </w:r>
      <w:r>
        <w:rPr/>
        <w:t>（以下简称“代理机构”）受</w:t>
      </w:r>
      <w:r>
        <w:rPr/>
        <w:t>西安市第82中学</w:t>
      </w:r>
      <w:r>
        <w:rPr/>
        <w:t>委托，拟对</w:t>
      </w:r>
      <w:r>
        <w:rPr/>
        <w:t>云机房设备(二次)</w:t>
      </w:r>
      <w:r>
        <w:rPr/>
        <w:t>采用竞争性谈判采购方式进行采购，兹邀请供应商参加本项目的竞争性谈判。</w:t>
      </w:r>
    </w:p>
    <w:p>
      <w:pPr>
        <w:pStyle w:val="null3"/>
        <w:outlineLvl w:val="2"/>
      </w:pPr>
      <w:r>
        <w:rPr>
          <w:sz w:val="28"/>
          <w:b/>
        </w:rPr>
        <w:t>一、项目编号：</w:t>
      </w:r>
      <w:r>
        <w:rPr>
          <w:sz w:val="28"/>
          <w:b/>
        </w:rPr>
        <w:t>ZCTH2024-04-024-1</w:t>
      </w:r>
    </w:p>
    <w:p>
      <w:pPr>
        <w:pStyle w:val="null3"/>
        <w:outlineLvl w:val="2"/>
      </w:pPr>
      <w:r>
        <w:rPr>
          <w:sz w:val="28"/>
          <w:b/>
        </w:rPr>
        <w:t>二、项目名称：</w:t>
      </w:r>
      <w:r>
        <w:rPr>
          <w:sz w:val="28"/>
          <w:b/>
        </w:rPr>
        <w:t>云机房设备(二次)</w:t>
      </w:r>
    </w:p>
    <w:p>
      <w:pPr>
        <w:pStyle w:val="null3"/>
        <w:outlineLvl w:val="2"/>
      </w:pPr>
      <w:r>
        <w:rPr>
          <w:sz w:val="28"/>
          <w:b/>
        </w:rPr>
        <w:t>三、谈判项目简介：</w:t>
      </w:r>
    </w:p>
    <w:p>
      <w:pPr>
        <w:pStyle w:val="null3"/>
        <w:ind w:firstLine="480"/>
      </w:pPr>
      <w:r>
        <w:rPr/>
        <w:t>为满足计算机教师教学及需要，丰富课堂内容，提高学生综合素质，现购置云机房部室设备。</w:t>
      </w:r>
    </w:p>
    <w:p>
      <w:pPr>
        <w:pStyle w:val="null3"/>
        <w:outlineLvl w:val="2"/>
      </w:pPr>
      <w:r>
        <w:rPr>
          <w:sz w:val="28"/>
          <w:b/>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40"/>
        <w:jc w:val="left"/>
      </w:pPr>
      <w:r>
        <w:rPr>
          <w:sz w:val="22"/>
        </w:rPr>
        <w:t>注：监狱企业和残疾人福利性单位视同小微企业，符合中小企业划分标准的个体工商户视同中小企业。</w:t>
      </w:r>
    </w:p>
    <w:p>
      <w:pPr>
        <w:pStyle w:val="null3"/>
        <w:ind w:firstLine="480"/>
      </w:pPr>
      <w:r>
        <w:rPr/>
        <w:t>（三）本项目的特定资格要求：</w:t>
      </w:r>
    </w:p>
    <w:p>
      <w:pPr>
        <w:pStyle w:val="null3"/>
      </w:pPr>
      <w:r>
        <w:rPr/>
        <w:t>采购包1：</w:t>
      </w:r>
    </w:p>
    <w:p>
      <w:pPr>
        <w:pStyle w:val="null3"/>
      </w:pPr>
      <w:r>
        <w:rPr/>
        <w:t>1、营业执照：具有独立承担民事责任能力的法人、其他组织或自然人，提供合法有效的统一社会信用代码营业执照（事业单位提供法人证书，自然人提供身份证）</w:t>
      </w:r>
    </w:p>
    <w:p>
      <w:pPr>
        <w:pStyle w:val="null3"/>
      </w:pPr>
      <w:r>
        <w:rPr/>
        <w:t>2、法定代表人授权委托书：法定代表人参加谈判的，须出示身份证；法定 代表人授权他人参加谈判的，须提供法定代表 人授权委托书、被授权人提交响应文件截止时 间前半年内任意一个月的社会保障资金（养老 保险或医疗保险）的缴纳证明或有效期内的劳动合同及被授权人身份证</w:t>
      </w:r>
    </w:p>
    <w:p>
      <w:pPr>
        <w:pStyle w:val="null3"/>
      </w:pPr>
      <w:r>
        <w:rPr/>
        <w:t>3、财务状况报告：提供2022年度或2023年度的经会计师事务所或审计机构审计的财务审计报告或在开标日期前六个月内其基本开户银行出具的资信证明或财政部门认可的政府采购专业担保机构出具的投标担保函，以上形式的证明资料提供任何一种即可</w:t>
      </w:r>
    </w:p>
    <w:p>
      <w:pPr>
        <w:pStyle w:val="null3"/>
      </w:pPr>
      <w:r>
        <w:rPr/>
        <w:t>4、税收缴纳证明：提供投标文件截止时间前一年内至少一个月已缴纳的任意税种凭据；依法免税的投标人应提供相关文件证明</w:t>
      </w:r>
    </w:p>
    <w:p>
      <w:pPr>
        <w:pStyle w:val="null3"/>
      </w:pPr>
      <w:r>
        <w:rPr/>
        <w:t>5、社会保障资金缴纳证明：提供投标文件截止时间前一年内至少一个月已缴纳的社会保障资金的凭据（专用收据或社会保险缴纳清单）；依法不需要缴纳社会保障资金的投标人应提供相关文件证明</w:t>
      </w:r>
    </w:p>
    <w:p>
      <w:pPr>
        <w:pStyle w:val="null3"/>
      </w:pPr>
      <w:r>
        <w:rPr/>
        <w:t>6、书面承诺：提供具有履行本合同所必需的设备和专业技术能力的声明、参加政府采购活动前3年内在经营活动中没有重大违法记录的书面承诺</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西安市第82中学</w:t>
      </w:r>
    </w:p>
    <w:p>
      <w:pPr>
        <w:pStyle w:val="null3"/>
      </w:pPr>
      <w:r>
        <w:rPr/>
        <w:t xml:space="preserve"> 地址： </w:t>
      </w:r>
      <w:r>
        <w:rPr/>
        <w:t>友谊西路286号</w:t>
      </w:r>
    </w:p>
    <w:p>
      <w:pPr>
        <w:pStyle w:val="null3"/>
      </w:pPr>
      <w:r>
        <w:rPr/>
        <w:t xml:space="preserve"> 邮编： </w:t>
      </w:r>
      <w:r>
        <w:rPr/>
        <w:t>/</w:t>
      </w:r>
    </w:p>
    <w:p>
      <w:pPr>
        <w:pStyle w:val="null3"/>
      </w:pPr>
      <w:r>
        <w:rPr/>
        <w:t xml:space="preserve"> 联系人： </w:t>
      </w:r>
      <w:r>
        <w:rPr/>
        <w:t>西安市第八十二中学</w:t>
      </w:r>
    </w:p>
    <w:p>
      <w:pPr>
        <w:pStyle w:val="null3"/>
      </w:pPr>
      <w:r>
        <w:rPr/>
        <w:t xml:space="preserve"> 联系电话： </w:t>
      </w:r>
      <w:r>
        <w:rPr/>
        <w:t>029-85215244</w:t>
      </w:r>
    </w:p>
    <w:p>
      <w:pPr>
        <w:pStyle w:val="null3"/>
        <w:outlineLvl w:val="3"/>
      </w:pPr>
      <w:r>
        <w:rPr>
          <w:sz w:val="24"/>
          <w:b/>
        </w:rPr>
        <w:t>代理机构：</w:t>
      </w:r>
      <w:r>
        <w:rPr>
          <w:sz w:val="24"/>
          <w:b/>
        </w:rPr>
        <w:t>陕西中诚天和项目管理有限公司</w:t>
      </w:r>
    </w:p>
    <w:p>
      <w:pPr>
        <w:pStyle w:val="null3"/>
      </w:pPr>
      <w:r>
        <w:rPr/>
        <w:t xml:space="preserve"> 地址： </w:t>
      </w:r>
      <w:r>
        <w:rPr/>
        <w:t>西安市高新区锦业一路52号宝德云谷国际B座14层1406-6室</w:t>
      </w:r>
    </w:p>
    <w:p>
      <w:pPr>
        <w:pStyle w:val="null3"/>
      </w:pPr>
      <w:r>
        <w:rPr/>
        <w:t xml:space="preserve"> 邮编： </w:t>
      </w:r>
      <w:r>
        <w:rPr/>
        <w:t>1243889792@qq.com</w:t>
      </w:r>
    </w:p>
    <w:p>
      <w:pPr>
        <w:pStyle w:val="null3"/>
      </w:pPr>
      <w:r>
        <w:rPr/>
        <w:t xml:space="preserve"> 联系人： </w:t>
      </w:r>
      <w:r>
        <w:rPr/>
        <w:t>黄静宜</w:t>
      </w:r>
    </w:p>
    <w:p>
      <w:pPr>
        <w:pStyle w:val="null3"/>
      </w:pPr>
      <w:r>
        <w:rPr/>
        <w:t xml:space="preserve"> 联系电话： </w:t>
      </w:r>
      <w:r>
        <w:rPr/>
        <w:t>029-81882499</w:t>
      </w:r>
    </w:p>
    <w:p>
      <w:pPr>
        <w:pStyle w:val="null3"/>
        <w:outlineLvl w:val="3"/>
      </w:pPr>
      <w:r>
        <w:rPr>
          <w:sz w:val="24"/>
          <w:b/>
        </w:rPr>
        <w:t>采购监督机构：</w:t>
      </w:r>
      <w:r>
        <w:rPr>
          <w:sz w:val="24"/>
          <w:b/>
        </w:rPr>
        <w:t>西安市碑林区政府采购管理股</w:t>
      </w:r>
    </w:p>
    <w:p>
      <w:pPr>
        <w:pStyle w:val="null3"/>
        <w:ind w:firstLine="480"/>
      </w:pPr>
      <w:r>
        <w:rPr/>
        <w:t>联系人：</w:t>
      </w:r>
      <w:r>
        <w:rPr/>
        <w:t>郝天峰</w:t>
      </w:r>
    </w:p>
    <w:p>
      <w:pPr>
        <w:pStyle w:val="null3"/>
        <w:ind w:firstLine="480"/>
      </w:pPr>
      <w:r>
        <w:rPr/>
        <w:t>联系电话：</w:t>
      </w:r>
      <w:r>
        <w:rPr/>
        <w:t>029-89625302</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采购包1：1,289,937.00元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13</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代理服务费收费标准：1.参照国家计委计价格[2002]1980号及发改办价格[2003]857号通知规 定，由中标单位支付采购代理服务费。 2.支付方式：中标人应在领取通知书的同时，向陕西中诚天和项目管理有限公司交纳本项目采购代理服务费。收款账户如下：收款单位：陕西中诚天和项目管理有限公司；开户银行：中国建设银行股份有限公司西安高新自贸区支行；银行账号：61050110066700001164 。注：代理服务费不足陆仟元整按陆仟元整收取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一、本竞争性谈判文件仅适用于本次竞争性谈判采购项目。</w:t>
      </w:r>
    </w:p>
    <w:p>
      <w:pPr>
        <w:pStyle w:val="null3"/>
        <w:ind w:firstLine="480"/>
      </w:pPr>
      <w:r>
        <w:rPr/>
        <w:t>二、本竞争性谈判文件的最终解释权由</w:t>
      </w:r>
      <w:r>
        <w:rPr/>
        <w:t>西安市第82中学</w:t>
      </w:r>
      <w:r>
        <w:rPr/>
        <w:t>和</w:t>
      </w:r>
      <w:r>
        <w:rPr/>
        <w:t>陕西中诚天和项目管理有限公司</w:t>
      </w:r>
      <w:r>
        <w:rPr/>
        <w:t>享有。竞争性谈判文件中供应商参加本次政府采购活动应当具备的条件、技术清单、参数、商务及其他要求由</w:t>
      </w:r>
      <w:r>
        <w:rPr/>
        <w:t>西安市第82中学</w:t>
      </w:r>
      <w:r>
        <w:rPr/>
        <w:t>负责解释。除上述竞争性谈判文件内容，其他内容由</w:t>
      </w:r>
      <w:r>
        <w:rPr/>
        <w:t>陕西中诚天和项目管理有限公司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一、“采购人”是指依法进行政府采购的各级国家机关、事业单位、团体组织。本次谈判的采购人是</w:t>
      </w:r>
      <w:r>
        <w:rPr/>
        <w:t>西安市第82中学</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陕西中诚天和项目管理有限公司</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3"/>
      </w:pPr>
      <w:r>
        <w:rPr>
          <w:sz w:val="24"/>
          <w:b/>
        </w:rPr>
        <w:t>2.2.3响应费用（实质性要求）</w:t>
      </w:r>
    </w:p>
    <w:p>
      <w:pPr>
        <w:pStyle w:val="null3"/>
        <w:ind w:firstLine="480"/>
      </w:pPr>
      <w:r>
        <w:rPr/>
        <w:t>供应商应自行承担参加竞争性谈判采购活动的全部费用。</w:t>
      </w:r>
    </w:p>
    <w:p>
      <w:pPr>
        <w:pStyle w:val="null3"/>
        <w:outlineLvl w:val="2"/>
      </w:pPr>
      <w:r>
        <w:rPr>
          <w:sz w:val="28"/>
          <w:b/>
        </w:rPr>
        <w:t>2.3竞争性谈判文件</w:t>
      </w:r>
    </w:p>
    <w:p>
      <w:pPr>
        <w:pStyle w:val="null3"/>
        <w:outlineLvl w:val="3"/>
      </w:pPr>
      <w:r>
        <w:rPr>
          <w:sz w:val="24"/>
          <w:b/>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sz w:val="24"/>
          <w:b/>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除谈判文件中另有规定外，本项目均采用国家法定的计量单位。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四、构成本谈判文件的各组成部分，未经采购人书面同意，供应商不得擅自复印或用于非本谈判项目所需的其他目的。</w:t>
      </w:r>
    </w:p>
    <w:p>
      <w:pPr>
        <w:pStyle w:val="null3"/>
        <w:outlineLvl w:val="3"/>
      </w:pPr>
      <w:r>
        <w:rPr>
          <w:sz w:val="24"/>
          <w:b/>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响应文件具体内容详见第七章。</w:t>
      </w:r>
    </w:p>
    <w:p>
      <w:pPr>
        <w:pStyle w:val="null3"/>
        <w:outlineLvl w:val="3"/>
      </w:pPr>
      <w:r>
        <w:rPr>
          <w:sz w:val="24"/>
          <w:b/>
        </w:rPr>
        <w:t>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一、供应商的报价是其响应谈判项目要求的全部工作内容的价格体现，包括供应商完成本项目所需的一切费用。</w:t>
      </w:r>
    </w:p>
    <w:p>
      <w:pPr>
        <w:pStyle w:val="null3"/>
        <w:ind w:firstLine="480"/>
      </w:pPr>
      <w:r>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一、响应文件应当根据谈判通知书进行编制。供应商应通过陕西省政府采购网-办事指南-CA及签章服务下载投标（响应）客户端，使用客户端编制响应文件。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2.5开启、资格审查、谈判和确定成交供应商</w:t>
      </w:r>
    </w:p>
    <w:p>
      <w:pPr>
        <w:pStyle w:val="null3"/>
        <w:outlineLvl w:val="3"/>
      </w:pPr>
      <w:r>
        <w:rPr>
          <w:sz w:val="24"/>
          <w:b/>
        </w:rPr>
        <w:t>2.5.1谈判开启程序</w:t>
      </w:r>
    </w:p>
    <w:p>
      <w:pPr>
        <w:pStyle w:val="null3"/>
        <w:ind w:firstLine="480"/>
      </w:pPr>
      <w:r>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详见谈判文件第四章。</w:t>
      </w:r>
    </w:p>
    <w:p>
      <w:pPr>
        <w:pStyle w:val="null3"/>
        <w:outlineLvl w:val="3"/>
      </w:pPr>
      <w:r>
        <w:rPr>
          <w:sz w:val="24"/>
          <w:b/>
        </w:rPr>
        <w:t>2.5.4谈判</w:t>
      </w:r>
    </w:p>
    <w:p>
      <w:pPr>
        <w:pStyle w:val="null3"/>
        <w:ind w:firstLine="480"/>
      </w:pPr>
      <w:r>
        <w:rPr/>
        <w:t>详见谈判文件第六章。</w:t>
      </w:r>
    </w:p>
    <w:p>
      <w:pPr>
        <w:pStyle w:val="null3"/>
        <w:outlineLvl w:val="3"/>
      </w:pPr>
      <w:r>
        <w:rPr>
          <w:sz w:val="24"/>
          <w:b/>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sz w:val="28"/>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sz w:val="28"/>
          <w:b/>
        </w:rPr>
        <w:t>2.6.7履约验收方案</w:t>
      </w:r>
    </w:p>
    <w:p>
      <w:pPr>
        <w:pStyle w:val="null3"/>
      </w:pPr>
      <w:r>
        <w:rPr/>
        <w:t>采购包1：</w:t>
      </w:r>
    </w:p>
    <w:p>
      <w:pPr>
        <w:pStyle w:val="null3"/>
      </w:pPr>
      <w:r>
        <w:rPr/>
        <w:t>符合国家相关行业标准，满足采购人需求</w:t>
      </w:r>
    </w:p>
    <w:p>
      <w:pPr>
        <w:pStyle w:val="null3"/>
        <w:outlineLvl w:val="2"/>
      </w:pPr>
      <w:r>
        <w:rPr>
          <w:sz w:val="28"/>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sz w:val="24"/>
          <w:b/>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陕西中诚天和项目管理有限公司</w:t>
      </w:r>
      <w:r>
        <w:rPr/>
        <w:t xml:space="preserve"> 负责答复；供应商对除采购需求外的采购文件的询问、质疑由</w:t>
      </w:r>
      <w:r>
        <w:rPr/>
        <w:t>陕西中诚天和项目管理有限公司</w:t>
      </w:r>
      <w:r>
        <w:rPr/>
        <w:t xml:space="preserve"> 负责答复；供应商对采购过程、采购结果的询问、质疑由 </w:t>
      </w:r>
      <w:r>
        <w:rPr/>
        <w:t>陕西中诚天和项目管理有限公司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pPr>
      <w:r>
        <w:rPr/>
        <w:t>答复主体：代理机构</w:t>
      </w:r>
    </w:p>
    <w:p>
      <w:pPr>
        <w:pStyle w:val="null3"/>
      </w:pPr>
      <w:r>
        <w:rPr/>
        <w:t>联系人：刘欣欣</w:t>
      </w:r>
    </w:p>
    <w:p>
      <w:pPr>
        <w:pStyle w:val="null3"/>
      </w:pPr>
      <w:r>
        <w:rPr/>
        <w:t>联系电话：029-81882499</w:t>
      </w:r>
    </w:p>
    <w:p>
      <w:pPr>
        <w:pStyle w:val="null3"/>
      </w:pPr>
      <w:r>
        <w:rPr/>
        <w:t>地址：陕西省西安市高新区锦业一路52号宝德云谷国际B座14层1406-6室</w:t>
      </w:r>
    </w:p>
    <w:p>
      <w:pPr>
        <w:pStyle w:val="null3"/>
      </w:pPr>
      <w:r>
        <w:rPr/>
        <w:t>邮编：/</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t xml:space="preserve"> </w:t>
        <w:br/>
        <w:br w:type="page"/>
      </w:r>
    </w:p>
    <w:p>
      <w:pPr>
        <w:pStyle w:val="null3"/>
        <w:jc w:val="center"/>
        <w:outlineLvl w:val="1"/>
      </w:pPr>
      <w:r>
        <w:rPr>
          <w:sz w:val="36"/>
          <w:b/>
        </w:rPr>
        <w:t>第三章 谈判项目技术、服务、商务及其他要求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rFonts w:ascii="宋体" w:hAnsi="宋体" w:cs="宋体" w:eastAsia="宋体"/>
          <w:sz w:val="24"/>
          <w:color w:val="000000"/>
        </w:rPr>
        <w:t>为满足计算机教师教学及需要，丰富课堂内容，提高学生综合素质，现购置云机房部室设备。</w:t>
      </w:r>
    </w:p>
    <w:p>
      <w:pPr>
        <w:pStyle w:val="null3"/>
        <w:spacing w:before="165"/>
        <w:ind w:right="30" w:firstLine="492"/>
        <w:jc w:val="both"/>
      </w:pPr>
      <w:r>
        <w:rPr>
          <w:rFonts w:ascii="宋体" w:hAnsi="宋体" w:cs="宋体" w:eastAsia="宋体"/>
          <w:sz w:val="24"/>
          <w:color w:val="000000"/>
        </w:rPr>
        <w:t>本项目核心产品为：云终端一体机</w:t>
      </w:r>
    </w:p>
    <w:p>
      <w:pPr>
        <w:pStyle w:val="null3"/>
        <w:outlineLvl w:val="2"/>
      </w:pPr>
      <w:r>
        <w:rPr>
          <w:sz w:val="28"/>
          <w:b/>
        </w:rPr>
        <w:t>3.2采购内容</w:t>
      </w:r>
    </w:p>
    <w:p>
      <w:pPr>
        <w:pStyle w:val="null3"/>
      </w:pPr>
      <w:r>
        <w:rPr/>
        <w:t>采购包1：</w:t>
      </w:r>
    </w:p>
    <w:p>
      <w:pPr>
        <w:pStyle w:val="null3"/>
      </w:pPr>
      <w:r>
        <w:rPr/>
        <w:t>采购包预算金额（元）: 1,289,937.00</w:t>
      </w:r>
    </w:p>
    <w:p>
      <w:pPr>
        <w:pStyle w:val="null3"/>
      </w:pPr>
      <w:r>
        <w:rPr/>
        <w:t>采购包最高限价（元）: 1,289,937.00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机房设备</w:t>
            </w:r>
          </w:p>
        </w:tc>
        <w:tc>
          <w:tcPr>
            <w:tcW w:type="dxa" w:w="831"/>
          </w:tcPr>
          <w:p>
            <w:pPr>
              <w:pStyle w:val="null3"/>
              <w:jc w:val="right"/>
            </w:pPr>
            <w:r>
              <w:rPr/>
              <w:t>1.00</w:t>
            </w:r>
          </w:p>
        </w:tc>
        <w:tc>
          <w:tcPr>
            <w:tcW w:type="dxa" w:w="831"/>
          </w:tcPr>
          <w:p>
            <w:pPr>
              <w:pStyle w:val="null3"/>
              <w:jc w:val="right"/>
            </w:pPr>
            <w:r>
              <w:rPr/>
              <w:t>1,289,937.00</w:t>
            </w:r>
          </w:p>
        </w:tc>
        <w:tc>
          <w:tcPr>
            <w:tcW w:type="dxa" w:w="831"/>
          </w:tcPr>
          <w:p>
            <w:pPr>
              <w:pStyle w:val="null3"/>
            </w:pPr>
            <w:r>
              <w:rPr/>
              <w:t>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标的名称：机房设备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75"/>
              <w:ind w:left="120"/>
            </w:pPr>
            <w:r>
              <w:rPr>
                <w:rFonts w:ascii="宋体" w:hAnsi="宋体" w:cs="宋体" w:eastAsia="宋体"/>
                <w:sz w:val="24"/>
                <w:color w:val="000000"/>
              </w:rPr>
              <w:t>云桌面服务器（</w:t>
            </w:r>
            <w:r>
              <w:rPr>
                <w:rFonts w:ascii="宋体" w:hAnsi="宋体" w:cs="宋体" w:eastAsia="宋体"/>
                <w:sz w:val="24"/>
                <w:color w:val="000000"/>
              </w:rPr>
              <w:t>1</w:t>
            </w:r>
            <w:r>
              <w:rPr>
                <w:rFonts w:ascii="宋体" w:hAnsi="宋体" w:cs="宋体" w:eastAsia="宋体"/>
                <w:sz w:val="24"/>
                <w:color w:val="000000"/>
              </w:rPr>
              <w:t>台</w:t>
            </w:r>
            <w:r>
              <w:rPr>
                <w:rFonts w:ascii="宋体" w:hAnsi="宋体" w:cs="宋体" w:eastAsia="宋体"/>
                <w:sz w:val="24"/>
                <w:color w:val="000000"/>
              </w:rPr>
              <w:t>）</w:t>
            </w:r>
          </w:p>
          <w:p>
            <w:pPr>
              <w:pStyle w:val="null3"/>
              <w:ind w:left="120"/>
            </w:pPr>
            <w:r>
              <w:rPr>
                <w:rFonts w:ascii="宋体" w:hAnsi="宋体" w:cs="宋体" w:eastAsia="宋体"/>
                <w:sz w:val="24"/>
                <w:color w:val="000000"/>
              </w:rPr>
              <w:t>1、机型:国产自主品牌，</w:t>
            </w:r>
          </w:p>
          <w:p>
            <w:pPr>
              <w:pStyle w:val="null3"/>
              <w:ind w:left="120"/>
            </w:pPr>
            <w:r>
              <w:rPr>
                <w:rFonts w:ascii="宋体" w:hAnsi="宋体" w:cs="宋体" w:eastAsia="宋体"/>
                <w:sz w:val="24"/>
                <w:color w:val="000000"/>
              </w:rPr>
              <w:t>2、处理器：采用国内自主可控处理器，≥十六核心，主频≥2.4GHz;</w:t>
            </w:r>
          </w:p>
          <w:p>
            <w:pPr>
              <w:pStyle w:val="null3"/>
              <w:ind w:left="120"/>
            </w:pPr>
            <w:r>
              <w:rPr>
                <w:rFonts w:ascii="宋体" w:hAnsi="宋体" w:cs="宋体" w:eastAsia="宋体"/>
                <w:sz w:val="24"/>
                <w:color w:val="000000"/>
              </w:rPr>
              <w:t>3、内存：≥2*32GB DDR4内存;</w:t>
            </w:r>
          </w:p>
          <w:p>
            <w:pPr>
              <w:pStyle w:val="null3"/>
              <w:ind w:left="120"/>
            </w:pPr>
            <w:r>
              <w:rPr>
                <w:rFonts w:ascii="宋体" w:hAnsi="宋体" w:cs="宋体" w:eastAsia="宋体"/>
                <w:sz w:val="24"/>
                <w:color w:val="000000"/>
              </w:rPr>
              <w:t>4、硬盘：≥1TSSD + 2*4T SATA;</w:t>
            </w:r>
          </w:p>
          <w:p>
            <w:pPr>
              <w:pStyle w:val="null3"/>
              <w:ind w:left="120"/>
            </w:pPr>
            <w:r>
              <w:rPr>
                <w:rFonts w:ascii="宋体" w:hAnsi="宋体" w:cs="宋体" w:eastAsia="宋体"/>
                <w:sz w:val="24"/>
                <w:color w:val="000000"/>
              </w:rPr>
              <w:t>5、网卡：≥4个千兆口 ;</w:t>
            </w:r>
          </w:p>
          <w:p>
            <w:pPr>
              <w:pStyle w:val="null3"/>
              <w:ind w:left="120"/>
            </w:pPr>
            <w:r>
              <w:rPr>
                <w:rFonts w:ascii="宋体" w:hAnsi="宋体" w:cs="宋体" w:eastAsia="宋体"/>
                <w:sz w:val="24"/>
                <w:color w:val="000000"/>
              </w:rPr>
              <w:t>内置虚拟化系统软件</w:t>
            </w:r>
          </w:p>
          <w:p>
            <w:pPr>
              <w:pStyle w:val="null3"/>
              <w:ind w:left="120"/>
            </w:pPr>
            <w:r>
              <w:rPr>
                <w:rFonts w:ascii="宋体" w:hAnsi="宋体" w:cs="宋体" w:eastAsia="宋体"/>
                <w:sz w:val="24"/>
                <w:color w:val="000000"/>
              </w:rPr>
              <w:t>1、为便于教学，编辑不同教学模板，无需重启终端，一键切换系统；</w:t>
            </w:r>
          </w:p>
          <w:p>
            <w:pPr>
              <w:pStyle w:val="null3"/>
              <w:ind w:left="120"/>
            </w:pPr>
            <w:r>
              <w:rPr>
                <w:rFonts w:ascii="宋体" w:hAnsi="宋体" w:cs="宋体" w:eastAsia="宋体"/>
                <w:sz w:val="24"/>
                <w:color w:val="000000"/>
              </w:rPr>
              <w:t>2、虚拟化软件同时提供教学桌面和办公桌面两种桌面模式；</w:t>
            </w:r>
          </w:p>
          <w:p>
            <w:pPr>
              <w:pStyle w:val="null3"/>
              <w:ind w:left="120"/>
            </w:pPr>
            <w:r>
              <w:rPr>
                <w:rFonts w:ascii="宋体" w:hAnsi="宋体" w:cs="宋体" w:eastAsia="宋体"/>
                <w:sz w:val="24"/>
                <w:color w:val="000000"/>
              </w:rPr>
              <w:t>3、管理节点支持高可用，在HA切换过程中，所有终端连接服务器的网络配置均不需要更改，实现业务的不中断；</w:t>
            </w:r>
          </w:p>
          <w:p>
            <w:pPr>
              <w:pStyle w:val="null3"/>
              <w:ind w:left="120"/>
            </w:pPr>
            <w:r>
              <w:rPr>
                <w:rFonts w:ascii="宋体" w:hAnsi="宋体" w:cs="宋体" w:eastAsia="宋体"/>
                <w:sz w:val="24"/>
                <w:color w:val="000000"/>
              </w:rPr>
              <w:t>4、支持集群化部署，采用超融合架构，分布式存储，平台支持选择存储内文件副本数，默认副本数为2；当存储为集群时，单个节点故障不影响存储的使用；</w:t>
            </w:r>
          </w:p>
        </w:tc>
      </w:tr>
      <w:tr>
        <w:tc>
          <w:tcPr>
            <w:tcW w:type="dxa" w:w="2769"/>
          </w:tcPr>
          <w:p/>
        </w:tc>
        <w:tc>
          <w:tcPr>
            <w:tcW w:type="dxa" w:w="2769"/>
          </w:tcPr>
          <w:p>
            <w:pPr>
              <w:pStyle w:val="null3"/>
            </w:pPr>
            <w:r>
              <w:rPr/>
              <w:t>2</w:t>
            </w:r>
          </w:p>
        </w:tc>
        <w:tc>
          <w:tcPr>
            <w:tcW w:type="dxa" w:w="2769"/>
          </w:tcPr>
          <w:p>
            <w:pPr>
              <w:pStyle w:val="null3"/>
              <w:spacing w:before="90"/>
              <w:ind w:left="105"/>
            </w:pPr>
            <w:r>
              <w:rPr>
                <w:rFonts w:ascii="宋体" w:hAnsi="宋体" w:cs="宋体" w:eastAsia="宋体"/>
                <w:sz w:val="24"/>
                <w:color w:val="000000"/>
              </w:rPr>
              <w:t>云桌面管理系统（</w:t>
            </w:r>
            <w:r>
              <w:rPr>
                <w:rFonts w:ascii="宋体" w:hAnsi="宋体" w:cs="宋体" w:eastAsia="宋体"/>
                <w:sz w:val="24"/>
                <w:color w:val="000000"/>
              </w:rPr>
              <w:t>1点</w:t>
            </w:r>
            <w:r>
              <w:rPr>
                <w:rFonts w:ascii="宋体" w:hAnsi="宋体" w:cs="宋体" w:eastAsia="宋体"/>
                <w:sz w:val="24"/>
                <w:color w:val="000000"/>
              </w:rPr>
              <w:t>）</w:t>
            </w:r>
          </w:p>
          <w:p>
            <w:pPr>
              <w:pStyle w:val="null3"/>
              <w:ind w:left="105"/>
            </w:pPr>
            <w:r>
              <w:rPr>
                <w:rFonts w:ascii="宋体" w:hAnsi="宋体" w:cs="宋体" w:eastAsia="宋体"/>
                <w:sz w:val="24"/>
                <w:color w:val="000000"/>
              </w:rPr>
              <w:t>1、支持服务器管理模式，且可以在主流国产操作系统（统信UOS、麒麟kylinOS、中科方德）上运行部署。</w:t>
            </w:r>
          </w:p>
          <w:p>
            <w:pPr>
              <w:pStyle w:val="null3"/>
              <w:ind w:left="105"/>
            </w:pPr>
            <w:r>
              <w:rPr>
                <w:rFonts w:ascii="宋体" w:hAnsi="宋体" w:cs="宋体" w:eastAsia="宋体"/>
                <w:sz w:val="24"/>
                <w:color w:val="000000"/>
              </w:rPr>
              <w:t>2、一台服务器可以同时管理多种架构的终端，支持主流国产操作系统（统信UOS、麒麟kylinOS、中科方德）。</w:t>
            </w:r>
          </w:p>
          <w:p>
            <w:pPr>
              <w:pStyle w:val="null3"/>
              <w:ind w:left="105"/>
            </w:pPr>
            <w:r>
              <w:rPr>
                <w:rFonts w:ascii="宋体" w:hAnsi="宋体" w:cs="宋体" w:eastAsia="宋体"/>
                <w:sz w:val="24"/>
                <w:color w:val="000000"/>
              </w:rPr>
              <w:t>3、支持镜像集中管理，包括终端所需的系统及软件环境，集中存储在镜像仓库。</w:t>
            </w:r>
          </w:p>
          <w:p>
            <w:pPr>
              <w:pStyle w:val="null3"/>
              <w:ind w:left="105"/>
            </w:pPr>
            <w:r>
              <w:rPr>
                <w:rFonts w:ascii="宋体" w:hAnsi="宋体" w:cs="宋体" w:eastAsia="宋体"/>
                <w:sz w:val="24"/>
                <w:color w:val="000000"/>
              </w:rPr>
              <w:t>4、同一个镜像可以在同类型架构的终端被使用，允许硬件差异的设备上运行，减轻系统维护难度。</w:t>
            </w:r>
          </w:p>
          <w:p>
            <w:pPr>
              <w:pStyle w:val="null3"/>
              <w:ind w:left="105"/>
            </w:pPr>
            <w:r>
              <w:rPr>
                <w:rFonts w:ascii="宋体" w:hAnsi="宋体" w:cs="宋体" w:eastAsia="宋体"/>
                <w:sz w:val="24"/>
                <w:color w:val="000000"/>
              </w:rPr>
              <w:t>5、支持同一个镜像模板被不同的虚拟磁盘使用，避免了镜像的重复制作，减少了镜像的管理和维护时间成本。</w:t>
            </w:r>
          </w:p>
          <w:p>
            <w:pPr>
              <w:pStyle w:val="null3"/>
              <w:ind w:left="105"/>
            </w:pPr>
            <w:r>
              <w:rPr>
                <w:rFonts w:ascii="宋体" w:hAnsi="宋体" w:cs="宋体" w:eastAsia="宋体"/>
                <w:sz w:val="24"/>
                <w:color w:val="000000"/>
              </w:rPr>
              <w:t>★</w:t>
            </w:r>
            <w:r>
              <w:rPr>
                <w:rFonts w:ascii="宋体" w:hAnsi="宋体" w:cs="宋体" w:eastAsia="宋体"/>
                <w:sz w:val="24"/>
                <w:color w:val="000000"/>
              </w:rPr>
              <w:t>6、支持根据不同区域的网络环境，创建不同的虚拟网络类型，包括vlan网络、access网络和trunk网络，以满足网络建设的需求；（投标现场提供视频文件演示佐证）</w:t>
            </w:r>
          </w:p>
          <w:p>
            <w:pPr>
              <w:pStyle w:val="null3"/>
              <w:ind w:left="105"/>
            </w:pPr>
            <w:r>
              <w:rPr>
                <w:rFonts w:ascii="宋体" w:hAnsi="宋体" w:cs="宋体" w:eastAsia="宋体"/>
                <w:sz w:val="24"/>
                <w:color w:val="000000"/>
              </w:rPr>
              <w:t>★</w:t>
            </w:r>
            <w:r>
              <w:rPr>
                <w:rFonts w:ascii="宋体" w:hAnsi="宋体" w:cs="宋体" w:eastAsia="宋体"/>
                <w:sz w:val="24"/>
                <w:color w:val="000000"/>
              </w:rPr>
              <w:t>7、支持虚拟机故障恢复功能，故障虚拟机可以通过备份恢复，也可以恢复到新的虚拟机。当故障虚拟机恢复到新的虚拟机时，故障虚拟机的C盘和云盘自动挂载到新的虚拟机中，管理员可设置故障桌面C盘的卸载时间；（投标现场提供视频文件演示佐证）</w:t>
            </w:r>
          </w:p>
          <w:p>
            <w:pPr>
              <w:pStyle w:val="null3"/>
              <w:ind w:left="105"/>
            </w:pPr>
            <w:r>
              <w:rPr>
                <w:rFonts w:ascii="宋体" w:hAnsi="宋体" w:cs="宋体" w:eastAsia="宋体"/>
                <w:sz w:val="24"/>
                <w:color w:val="000000"/>
              </w:rPr>
              <w:t>8、可以远程进行批量桌面运维，包括远程文件分发、远程协助、远程软件安装、远程更换壁纸、远程运行命令、远程更新客户端等；</w:t>
            </w:r>
          </w:p>
          <w:p>
            <w:pPr>
              <w:pStyle w:val="null3"/>
              <w:ind w:left="105"/>
            </w:pPr>
            <w:r>
              <w:rPr>
                <w:rFonts w:ascii="宋体" w:hAnsi="宋体" w:cs="宋体" w:eastAsia="宋体"/>
                <w:sz w:val="24"/>
                <w:color w:val="000000"/>
              </w:rPr>
              <w:t>★</w:t>
            </w:r>
            <w:r>
              <w:rPr>
                <w:rFonts w:ascii="宋体" w:hAnsi="宋体" w:cs="宋体" w:eastAsia="宋体"/>
                <w:sz w:val="24"/>
                <w:color w:val="000000"/>
              </w:rPr>
              <w:t>9、支持编辑学校课程表，如学期起止时间、课节数及课节时间段、课程等，并支持根据单周、双周、所有周对课程表进行编辑，也可只编辑某一周的课表；为了能够灵活编辑课程表，课表提供自由上机课程设置，并支持橡皮擦功能；（投标现场提供视频文件演示佐证）</w:t>
            </w:r>
          </w:p>
          <w:p>
            <w:pPr>
              <w:pStyle w:val="null3"/>
              <w:ind w:left="105"/>
            </w:pPr>
            <w:r>
              <w:rPr>
                <w:rFonts w:ascii="宋体" w:hAnsi="宋体" w:cs="宋体" w:eastAsia="宋体"/>
                <w:sz w:val="24"/>
                <w:color w:val="000000"/>
              </w:rPr>
              <w:t>10、支持多个不同的系统同时部署在同一个终端上，且每个系统可独立操作，互不影响，也可任意添加和删除某个系统，满足各种不同的教学环境</w:t>
            </w:r>
          </w:p>
          <w:p>
            <w:pPr>
              <w:pStyle w:val="null3"/>
              <w:ind w:left="105"/>
            </w:pPr>
            <w:r>
              <w:rPr>
                <w:rFonts w:ascii="宋体" w:hAnsi="宋体" w:cs="宋体" w:eastAsia="宋体"/>
                <w:sz w:val="24"/>
                <w:color w:val="000000"/>
              </w:rPr>
              <w:t>★</w:t>
            </w:r>
            <w:r>
              <w:rPr>
                <w:rFonts w:ascii="宋体" w:hAnsi="宋体" w:cs="宋体" w:eastAsia="宋体"/>
                <w:sz w:val="24"/>
                <w:color w:val="000000"/>
              </w:rPr>
              <w:t>11、提供多种安全管控策略，包括进行黑名单，禁止使用非标或者影响安全的软件，提供安全网关重定向功能，可以在服务器端为每个流桌面配置安全网关地址，可以用来限制用户上internet或者局域网，可以对USB存储，外置光驱，内置光驱，USB打印机，USB摄像头，串口，网口等接入设备控制进行管控；（投标现场提供视频文件演示佐证）</w:t>
            </w:r>
          </w:p>
          <w:p>
            <w:pPr>
              <w:pStyle w:val="null3"/>
              <w:ind w:left="105"/>
            </w:pPr>
            <w:r>
              <w:rPr>
                <w:rFonts w:ascii="宋体" w:hAnsi="宋体" w:cs="宋体" w:eastAsia="宋体"/>
                <w:sz w:val="24"/>
                <w:color w:val="000000"/>
              </w:rPr>
              <w:t>★</w:t>
            </w:r>
            <w:r>
              <w:rPr>
                <w:rFonts w:ascii="宋体" w:hAnsi="宋体" w:cs="宋体" w:eastAsia="宋体"/>
                <w:sz w:val="24"/>
                <w:color w:val="000000"/>
              </w:rPr>
              <w:t>12、管理平台提供远程运维入口，以及远程运维工具包；为方便用户根据具体需求选择，同一平台同时支持多种客户端；（投标现场提供视频文件演示佐证）</w:t>
            </w:r>
          </w:p>
          <w:p>
            <w:pPr>
              <w:pStyle w:val="null3"/>
              <w:jc w:val="left"/>
            </w:pPr>
          </w:p>
        </w:tc>
      </w:tr>
      <w:tr>
        <w:tc>
          <w:tcPr>
            <w:tcW w:type="dxa" w:w="2769"/>
          </w:tcPr>
          <w:p/>
        </w:tc>
        <w:tc>
          <w:tcPr>
            <w:tcW w:type="dxa" w:w="2769"/>
          </w:tcPr>
          <w:p>
            <w:pPr>
              <w:pStyle w:val="null3"/>
            </w:pPr>
            <w:r>
              <w:rPr/>
              <w:t>3</w:t>
            </w:r>
          </w:p>
        </w:tc>
        <w:tc>
          <w:tcPr>
            <w:tcW w:type="dxa" w:w="2769"/>
          </w:tcPr>
          <w:p>
            <w:pPr>
              <w:pStyle w:val="null3"/>
              <w:spacing w:before="90"/>
              <w:ind w:left="105"/>
            </w:pPr>
            <w:r>
              <w:rPr>
                <w:rFonts w:ascii="宋体" w:hAnsi="宋体" w:cs="宋体" w:eastAsia="宋体"/>
                <w:sz w:val="24"/>
                <w:color w:val="000000"/>
              </w:rPr>
              <w:t>云桌面软件（</w:t>
            </w:r>
            <w:r>
              <w:rPr>
                <w:rFonts w:ascii="宋体" w:hAnsi="宋体" w:cs="宋体" w:eastAsia="宋体"/>
                <w:sz w:val="24"/>
                <w:color w:val="000000"/>
              </w:rPr>
              <w:t>162点</w:t>
            </w:r>
            <w:r>
              <w:rPr>
                <w:rFonts w:ascii="宋体" w:hAnsi="宋体" w:cs="宋体" w:eastAsia="宋体"/>
                <w:sz w:val="24"/>
                <w:color w:val="000000"/>
              </w:rPr>
              <w:t>）</w:t>
            </w:r>
          </w:p>
          <w:p>
            <w:pPr>
              <w:pStyle w:val="null3"/>
              <w:ind w:left="105"/>
            </w:pPr>
            <w:r>
              <w:rPr>
                <w:rFonts w:ascii="宋体" w:hAnsi="宋体" w:cs="宋体" w:eastAsia="宋体"/>
                <w:sz w:val="24"/>
                <w:color w:val="000000"/>
              </w:rPr>
              <w:t>1、 为提高老师的授课体验根据教室实际情况灵活调整；</w:t>
            </w:r>
          </w:p>
          <w:p>
            <w:pPr>
              <w:pStyle w:val="null3"/>
              <w:ind w:left="105"/>
            </w:pPr>
            <w:r>
              <w:rPr>
                <w:rFonts w:ascii="宋体" w:hAnsi="宋体" w:cs="宋体" w:eastAsia="宋体"/>
                <w:sz w:val="24"/>
                <w:color w:val="000000"/>
              </w:rPr>
              <w:t>2、 为提高教学效果，老师可将自己的屏幕广播到所有/部分学生显示器上,可将优秀学生的屏幕广播到其它学生显示器上，更好地领悟教学内容；</w:t>
            </w:r>
          </w:p>
          <w:p>
            <w:pPr>
              <w:pStyle w:val="null3"/>
              <w:ind w:left="105"/>
            </w:pPr>
            <w:r>
              <w:rPr>
                <w:rFonts w:ascii="宋体" w:hAnsi="宋体" w:cs="宋体" w:eastAsia="宋体"/>
                <w:sz w:val="24"/>
                <w:color w:val="000000"/>
              </w:rPr>
              <w:t>3、支持教师在自己的机器上操作学生机；</w:t>
            </w:r>
          </w:p>
          <w:p>
            <w:pPr>
              <w:pStyle w:val="null3"/>
              <w:ind w:left="105"/>
            </w:pPr>
            <w:r>
              <w:rPr>
                <w:rFonts w:ascii="宋体" w:hAnsi="宋体" w:cs="宋体" w:eastAsia="宋体"/>
                <w:sz w:val="24"/>
                <w:color w:val="000000"/>
              </w:rPr>
              <w:t>4、老师可以对所有学生的屏幕进行小屏查看，单屏展示不少于60个学生屏幕；</w:t>
            </w:r>
          </w:p>
          <w:p>
            <w:pPr>
              <w:pStyle w:val="null3"/>
              <w:ind w:left="105"/>
            </w:pPr>
            <w:r>
              <w:rPr>
                <w:rFonts w:ascii="宋体" w:hAnsi="宋体" w:cs="宋体" w:eastAsia="宋体"/>
                <w:sz w:val="24"/>
                <w:color w:val="000000"/>
              </w:rPr>
              <w:t>5、支持老师直接将文件发送到所有/部分学生，多文件一起提交；</w:t>
            </w:r>
          </w:p>
          <w:p>
            <w:pPr>
              <w:pStyle w:val="null3"/>
              <w:ind w:left="105"/>
            </w:pPr>
            <w:r>
              <w:rPr>
                <w:rFonts w:ascii="宋体" w:hAnsi="宋体" w:cs="宋体" w:eastAsia="宋体"/>
                <w:sz w:val="24"/>
                <w:color w:val="000000"/>
              </w:rPr>
              <w:t>6、 为了针对不同类型学生进行查缺补漏，支持对学生分组教学功能；</w:t>
            </w:r>
          </w:p>
          <w:p>
            <w:pPr>
              <w:pStyle w:val="null3"/>
              <w:ind w:left="105"/>
            </w:pPr>
            <w:r>
              <w:rPr>
                <w:rFonts w:ascii="宋体" w:hAnsi="宋体" w:cs="宋体" w:eastAsia="宋体"/>
                <w:sz w:val="24"/>
                <w:color w:val="000000"/>
              </w:rPr>
              <w:t>7、学生机进行锁定，学生机端键盘及鼠标都被锁死；</w:t>
            </w:r>
          </w:p>
          <w:p>
            <w:pPr>
              <w:pStyle w:val="null3"/>
              <w:ind w:left="105"/>
            </w:pPr>
            <w:r>
              <w:rPr>
                <w:rFonts w:ascii="宋体" w:hAnsi="宋体" w:cs="宋体" w:eastAsia="宋体"/>
                <w:sz w:val="24"/>
                <w:color w:val="000000"/>
              </w:rPr>
              <w:t>8、学生可点击举手图标举手，可禁止和恢复学生举手，保障顺利教学；</w:t>
            </w:r>
          </w:p>
          <w:p>
            <w:pPr>
              <w:pStyle w:val="null3"/>
              <w:ind w:left="105"/>
            </w:pPr>
            <w:r>
              <w:rPr>
                <w:rFonts w:ascii="宋体" w:hAnsi="宋体" w:cs="宋体" w:eastAsia="宋体"/>
                <w:sz w:val="24"/>
                <w:color w:val="000000"/>
              </w:rPr>
              <w:t>9、可禁止和恢复学生桌面的网络访问；</w:t>
            </w:r>
          </w:p>
          <w:p>
            <w:pPr>
              <w:pStyle w:val="null3"/>
              <w:ind w:left="105"/>
            </w:pPr>
            <w:r>
              <w:rPr>
                <w:rFonts w:ascii="宋体" w:hAnsi="宋体" w:cs="宋体" w:eastAsia="宋体"/>
                <w:sz w:val="24"/>
                <w:color w:val="000000"/>
              </w:rPr>
              <w:t>10、 可禁止和恢复USB接口的使用，保证系统的安全性；</w:t>
            </w:r>
          </w:p>
          <w:p>
            <w:pPr>
              <w:pStyle w:val="null3"/>
              <w:ind w:left="105"/>
            </w:pPr>
            <w:r>
              <w:rPr>
                <w:rFonts w:ascii="宋体" w:hAnsi="宋体" w:cs="宋体" w:eastAsia="宋体"/>
                <w:sz w:val="24"/>
                <w:color w:val="000000"/>
              </w:rPr>
              <w:t>11、 方便教师授课，支持一键开启学生终端；一键远程关闭学生终端和桌面。</w:t>
            </w:r>
          </w:p>
          <w:p>
            <w:pPr>
              <w:pStyle w:val="null3"/>
              <w:ind w:left="105"/>
            </w:pPr>
            <w:r>
              <w:rPr>
                <w:rFonts w:ascii="宋体" w:hAnsi="宋体" w:cs="宋体" w:eastAsia="宋体"/>
                <w:sz w:val="24"/>
                <w:color w:val="000000"/>
              </w:rPr>
              <w:t>12、 为避免教学事故，支持离线教学演示，即当服务器故障时，教师端可以继续广播自己屏幕进行授课；</w:t>
            </w:r>
          </w:p>
          <w:p>
            <w:pPr>
              <w:pStyle w:val="null3"/>
              <w:ind w:left="105"/>
            </w:pPr>
            <w:r>
              <w:rPr>
                <w:rFonts w:ascii="宋体" w:hAnsi="宋体" w:cs="宋体" w:eastAsia="宋体"/>
                <w:sz w:val="24"/>
                <w:color w:val="000000"/>
              </w:rPr>
              <w:t>13、提供计算机软件著作权登记证书；</w:t>
            </w:r>
          </w:p>
          <w:p>
            <w:pPr>
              <w:pStyle w:val="null3"/>
              <w:jc w:val="left"/>
            </w:pPr>
          </w:p>
        </w:tc>
      </w:tr>
      <w:tr>
        <w:tc>
          <w:tcPr>
            <w:tcW w:type="dxa" w:w="2769"/>
          </w:tcPr>
          <w:p/>
        </w:tc>
        <w:tc>
          <w:tcPr>
            <w:tcW w:type="dxa" w:w="2769"/>
          </w:tcPr>
          <w:p>
            <w:pPr>
              <w:pStyle w:val="null3"/>
            </w:pPr>
            <w:r>
              <w:rPr/>
              <w:t>4</w:t>
            </w:r>
          </w:p>
        </w:tc>
        <w:tc>
          <w:tcPr>
            <w:tcW w:type="dxa" w:w="2769"/>
          </w:tcPr>
          <w:p>
            <w:pPr>
              <w:pStyle w:val="null3"/>
              <w:spacing w:before="90"/>
              <w:ind w:left="105"/>
            </w:pPr>
            <w:r>
              <w:rPr>
                <w:rFonts w:ascii="宋体" w:hAnsi="宋体" w:cs="宋体" w:eastAsia="宋体"/>
                <w:sz w:val="24"/>
                <w:color w:val="000000"/>
              </w:rPr>
              <w:t>云终端一体机（核心产品）（</w:t>
            </w:r>
            <w:r>
              <w:rPr>
                <w:rFonts w:ascii="宋体" w:hAnsi="宋体" w:cs="宋体" w:eastAsia="宋体"/>
                <w:sz w:val="24"/>
                <w:color w:val="000000"/>
              </w:rPr>
              <w:t>162台</w:t>
            </w:r>
            <w:r>
              <w:rPr>
                <w:rFonts w:ascii="宋体" w:hAnsi="宋体" w:cs="宋体" w:eastAsia="宋体"/>
                <w:sz w:val="24"/>
                <w:color w:val="000000"/>
              </w:rPr>
              <w:t>）</w:t>
            </w:r>
          </w:p>
          <w:p>
            <w:pPr>
              <w:pStyle w:val="null3"/>
              <w:ind w:left="105"/>
            </w:pPr>
            <w:r>
              <w:rPr>
                <w:rFonts w:ascii="宋体" w:hAnsi="宋体" w:cs="宋体" w:eastAsia="宋体"/>
                <w:sz w:val="24"/>
                <w:color w:val="000000"/>
              </w:rPr>
              <w:t>1.处理器：核心数≥八核，主频≥2.7GHz;</w:t>
            </w:r>
          </w:p>
          <w:p>
            <w:pPr>
              <w:pStyle w:val="null3"/>
              <w:ind w:left="105"/>
            </w:pPr>
            <w:r>
              <w:rPr>
                <w:rFonts w:ascii="宋体" w:hAnsi="宋体" w:cs="宋体" w:eastAsia="宋体"/>
                <w:sz w:val="24"/>
                <w:color w:val="000000"/>
              </w:rPr>
              <w:t>2.内存:≥16GB;</w:t>
            </w:r>
          </w:p>
          <w:p>
            <w:pPr>
              <w:pStyle w:val="null3"/>
              <w:ind w:left="105"/>
            </w:pPr>
            <w:r>
              <w:rPr>
                <w:rFonts w:ascii="宋体" w:hAnsi="宋体" w:cs="宋体" w:eastAsia="宋体"/>
                <w:sz w:val="24"/>
                <w:color w:val="000000"/>
              </w:rPr>
              <w:t>3.硬盘:≥512GB SSD;</w:t>
            </w:r>
          </w:p>
          <w:p>
            <w:pPr>
              <w:pStyle w:val="null3"/>
              <w:ind w:left="105"/>
            </w:pPr>
            <w:r>
              <w:rPr>
                <w:rFonts w:ascii="宋体" w:hAnsi="宋体" w:cs="宋体" w:eastAsia="宋体"/>
                <w:sz w:val="24"/>
                <w:color w:val="000000"/>
              </w:rPr>
              <w:t>4.接口：≥6个USB接口（≥2个USB3.0）、1个千兆网口、1个VGA接口和1个HDMI接口、1对音频输入输出接口，1个DP接口；</w:t>
            </w:r>
          </w:p>
          <w:p>
            <w:pPr>
              <w:pStyle w:val="null3"/>
              <w:ind w:left="105"/>
            </w:pPr>
            <w:r>
              <w:rPr>
                <w:rFonts w:ascii="宋体" w:hAnsi="宋体" w:cs="宋体" w:eastAsia="宋体"/>
                <w:sz w:val="24"/>
                <w:color w:val="000000"/>
              </w:rPr>
              <w:t>5.≥23.8吋液晶屏（分辨率：1920×1080，频率≥60Hz）；</w:t>
            </w:r>
          </w:p>
          <w:p>
            <w:pPr>
              <w:pStyle w:val="null3"/>
              <w:ind w:left="105"/>
            </w:pPr>
            <w:r>
              <w:rPr>
                <w:rFonts w:ascii="宋体" w:hAnsi="宋体" w:cs="宋体" w:eastAsia="宋体"/>
                <w:sz w:val="24"/>
                <w:color w:val="000000"/>
              </w:rPr>
              <w:t>★6、所投产品须提供3C、节能和环境证书，能源管理体系认证证书（ISO50001）；</w:t>
            </w:r>
          </w:p>
        </w:tc>
      </w:tr>
      <w:tr>
        <w:tc>
          <w:tcPr>
            <w:tcW w:type="dxa" w:w="2769"/>
          </w:tcPr>
          <w:p/>
        </w:tc>
        <w:tc>
          <w:tcPr>
            <w:tcW w:type="dxa" w:w="2769"/>
          </w:tcPr>
          <w:p>
            <w:pPr>
              <w:pStyle w:val="null3"/>
            </w:pPr>
            <w:r>
              <w:rPr/>
              <w:t>5</w:t>
            </w:r>
          </w:p>
        </w:tc>
        <w:tc>
          <w:tcPr>
            <w:tcW w:type="dxa" w:w="2769"/>
          </w:tcPr>
          <w:p>
            <w:pPr>
              <w:pStyle w:val="null3"/>
              <w:spacing w:before="90"/>
              <w:ind w:left="105"/>
            </w:pPr>
            <w:r>
              <w:rPr>
                <w:rFonts w:ascii="宋体" w:hAnsi="宋体" w:cs="宋体" w:eastAsia="宋体"/>
                <w:sz w:val="24"/>
                <w:color w:val="000000"/>
              </w:rPr>
              <w:t>监考机（</w:t>
            </w:r>
            <w:r>
              <w:rPr>
                <w:rFonts w:ascii="宋体" w:hAnsi="宋体" w:cs="宋体" w:eastAsia="宋体"/>
                <w:sz w:val="24"/>
                <w:color w:val="000000"/>
              </w:rPr>
              <w:t>6台</w:t>
            </w:r>
            <w:r>
              <w:rPr>
                <w:rFonts w:ascii="宋体" w:hAnsi="宋体" w:cs="宋体" w:eastAsia="宋体"/>
                <w:sz w:val="24"/>
                <w:color w:val="000000"/>
              </w:rPr>
              <w:t>）</w:t>
            </w:r>
          </w:p>
          <w:p>
            <w:pPr>
              <w:pStyle w:val="null3"/>
              <w:ind w:left="105"/>
            </w:pPr>
            <w:r>
              <w:rPr>
                <w:rFonts w:ascii="宋体" w:hAnsi="宋体" w:cs="宋体" w:eastAsia="宋体"/>
                <w:sz w:val="24"/>
                <w:color w:val="000000"/>
              </w:rPr>
              <w:t>1.处理器：核心数≥八核，主频≥2.7GHz;</w:t>
            </w:r>
          </w:p>
          <w:p>
            <w:pPr>
              <w:pStyle w:val="null3"/>
              <w:ind w:left="105"/>
            </w:pPr>
            <w:r>
              <w:rPr>
                <w:rFonts w:ascii="宋体" w:hAnsi="宋体" w:cs="宋体" w:eastAsia="宋体"/>
                <w:sz w:val="24"/>
                <w:color w:val="000000"/>
              </w:rPr>
              <w:t>2.内存:≥16GB;</w:t>
            </w:r>
          </w:p>
          <w:p>
            <w:pPr>
              <w:pStyle w:val="null3"/>
              <w:ind w:left="105"/>
            </w:pPr>
            <w:r>
              <w:rPr>
                <w:rFonts w:ascii="宋体" w:hAnsi="宋体" w:cs="宋体" w:eastAsia="宋体"/>
                <w:sz w:val="24"/>
                <w:color w:val="000000"/>
              </w:rPr>
              <w:t>3.硬盘:≥512GB SSD+1THDD;</w:t>
            </w:r>
          </w:p>
          <w:p>
            <w:pPr>
              <w:pStyle w:val="null3"/>
              <w:ind w:left="105"/>
            </w:pPr>
            <w:r>
              <w:rPr>
                <w:rFonts w:ascii="宋体" w:hAnsi="宋体" w:cs="宋体" w:eastAsia="宋体"/>
                <w:sz w:val="24"/>
                <w:color w:val="000000"/>
              </w:rPr>
              <w:t>4.接口：≥6个USB接口（≥2个USB3.0）、1个千兆网口、1个VGA接口和1个HDMI接口、1对音频输入输出接口，1个DP接口；</w:t>
            </w:r>
          </w:p>
          <w:p>
            <w:pPr>
              <w:pStyle w:val="null3"/>
              <w:ind w:left="105"/>
            </w:pPr>
            <w:r>
              <w:rPr>
                <w:rFonts w:ascii="宋体" w:hAnsi="宋体" w:cs="宋体" w:eastAsia="宋体"/>
                <w:sz w:val="24"/>
                <w:color w:val="000000"/>
              </w:rPr>
              <w:t>5.≥23.8吋液晶屏（分辨率：2560*1440，频率≥100Hz）</w:t>
            </w:r>
          </w:p>
        </w:tc>
      </w:tr>
      <w:tr>
        <w:tc>
          <w:tcPr>
            <w:tcW w:type="dxa" w:w="2769"/>
          </w:tcPr>
          <w:p/>
        </w:tc>
        <w:tc>
          <w:tcPr>
            <w:tcW w:type="dxa" w:w="2769"/>
          </w:tcPr>
          <w:p>
            <w:pPr>
              <w:pStyle w:val="null3"/>
            </w:pPr>
            <w:r>
              <w:rPr/>
              <w:t>6</w:t>
            </w:r>
          </w:p>
        </w:tc>
        <w:tc>
          <w:tcPr>
            <w:tcW w:type="dxa" w:w="2769"/>
          </w:tcPr>
          <w:p>
            <w:pPr>
              <w:pStyle w:val="null3"/>
              <w:spacing w:before="90"/>
              <w:ind w:left="105"/>
            </w:pPr>
            <w:r>
              <w:rPr>
                <w:rFonts w:ascii="宋体" w:hAnsi="宋体" w:cs="宋体" w:eastAsia="宋体"/>
                <w:sz w:val="24"/>
                <w:color w:val="000000"/>
              </w:rPr>
              <w:t>教学语音软件（</w:t>
            </w:r>
            <w:r>
              <w:rPr>
                <w:rFonts w:ascii="宋体" w:hAnsi="宋体" w:cs="宋体" w:eastAsia="宋体"/>
                <w:sz w:val="24"/>
                <w:color w:val="000000"/>
              </w:rPr>
              <w:t>3套</w:t>
            </w:r>
            <w:r>
              <w:rPr>
                <w:rFonts w:ascii="宋体" w:hAnsi="宋体" w:cs="宋体" w:eastAsia="宋体"/>
                <w:sz w:val="24"/>
                <w:color w:val="000000"/>
              </w:rPr>
              <w:t>）</w:t>
            </w:r>
          </w:p>
          <w:p>
            <w:pPr>
              <w:pStyle w:val="null3"/>
              <w:ind w:left="105"/>
            </w:pPr>
            <w:r>
              <w:rPr>
                <w:rFonts w:ascii="宋体" w:hAnsi="宋体" w:cs="宋体" w:eastAsia="宋体"/>
                <w:sz w:val="24"/>
                <w:color w:val="000000"/>
              </w:rPr>
              <w:t>1、支持全屏广播、窗口广播、语音广播、网络影院、视频直播、学生转播、电子白板;</w:t>
            </w:r>
          </w:p>
          <w:p>
            <w:pPr>
              <w:pStyle w:val="null3"/>
              <w:ind w:left="105"/>
            </w:pPr>
            <w:r>
              <w:rPr>
                <w:rFonts w:ascii="宋体" w:hAnsi="宋体" w:cs="宋体" w:eastAsia="宋体"/>
                <w:sz w:val="24"/>
                <w:color w:val="000000"/>
              </w:rPr>
              <w:t>2、支持屏幕录制、电子点名、分组管理、分组教学、分组讨论、综合考试、口语考试、随堂测试;</w:t>
            </w:r>
          </w:p>
          <w:p>
            <w:pPr>
              <w:pStyle w:val="null3"/>
              <w:ind w:left="105"/>
            </w:pPr>
            <w:r>
              <w:rPr>
                <w:rFonts w:ascii="宋体" w:hAnsi="宋体" w:cs="宋体" w:eastAsia="宋体"/>
                <w:sz w:val="24"/>
                <w:color w:val="000000"/>
              </w:rPr>
              <w:t>3、提供多种语言学习的方式：语音示范、老师训话、复读联系、存储声音、声音练习、语音比较、角色扮演、同声传译、群组聊天;</w:t>
            </w:r>
          </w:p>
          <w:p>
            <w:pPr>
              <w:pStyle w:val="null3"/>
              <w:ind w:left="105"/>
            </w:pPr>
            <w:r>
              <w:rPr>
                <w:rFonts w:ascii="宋体" w:hAnsi="宋体" w:cs="宋体" w:eastAsia="宋体"/>
                <w:sz w:val="24"/>
                <w:color w:val="000000"/>
              </w:rPr>
              <w:t>4、远程管理支持远程桌面、远程遥控、远程设置、远程命令、远程开关机、远程注销、远程重启、远程登录;</w:t>
            </w:r>
          </w:p>
          <w:p>
            <w:pPr>
              <w:pStyle w:val="null3"/>
              <w:ind w:left="105"/>
            </w:pPr>
            <w:r>
              <w:rPr>
                <w:rFonts w:ascii="宋体" w:hAnsi="宋体" w:cs="宋体" w:eastAsia="宋体"/>
                <w:sz w:val="24"/>
                <w:color w:val="000000"/>
              </w:rPr>
              <w:t>5、支持四路广播、教师端可以远程统一启动学生端自学、网站教学、指定学生上/下线、显示/隐藏学生端面板、自定义工具栏、创建不同权限的用户、发送消息、发送通知、浮动工具条。</w:t>
            </w:r>
          </w:p>
          <w:p>
            <w:pPr>
              <w:pStyle w:val="null3"/>
              <w:ind w:left="105"/>
            </w:pPr>
            <w:r>
              <w:rPr>
                <w:rFonts w:ascii="宋体" w:hAnsi="宋体" w:cs="宋体" w:eastAsia="宋体"/>
                <w:sz w:val="24"/>
                <w:color w:val="000000"/>
              </w:rPr>
              <w:t>6、支持修改程序密码、浮动工具条、发送消息、电子举手、文件提交、屏幕录制、卸载。</w:t>
            </w:r>
          </w:p>
          <w:p>
            <w:pPr>
              <w:pStyle w:val="null3"/>
              <w:ind w:left="105"/>
            </w:pPr>
            <w:r>
              <w:rPr>
                <w:rFonts w:ascii="宋体" w:hAnsi="宋体" w:cs="宋体" w:eastAsia="宋体"/>
                <w:sz w:val="24"/>
                <w:color w:val="000000"/>
              </w:rPr>
              <w:t>7、提供计算机软件著作权登记证书；</w:t>
            </w:r>
          </w:p>
        </w:tc>
      </w:tr>
      <w:tr>
        <w:tc>
          <w:tcPr>
            <w:tcW w:type="dxa" w:w="2769"/>
          </w:tcPr>
          <w:p/>
        </w:tc>
        <w:tc>
          <w:tcPr>
            <w:tcW w:type="dxa" w:w="2769"/>
          </w:tcPr>
          <w:p>
            <w:pPr>
              <w:pStyle w:val="null3"/>
            </w:pPr>
            <w:r>
              <w:rPr/>
              <w:t>7</w:t>
            </w:r>
          </w:p>
        </w:tc>
        <w:tc>
          <w:tcPr>
            <w:tcW w:type="dxa" w:w="2769"/>
          </w:tcPr>
          <w:p>
            <w:pPr>
              <w:pStyle w:val="null3"/>
              <w:spacing w:before="90"/>
              <w:ind w:left="105"/>
            </w:pPr>
            <w:r>
              <w:rPr>
                <w:rFonts w:ascii="宋体" w:hAnsi="宋体" w:cs="宋体" w:eastAsia="宋体"/>
                <w:sz w:val="24"/>
                <w:color w:val="000000"/>
              </w:rPr>
              <w:t>UPS电源（</w:t>
            </w:r>
            <w:r>
              <w:rPr>
                <w:rFonts w:ascii="宋体" w:hAnsi="宋体" w:cs="宋体" w:eastAsia="宋体"/>
                <w:sz w:val="24"/>
                <w:color w:val="000000"/>
              </w:rPr>
              <w:t>3台</w:t>
            </w:r>
            <w:r>
              <w:rPr>
                <w:rFonts w:ascii="宋体" w:hAnsi="宋体" w:cs="宋体" w:eastAsia="宋体"/>
                <w:sz w:val="24"/>
                <w:color w:val="000000"/>
              </w:rPr>
              <w:t>）</w:t>
            </w:r>
          </w:p>
          <w:p>
            <w:pPr>
              <w:pStyle w:val="null3"/>
              <w:ind w:left="105"/>
            </w:pPr>
            <w:r>
              <w:rPr>
                <w:rFonts w:ascii="宋体" w:hAnsi="宋体" w:cs="宋体" w:eastAsia="宋体"/>
                <w:sz w:val="24"/>
                <w:color w:val="000000"/>
              </w:rPr>
              <w:t>容量:≥3KVA</w:t>
            </w:r>
          </w:p>
          <w:p>
            <w:pPr>
              <w:pStyle w:val="null3"/>
              <w:ind w:left="105"/>
            </w:pPr>
            <w:r>
              <w:rPr>
                <w:rFonts w:ascii="宋体" w:hAnsi="宋体" w:cs="宋体" w:eastAsia="宋体"/>
                <w:sz w:val="24"/>
                <w:color w:val="000000"/>
              </w:rPr>
              <w:t>输入输出制式: 单相三线</w:t>
            </w:r>
          </w:p>
          <w:p>
            <w:pPr>
              <w:pStyle w:val="null3"/>
              <w:ind w:left="105"/>
            </w:pPr>
            <w:r>
              <w:rPr>
                <w:rFonts w:ascii="宋体" w:hAnsi="宋体" w:cs="宋体" w:eastAsia="宋体"/>
                <w:sz w:val="24"/>
                <w:color w:val="000000"/>
              </w:rPr>
              <w:t>输出功率因数：≥0. 8</w:t>
            </w:r>
          </w:p>
          <w:p>
            <w:pPr>
              <w:pStyle w:val="null3"/>
              <w:ind w:left="105"/>
            </w:pPr>
            <w:r>
              <w:rPr>
                <w:rFonts w:ascii="宋体" w:hAnsi="宋体" w:cs="宋体" w:eastAsia="宋体"/>
                <w:sz w:val="24"/>
                <w:color w:val="000000"/>
              </w:rPr>
              <w:t>输出电压 (Vac) ：220/230±1%V</w:t>
            </w:r>
          </w:p>
          <w:p>
            <w:pPr>
              <w:pStyle w:val="null3"/>
              <w:ind w:left="105"/>
            </w:pPr>
            <w:r>
              <w:rPr>
                <w:rFonts w:ascii="宋体" w:hAnsi="宋体" w:cs="宋体" w:eastAsia="宋体"/>
                <w:sz w:val="24"/>
                <w:color w:val="000000"/>
              </w:rPr>
              <w:t>输出频率（ Hz )：50/60±0.5</w:t>
            </w:r>
          </w:p>
          <w:p>
            <w:pPr>
              <w:pStyle w:val="null3"/>
              <w:ind w:left="105"/>
            </w:pPr>
            <w:r>
              <w:rPr>
                <w:rFonts w:ascii="宋体" w:hAnsi="宋体" w:cs="宋体" w:eastAsia="宋体"/>
                <w:sz w:val="24"/>
                <w:color w:val="000000"/>
              </w:rPr>
              <w:t>整机效率：≥90%</w:t>
            </w:r>
          </w:p>
          <w:p>
            <w:pPr>
              <w:pStyle w:val="null3"/>
              <w:ind w:left="105"/>
            </w:pPr>
            <w:r>
              <w:rPr>
                <w:rFonts w:ascii="宋体" w:hAnsi="宋体" w:cs="宋体" w:eastAsia="宋体"/>
                <w:sz w:val="24"/>
                <w:color w:val="000000"/>
              </w:rPr>
              <w:t>通信功能：标配RS232➕智能插槽</w:t>
            </w:r>
          </w:p>
          <w:p>
            <w:pPr>
              <w:pStyle w:val="null3"/>
              <w:ind w:left="105"/>
            </w:pPr>
            <w:r>
              <w:rPr>
                <w:rFonts w:ascii="宋体" w:hAnsi="宋体" w:cs="宋体" w:eastAsia="宋体"/>
                <w:sz w:val="24"/>
                <w:color w:val="000000"/>
              </w:rPr>
              <w:t>面板显示：LED</w:t>
            </w:r>
          </w:p>
          <w:p>
            <w:pPr>
              <w:pStyle w:val="null3"/>
              <w:ind w:left="105"/>
            </w:pPr>
            <w:r>
              <w:rPr>
                <w:rFonts w:ascii="宋体" w:hAnsi="宋体" w:cs="宋体" w:eastAsia="宋体"/>
                <w:sz w:val="24"/>
                <w:color w:val="000000"/>
              </w:rPr>
              <w:t>报警功能：电池低压、市电异常、UPS故障、输出过载、输出短路</w:t>
            </w:r>
          </w:p>
          <w:p>
            <w:pPr>
              <w:pStyle w:val="null3"/>
              <w:jc w:val="left"/>
            </w:pPr>
          </w:p>
        </w:tc>
      </w:tr>
      <w:tr>
        <w:tc>
          <w:tcPr>
            <w:tcW w:type="dxa" w:w="2769"/>
          </w:tcPr>
          <w:p/>
        </w:tc>
        <w:tc>
          <w:tcPr>
            <w:tcW w:type="dxa" w:w="2769"/>
          </w:tcPr>
          <w:p>
            <w:pPr>
              <w:pStyle w:val="null3"/>
            </w:pPr>
            <w:r>
              <w:rPr/>
              <w:t>8</w:t>
            </w:r>
          </w:p>
        </w:tc>
        <w:tc>
          <w:tcPr>
            <w:tcW w:type="dxa" w:w="2769"/>
          </w:tcPr>
          <w:p>
            <w:pPr>
              <w:pStyle w:val="null3"/>
              <w:spacing w:before="90"/>
              <w:ind w:left="105"/>
            </w:pPr>
            <w:r>
              <w:rPr>
                <w:rFonts w:ascii="宋体" w:hAnsi="宋体" w:cs="宋体" w:eastAsia="宋体"/>
                <w:sz w:val="24"/>
                <w:color w:val="000000"/>
              </w:rPr>
              <w:t>耳机（</w:t>
            </w:r>
            <w:r>
              <w:rPr>
                <w:rFonts w:ascii="宋体" w:hAnsi="宋体" w:cs="宋体" w:eastAsia="宋体"/>
                <w:sz w:val="24"/>
                <w:color w:val="000000"/>
              </w:rPr>
              <w:t>168个</w:t>
            </w:r>
            <w:r>
              <w:rPr>
                <w:rFonts w:ascii="宋体" w:hAnsi="宋体" w:cs="宋体" w:eastAsia="宋体"/>
                <w:sz w:val="24"/>
                <w:color w:val="000000"/>
              </w:rPr>
              <w:t>）</w:t>
            </w:r>
          </w:p>
          <w:p>
            <w:pPr>
              <w:pStyle w:val="null3"/>
              <w:ind w:left="105"/>
            </w:pPr>
            <w:r>
              <w:rPr>
                <w:rFonts w:ascii="宋体" w:hAnsi="宋体" w:cs="宋体" w:eastAsia="宋体"/>
                <w:sz w:val="24"/>
                <w:color w:val="000000"/>
              </w:rPr>
              <w:t>灵敏度：-38±3db</w:t>
            </w:r>
          </w:p>
          <w:p>
            <w:pPr>
              <w:pStyle w:val="null3"/>
              <w:ind w:left="105"/>
            </w:pPr>
            <w:r>
              <w:rPr>
                <w:rFonts w:ascii="宋体" w:hAnsi="宋体" w:cs="宋体" w:eastAsia="宋体"/>
                <w:sz w:val="24"/>
                <w:color w:val="000000"/>
              </w:rPr>
              <w:t>阻抗：32Ω</w:t>
            </w:r>
          </w:p>
          <w:p>
            <w:pPr>
              <w:pStyle w:val="null3"/>
              <w:ind w:left="105"/>
            </w:pPr>
            <w:r>
              <w:rPr>
                <w:rFonts w:ascii="宋体" w:hAnsi="宋体" w:cs="宋体" w:eastAsia="宋体"/>
                <w:sz w:val="24"/>
                <w:color w:val="000000"/>
              </w:rPr>
              <w:t>频率响应：20Hz-20kHz</w:t>
            </w:r>
          </w:p>
          <w:p>
            <w:pPr>
              <w:pStyle w:val="null3"/>
              <w:ind w:left="105"/>
            </w:pPr>
            <w:r>
              <w:rPr>
                <w:rFonts w:ascii="宋体" w:hAnsi="宋体" w:cs="宋体" w:eastAsia="宋体"/>
                <w:sz w:val="24"/>
                <w:color w:val="000000"/>
              </w:rPr>
              <w:t>输出声压：97dB±3db</w:t>
            </w:r>
          </w:p>
          <w:p>
            <w:pPr>
              <w:pStyle w:val="null3"/>
              <w:ind w:left="105"/>
            </w:pPr>
            <w:r>
              <w:rPr>
                <w:rFonts w:ascii="宋体" w:hAnsi="宋体" w:cs="宋体" w:eastAsia="宋体"/>
                <w:sz w:val="24"/>
                <w:color w:val="000000"/>
              </w:rPr>
              <w:t>线长：≥2.7m</w:t>
            </w:r>
          </w:p>
        </w:tc>
      </w:tr>
      <w:tr>
        <w:tc>
          <w:tcPr>
            <w:tcW w:type="dxa" w:w="2769"/>
          </w:tcPr>
          <w:p/>
        </w:tc>
        <w:tc>
          <w:tcPr>
            <w:tcW w:type="dxa" w:w="2769"/>
          </w:tcPr>
          <w:p>
            <w:pPr>
              <w:pStyle w:val="null3"/>
            </w:pPr>
            <w:r>
              <w:rPr/>
              <w:t>9</w:t>
            </w:r>
          </w:p>
        </w:tc>
        <w:tc>
          <w:tcPr>
            <w:tcW w:type="dxa" w:w="2769"/>
          </w:tcPr>
          <w:p>
            <w:pPr>
              <w:pStyle w:val="null3"/>
              <w:spacing w:before="90"/>
              <w:ind w:left="105"/>
            </w:pPr>
            <w:r>
              <w:rPr>
                <w:rFonts w:ascii="宋体" w:hAnsi="宋体" w:cs="宋体" w:eastAsia="宋体"/>
                <w:sz w:val="24"/>
                <w:color w:val="000000"/>
              </w:rPr>
              <w:t>路由器（</w:t>
            </w:r>
            <w:r>
              <w:rPr>
                <w:rFonts w:ascii="宋体" w:hAnsi="宋体" w:cs="宋体" w:eastAsia="宋体"/>
                <w:sz w:val="24"/>
                <w:color w:val="000000"/>
              </w:rPr>
              <w:t>3台</w:t>
            </w:r>
            <w:r>
              <w:rPr>
                <w:rFonts w:ascii="宋体" w:hAnsi="宋体" w:cs="宋体" w:eastAsia="宋体"/>
                <w:sz w:val="24"/>
                <w:color w:val="000000"/>
              </w:rPr>
              <w:t>）</w:t>
            </w:r>
          </w:p>
          <w:p>
            <w:pPr>
              <w:pStyle w:val="null3"/>
              <w:jc w:val="left"/>
            </w:pPr>
            <w:r>
              <w:rPr>
                <w:rFonts w:ascii="宋体" w:hAnsi="宋体" w:cs="宋体" w:eastAsia="宋体"/>
                <w:sz w:val="24"/>
                <w:color w:val="000000"/>
              </w:rPr>
              <w:t>2*GE（1光1电，WAN）+4*GE(LAN,可切换为WAN）转发性能300Kpps、防火墙 800Mbps。加密性能80Mbps、内存256MB。Flash128MB。WAN以太口1GE(电)1GE(光)。LAN以太口4GE(全部支持切换为WAN接口)</w:t>
            </w:r>
          </w:p>
        </w:tc>
      </w:tr>
      <w:tr>
        <w:tc>
          <w:tcPr>
            <w:tcW w:type="dxa" w:w="2769"/>
          </w:tcPr>
          <w:p/>
        </w:tc>
        <w:tc>
          <w:tcPr>
            <w:tcW w:type="dxa" w:w="2769"/>
          </w:tcPr>
          <w:p>
            <w:pPr>
              <w:pStyle w:val="null3"/>
            </w:pPr>
            <w:r>
              <w:rPr/>
              <w:t>10</w:t>
            </w:r>
          </w:p>
        </w:tc>
        <w:tc>
          <w:tcPr>
            <w:tcW w:type="dxa" w:w="2769"/>
          </w:tcPr>
          <w:p>
            <w:pPr>
              <w:pStyle w:val="null3"/>
              <w:spacing w:before="90"/>
              <w:ind w:left="105"/>
            </w:pPr>
            <w:r>
              <w:rPr>
                <w:rFonts w:ascii="宋体" w:hAnsi="宋体" w:cs="宋体" w:eastAsia="宋体"/>
                <w:sz w:val="24"/>
                <w:color w:val="000000"/>
              </w:rPr>
              <w:t>辅材及安装调试（</w:t>
            </w:r>
            <w:r>
              <w:rPr>
                <w:rFonts w:ascii="宋体" w:hAnsi="宋体" w:cs="宋体" w:eastAsia="宋体"/>
                <w:sz w:val="24"/>
                <w:color w:val="000000"/>
              </w:rPr>
              <w:t>3套</w:t>
            </w:r>
            <w:r>
              <w:rPr>
                <w:rFonts w:ascii="宋体" w:hAnsi="宋体" w:cs="宋体" w:eastAsia="宋体"/>
                <w:sz w:val="24"/>
                <w:color w:val="000000"/>
              </w:rPr>
              <w:t>）</w:t>
            </w:r>
          </w:p>
          <w:p>
            <w:pPr>
              <w:pStyle w:val="null3"/>
              <w:ind w:left="105"/>
            </w:pPr>
            <w:r>
              <w:rPr>
                <w:rFonts w:ascii="宋体" w:hAnsi="宋体" w:cs="宋体" w:eastAsia="宋体"/>
                <w:sz w:val="24"/>
                <w:color w:val="000000"/>
              </w:rPr>
              <w:t>电源线（4平方10卷）</w:t>
            </w:r>
          </w:p>
          <w:p>
            <w:pPr>
              <w:pStyle w:val="null3"/>
              <w:ind w:left="105"/>
            </w:pPr>
            <w:r>
              <w:rPr>
                <w:rFonts w:ascii="宋体" w:hAnsi="宋体" w:cs="宋体" w:eastAsia="宋体"/>
                <w:sz w:val="24"/>
                <w:color w:val="000000"/>
              </w:rPr>
              <w:t>水晶头（400个超六类）</w:t>
            </w:r>
          </w:p>
          <w:p>
            <w:pPr>
              <w:pStyle w:val="null3"/>
              <w:ind w:left="105"/>
            </w:pPr>
            <w:r>
              <w:rPr>
                <w:rFonts w:ascii="宋体" w:hAnsi="宋体" w:cs="宋体" w:eastAsia="宋体"/>
                <w:sz w:val="24"/>
                <w:color w:val="000000"/>
              </w:rPr>
              <w:t>6类网线（12箱）符合国家标准</w:t>
            </w:r>
          </w:p>
          <w:p>
            <w:pPr>
              <w:pStyle w:val="null3"/>
              <w:ind w:left="105"/>
            </w:pPr>
            <w:r>
              <w:rPr>
                <w:rFonts w:ascii="宋体" w:hAnsi="宋体" w:cs="宋体" w:eastAsia="宋体"/>
                <w:sz w:val="24"/>
                <w:color w:val="000000"/>
              </w:rPr>
              <w:t>100*1200LED长条灯24个</w:t>
            </w:r>
          </w:p>
          <w:p>
            <w:pPr>
              <w:pStyle w:val="null3"/>
              <w:ind w:left="105"/>
            </w:pPr>
            <w:r>
              <w:rPr>
                <w:rFonts w:ascii="宋体" w:hAnsi="宋体" w:cs="宋体" w:eastAsia="宋体"/>
                <w:sz w:val="24"/>
                <w:color w:val="000000"/>
              </w:rPr>
              <w:t>100*800LED长条灯12个</w:t>
            </w:r>
          </w:p>
          <w:p>
            <w:pPr>
              <w:pStyle w:val="null3"/>
              <w:ind w:left="105"/>
            </w:pPr>
            <w:r>
              <w:rPr>
                <w:rFonts w:ascii="宋体" w:hAnsi="宋体" w:cs="宋体" w:eastAsia="宋体"/>
                <w:sz w:val="24"/>
                <w:color w:val="000000"/>
              </w:rPr>
              <w:t>电源插座（90个）符合国家标准，满足连接需求；</w:t>
            </w:r>
          </w:p>
          <w:p>
            <w:pPr>
              <w:pStyle w:val="null3"/>
              <w:ind w:left="105"/>
            </w:pPr>
            <w:r>
              <w:rPr>
                <w:rFonts w:ascii="宋体" w:hAnsi="宋体" w:cs="宋体" w:eastAsia="宋体"/>
                <w:sz w:val="24"/>
                <w:color w:val="000000"/>
              </w:rPr>
              <w:t>金属或塑料线槽及扣条，符合国家安全标准，所有线路按需加以钢制和PVC线槽保护；</w:t>
            </w:r>
          </w:p>
          <w:p>
            <w:pPr>
              <w:pStyle w:val="null3"/>
              <w:ind w:left="105"/>
            </w:pPr>
            <w:r>
              <w:rPr>
                <w:rFonts w:ascii="宋体" w:hAnsi="宋体" w:cs="宋体" w:eastAsia="宋体"/>
                <w:sz w:val="24"/>
                <w:color w:val="000000"/>
              </w:rPr>
              <w:t>以上线缆、管材等辅材，均要求用知名品牌优质材料</w:t>
            </w:r>
          </w:p>
          <w:p>
            <w:pPr>
              <w:pStyle w:val="null3"/>
              <w:ind w:left="105"/>
            </w:pPr>
            <w:r>
              <w:rPr>
                <w:rFonts w:ascii="宋体" w:hAnsi="宋体" w:cs="宋体" w:eastAsia="宋体"/>
                <w:sz w:val="24"/>
                <w:color w:val="000000"/>
              </w:rPr>
              <w:t>施工依照综合布线标准设计要具有高扩展性、灵活性、先进性、可管理性</w:t>
            </w:r>
          </w:p>
          <w:p>
            <w:pPr>
              <w:pStyle w:val="null3"/>
              <w:ind w:left="105"/>
            </w:pPr>
            <w:r>
              <w:rPr>
                <w:rFonts w:ascii="宋体" w:hAnsi="宋体" w:cs="宋体" w:eastAsia="宋体"/>
                <w:sz w:val="24"/>
                <w:color w:val="000000"/>
              </w:rPr>
              <w:t>所有设备安装调试到位，保证设备安全顺畅使用</w:t>
            </w:r>
          </w:p>
          <w:p>
            <w:pPr>
              <w:pStyle w:val="null3"/>
              <w:ind w:left="105"/>
            </w:pPr>
            <w:r>
              <w:rPr>
                <w:rFonts w:ascii="宋体" w:hAnsi="宋体" w:cs="宋体" w:eastAsia="宋体"/>
                <w:sz w:val="24"/>
                <w:color w:val="000000"/>
              </w:rPr>
              <w:t>将原机房高考监控移入现机房。</w:t>
            </w:r>
          </w:p>
          <w:p>
            <w:pPr>
              <w:pStyle w:val="null3"/>
              <w:jc w:val="left"/>
            </w:pPr>
          </w:p>
        </w:tc>
      </w:tr>
      <w:tr>
        <w:tc>
          <w:tcPr>
            <w:tcW w:type="dxa" w:w="2769"/>
          </w:tcPr>
          <w:p/>
        </w:tc>
        <w:tc>
          <w:tcPr>
            <w:tcW w:type="dxa" w:w="2769"/>
          </w:tcPr>
          <w:p>
            <w:pPr>
              <w:pStyle w:val="null3"/>
            </w:pPr>
            <w:r>
              <w:rPr/>
              <w:t>11</w:t>
            </w:r>
          </w:p>
        </w:tc>
        <w:tc>
          <w:tcPr>
            <w:tcW w:type="dxa" w:w="2769"/>
          </w:tcPr>
          <w:p>
            <w:pPr>
              <w:pStyle w:val="null3"/>
              <w:ind w:left="105"/>
            </w:pPr>
            <w:r>
              <w:rPr>
                <w:rFonts w:ascii="宋体" w:hAnsi="宋体" w:cs="宋体" w:eastAsia="宋体"/>
                <w:sz w:val="24"/>
                <w:color w:val="000000"/>
              </w:rPr>
              <w:t>服务要求：</w:t>
            </w:r>
          </w:p>
          <w:p>
            <w:pPr>
              <w:pStyle w:val="null3"/>
            </w:pPr>
            <w:r>
              <w:rPr>
                <w:rFonts w:ascii="宋体" w:hAnsi="宋体" w:cs="宋体" w:eastAsia="宋体"/>
                <w:sz w:val="24"/>
                <w:color w:val="000000"/>
              </w:rPr>
              <w:t>供应商签订合同后，根据采购人的采购需求、技术参数提供设备及服务。产品提供验收后三年免费服务。</w:t>
            </w:r>
          </w:p>
          <w:p>
            <w:pPr>
              <w:pStyle w:val="null3"/>
            </w:pPr>
            <w:r>
              <w:rPr>
                <w:rFonts w:ascii="宋体" w:hAnsi="宋体" w:cs="宋体" w:eastAsia="宋体"/>
                <w:sz w:val="24"/>
                <w:color w:val="000000"/>
              </w:rPr>
              <w:t>产品质保期：</w:t>
            </w:r>
          </w:p>
          <w:p>
            <w:pPr>
              <w:pStyle w:val="null3"/>
            </w:pPr>
            <w:r>
              <w:rPr>
                <w:rFonts w:ascii="宋体" w:hAnsi="宋体" w:cs="宋体" w:eastAsia="宋体"/>
                <w:sz w:val="24"/>
                <w:color w:val="000000"/>
              </w:rPr>
              <w:t>货物的质保期为验收合格后36个月，终身维护保养，质保期后，只收取成本费用。</w:t>
            </w:r>
          </w:p>
          <w:p>
            <w:pPr>
              <w:pStyle w:val="null3"/>
            </w:pPr>
            <w:r>
              <w:rPr>
                <w:rFonts w:ascii="宋体" w:hAnsi="宋体" w:cs="宋体" w:eastAsia="宋体"/>
                <w:sz w:val="24"/>
                <w:color w:val="000000"/>
              </w:rPr>
              <w:t>业绩：</w:t>
            </w:r>
          </w:p>
          <w:p>
            <w:pPr>
              <w:pStyle w:val="null3"/>
            </w:pPr>
            <w:r>
              <w:rPr>
                <w:rFonts w:ascii="宋体" w:hAnsi="宋体" w:cs="宋体" w:eastAsia="宋体"/>
                <w:sz w:val="24"/>
                <w:color w:val="000000"/>
              </w:rPr>
              <w:t>提供2020年1月至今类似项目业绩（以合同签订日期为准）</w:t>
            </w:r>
          </w:p>
        </w:tc>
      </w:tr>
      <w:tr>
        <w:tc>
          <w:tcPr>
            <w:tcW w:type="dxa" w:w="2769"/>
          </w:tcPr>
          <w:p/>
        </w:tc>
        <w:tc>
          <w:tcPr>
            <w:tcW w:type="dxa" w:w="2769"/>
          </w:tcPr>
          <w:p>
            <w:pPr>
              <w:pStyle w:val="null3"/>
            </w:pPr>
            <w:r>
              <w:rPr/>
              <w:t>12</w:t>
            </w:r>
          </w:p>
        </w:tc>
        <w:tc>
          <w:tcPr>
            <w:tcW w:type="dxa" w:w="2769"/>
          </w:tcPr>
          <w:p>
            <w:pPr>
              <w:pStyle w:val="null3"/>
              <w:ind w:left="105"/>
            </w:pPr>
            <w:r>
              <w:rPr>
                <w:rFonts w:ascii="宋体" w:hAnsi="宋体" w:cs="宋体" w:eastAsia="宋体"/>
                <w:sz w:val="24"/>
                <w:color w:val="000000"/>
              </w:rPr>
              <w:t>以上</w:t>
            </w:r>
            <w:r>
              <w:rPr>
                <w:rFonts w:ascii="宋体" w:hAnsi="宋体" w:cs="宋体" w:eastAsia="宋体"/>
                <w:sz w:val="24"/>
                <w:color w:val="000000"/>
              </w:rPr>
              <w:t>标</w:t>
            </w:r>
            <w:r>
              <w:rPr>
                <w:rFonts w:ascii="宋体" w:hAnsi="宋体" w:cs="宋体" w:eastAsia="宋体"/>
                <w:sz w:val="24"/>
                <w:color w:val="000000"/>
              </w:rPr>
              <w:t>“</w:t>
            </w:r>
            <w:r>
              <w:rPr>
                <w:rFonts w:ascii="宋体" w:hAnsi="宋体" w:cs="宋体" w:eastAsia="宋体"/>
                <w:sz w:val="24"/>
                <w:color w:val="000000"/>
              </w:rPr>
              <w:t>★</w:t>
            </w:r>
            <w:r>
              <w:rPr>
                <w:rFonts w:ascii="宋体" w:hAnsi="宋体" w:cs="宋体" w:eastAsia="宋体"/>
                <w:sz w:val="24"/>
                <w:color w:val="000000"/>
              </w:rPr>
              <w:t>”</w:t>
            </w:r>
            <w:r>
              <w:rPr>
                <w:rFonts w:ascii="宋体" w:hAnsi="宋体" w:cs="宋体" w:eastAsia="宋体"/>
                <w:sz w:val="24"/>
                <w:color w:val="000000"/>
              </w:rPr>
              <w:t>技术参数有一项不满足，不进入最终报价环节；</w:t>
            </w:r>
            <w:r>
              <w:rPr>
                <w:rFonts w:ascii="宋体" w:hAnsi="宋体" w:cs="宋体" w:eastAsia="宋体"/>
                <w:sz w:val="24"/>
                <w:color w:val="000000"/>
              </w:rPr>
              <w:t>其他参数可高于不允许低于。</w:t>
            </w:r>
          </w:p>
          <w:p>
            <w:pPr>
              <w:pStyle w:val="null3"/>
              <w:ind w:left="105"/>
            </w:pPr>
            <w:r>
              <w:rPr>
                <w:rFonts w:ascii="宋体" w:hAnsi="宋体" w:cs="宋体" w:eastAsia="宋体"/>
                <w:sz w:val="24"/>
                <w:b/>
                <w:color w:val="000000"/>
              </w:rPr>
              <w:t>现场演示说明：</w:t>
            </w:r>
          </w:p>
          <w:p>
            <w:pPr>
              <w:pStyle w:val="null3"/>
              <w:numPr>
                <w:ilvl w:val="0"/>
                <w:numId w:val="1"/>
              </w:numPr>
            </w:pPr>
            <w:r>
              <w:rPr>
                <w:rFonts w:ascii="宋体" w:hAnsi="宋体" w:cs="宋体" w:eastAsia="宋体"/>
                <w:sz w:val="24"/>
              </w:rPr>
              <w:t>投标人</w:t>
            </w:r>
            <w:r>
              <w:rPr>
                <w:rFonts w:ascii="宋体" w:hAnsi="宋体" w:cs="宋体" w:eastAsia="宋体"/>
                <w:sz w:val="24"/>
              </w:rPr>
              <w:t>按</w:t>
            </w:r>
            <w:r>
              <w:rPr>
                <w:rFonts w:ascii="宋体" w:hAnsi="宋体" w:cs="宋体" w:eastAsia="宋体"/>
                <w:sz w:val="24"/>
              </w:rPr>
              <w:t>谈判</w:t>
            </w:r>
            <w:r>
              <w:rPr>
                <w:rFonts w:ascii="宋体" w:hAnsi="宋体" w:cs="宋体" w:eastAsia="宋体"/>
                <w:sz w:val="24"/>
              </w:rPr>
              <w:t>文件要求进行演示，现场演示技术参数中要求</w:t>
            </w:r>
            <w:r>
              <w:rPr>
                <w:rFonts w:ascii="宋体" w:hAnsi="宋体" w:cs="宋体" w:eastAsia="宋体"/>
                <w:sz w:val="24"/>
              </w:rPr>
              <w:t>的演示内容</w:t>
            </w:r>
            <w:r>
              <w:rPr>
                <w:rFonts w:ascii="宋体" w:hAnsi="宋体" w:cs="宋体" w:eastAsia="宋体"/>
                <w:sz w:val="24"/>
              </w:rPr>
              <w:t>。</w:t>
            </w:r>
            <w:r>
              <w:rPr>
                <w:rFonts w:ascii="宋体" w:hAnsi="宋体" w:cs="宋体" w:eastAsia="宋体"/>
                <w:sz w:val="24"/>
              </w:rPr>
              <w:t>地址：</w:t>
            </w:r>
            <w:r>
              <w:rPr>
                <w:rFonts w:ascii="宋体" w:hAnsi="宋体" w:cs="宋体" w:eastAsia="宋体"/>
                <w:sz w:val="24"/>
                <w:color w:val="000000"/>
              </w:rPr>
              <w:t>西安市高新区锦业一路</w:t>
            </w:r>
            <w:r>
              <w:rPr>
                <w:rFonts w:ascii="宋体" w:hAnsi="宋体" w:cs="宋体" w:eastAsia="宋体"/>
                <w:sz w:val="24"/>
                <w:color w:val="000000"/>
              </w:rPr>
              <w:t>52号宝德云谷国际B座14层140</w:t>
            </w:r>
            <w:r>
              <w:rPr>
                <w:rFonts w:ascii="宋体" w:hAnsi="宋体" w:cs="宋体" w:eastAsia="宋体"/>
                <w:sz w:val="24"/>
                <w:color w:val="000000"/>
              </w:rPr>
              <w:t>6-6</w:t>
            </w:r>
            <w:r>
              <w:rPr>
                <w:rFonts w:ascii="宋体" w:hAnsi="宋体" w:cs="宋体" w:eastAsia="宋体"/>
                <w:sz w:val="24"/>
                <w:color w:val="000000"/>
              </w:rPr>
              <w:t>室，</w:t>
            </w:r>
            <w:r>
              <w:rPr>
                <w:rFonts w:ascii="宋体" w:hAnsi="宋体" w:cs="宋体" w:eastAsia="宋体"/>
                <w:sz w:val="24"/>
                <w:color w:val="000000"/>
              </w:rPr>
              <w:t>时间：截止开标时间之前到达场地。</w:t>
            </w:r>
          </w:p>
          <w:p>
            <w:pPr>
              <w:pStyle w:val="null3"/>
              <w:numPr>
                <w:ilvl w:val="0"/>
                <w:numId w:val="1"/>
              </w:numPr>
            </w:pPr>
            <w:r>
              <w:rPr>
                <w:rFonts w:ascii="宋体" w:hAnsi="宋体" w:cs="宋体" w:eastAsia="宋体"/>
                <w:sz w:val="24"/>
              </w:rPr>
              <w:t>演示所需软硬件及网络环境均由投标单位自行准备，演示时间不超过</w:t>
            </w:r>
            <w:r>
              <w:rPr>
                <w:rFonts w:ascii="宋体" w:hAnsi="宋体" w:cs="宋体" w:eastAsia="宋体"/>
                <w:sz w:val="24"/>
              </w:rPr>
              <w:t>10分钟</w:t>
            </w:r>
            <w:r>
              <w:rPr>
                <w:rFonts w:ascii="宋体" w:hAnsi="宋体" w:cs="宋体" w:eastAsia="宋体"/>
                <w:sz w:val="24"/>
              </w:rPr>
              <w:t>，如因投标人自身原因导致错过演示环节、演示未成功或演示效果不佳等，由投标人自负。各投标人应认真对待本次演示工作，由投标人引起的不利后果自行承担。</w:t>
            </w: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自合同签订之日起28个日历日内供货完毕</w:t>
      </w:r>
    </w:p>
    <w:p>
      <w:pPr>
        <w:pStyle w:val="null3"/>
        <w:outlineLvl w:val="3"/>
      </w:pPr>
      <w:r>
        <w:rPr>
          <w:sz w:val="24"/>
          <w:b/>
        </w:rPr>
        <w:t>3.4.2交货地点和方式</w:t>
      </w:r>
    </w:p>
    <w:p>
      <w:pPr>
        <w:pStyle w:val="null3"/>
      </w:pPr>
      <w:r>
        <w:rPr/>
        <w:t>采购包1：</w:t>
      </w:r>
    </w:p>
    <w:p>
      <w:pPr>
        <w:pStyle w:val="null3"/>
      </w:pPr>
      <w:r>
        <w:rPr/>
        <w:t>西安市第八十二中学指定地点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w:t>
      </w:r>
      <w:r>
        <w:rPr/>
        <w:t xml:space="preserve"> ，达到付款条件起 </w:t>
      </w:r>
      <w:r>
        <w:rPr/>
        <w:t>30</w:t>
      </w:r>
      <w:r>
        <w:rPr/>
        <w:t xml:space="preserve"> 日内，支付合同总金额的 </w:t>
      </w:r>
      <w:r>
        <w:rPr/>
        <w:t>30.00</w:t>
      </w:r>
      <w:r>
        <w:rPr/>
        <w:t>%。</w:t>
      </w:r>
    </w:p>
    <w:p>
      <w:pPr>
        <w:pStyle w:val="null3"/>
      </w:pPr>
      <w:r>
        <w:rPr/>
        <w:t>采购包1：</w:t>
      </w:r>
      <w:r>
        <w:rPr/>
        <w:t xml:space="preserve"> 付款条件说明： </w:t>
      </w:r>
      <w:r>
        <w:rPr/>
        <w:t>供货验收合格</w:t>
      </w:r>
      <w:r>
        <w:rPr/>
        <w:t xml:space="preserve"> ，达到付款条件起 </w:t>
      </w:r>
      <w:r>
        <w:rPr/>
        <w:t>30</w:t>
      </w:r>
      <w:r>
        <w:rPr/>
        <w:t xml:space="preserve"> 日内，支付合同总金额的 </w:t>
      </w:r>
      <w:r>
        <w:rPr/>
        <w:t>70.00</w:t>
      </w:r>
      <w:r>
        <w:rPr/>
        <w:t>%。</w:t>
      </w:r>
    </w:p>
    <w:p>
      <w:pPr>
        <w:pStyle w:val="null3"/>
        <w:outlineLvl w:val="3"/>
      </w:pPr>
      <w:r>
        <w:rPr>
          <w:sz w:val="24"/>
          <w:b/>
        </w:rPr>
        <w:t>3.4.5验收标准和方法</w:t>
      </w:r>
    </w:p>
    <w:p>
      <w:pPr>
        <w:pStyle w:val="null3"/>
      </w:pPr>
      <w:r>
        <w:rPr/>
        <w:t>采购包1：</w:t>
      </w:r>
    </w:p>
    <w:p>
      <w:pPr>
        <w:pStyle w:val="null3"/>
      </w:pPr>
      <w:r>
        <w:rPr/>
        <w:t>1.到货验收：货物到货后，由甲方与乙方共同进行外观验收，验收内容包括，外包装的完好性，货物品牌、规格、数量及产地与合同要求的一致性。 2.货物运行验收：乙方安装调试合格后，向甲方提出验收申请，甲方接到乙方验收申请后组织验收（必要时可聘请相应专家或委托相应部门验收），验收合格后，出具使用验收合格证明。 3.最终验收：最终验收结果作为付款依据，乙方填写验收单，并向甲方提交实施过程中的所有资料，以便甲方日后管理和维护。 4.质保期满后：由乙方出具质保期运行质量报告，作为质保金支付依据，若存在质量问题，应按相应规定协商处理。 5.验收依据： 5-1.合同文本、合同附件、招标文件、投标文件。 5-2.国内相应的标准、规范。</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货物的质保期为验收合格后36个月，终身维护保养，质保期后，只收取成本费用。</w:t>
      </w:r>
    </w:p>
    <w:p>
      <w:pPr>
        <w:pStyle w:val="null3"/>
        <w:outlineLvl w:val="3"/>
      </w:pPr>
      <w:r>
        <w:rPr>
          <w:sz w:val="24"/>
          <w:b/>
        </w:rPr>
        <w:t>3.4.8违约责任及解决争议的方法</w:t>
      </w:r>
    </w:p>
    <w:p>
      <w:pPr>
        <w:pStyle w:val="null3"/>
      </w:pPr>
      <w:r>
        <w:rPr/>
        <w:t>采购包1：</w:t>
      </w:r>
    </w:p>
    <w:p>
      <w:pPr>
        <w:pStyle w:val="null3"/>
      </w:pPr>
      <w:r>
        <w:rPr/>
        <w:t>1.按《合同法》中的相关条款执行。 2.乙方履约延误 2-1.如乙方事先未征得甲方同意并得到甲方的谅解而单方面延迟交货，将按违约终止合同。 2-2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之零点五(0.5%)计收，直至交货或提供服务为止。误期赔偿费的最高限额为合同价格的百分之五(5%)。一旦达到误期赔偿费的最高限额，甲方可终止合同。 3.违约终止合同:未按合同要求提供货物或质量不能满足技术要求，甲方会同监督机构有权终止合同，对乙方违约行为进行追究，同时按政府采购法的有关规定进行相应的处罚。</w:t>
      </w:r>
    </w:p>
    <w:p>
      <w:pPr>
        <w:pStyle w:val="null3"/>
        <w:jc w:val="left"/>
        <w:outlineLvl w:val="3"/>
      </w:pPr>
      <w:r>
        <w:rPr>
          <w:sz w:val="24"/>
          <w:b/>
        </w:rPr>
        <w:t>3.5其他要求</w:t>
      </w:r>
    </w:p>
    <w:p>
      <w:pPr>
        <w:pStyle w:val="null3"/>
      </w:pPr>
      <w:r>
        <w:rPr/>
        <w:t>采购包1：</w:t>
      </w:r>
    </w:p>
    <w:p>
      <w:pPr>
        <w:pStyle w:val="null3"/>
      </w:pPr>
      <w:r>
        <w:rPr/>
        <w:t>（1）为顺利推进政府采购电子化交易平台试点应用工作，供应商需要在线提交所有通过电子化交易平台实施的政府采购 项目的响应文件，同时，线下提交响应文件正本壹份、副本贰套、电子版壹套（U盘一套标明供应商名称，随正本密封）。若电子响应文件与纸质响应文件不一致的，以纸质响应文件为准；若正本和副本不符，以正本为准。 线下递交文件时间：详见本项目竞争性谈判公告文件截止时间；线下递交文件地点：西安市高新区锦业一路52号宝德云谷国际B座14层1406-6室（2）因文件关于合体签订时间无法修改，特在此处说明，成交供应商应当在成交通知书发出之日起25日内与采购人签订政府采购合同 (3)因文件关于资格审查主体无法修改，特在此处说明，资格审查由陕西中诚天和项目管理有限公司组建的资格审查小组依据法律法规和谈判文件的规定，对响应文件中的资格证明等进行审查，以确定投标人是否具备投标资格。（4）如谈判文件中融资相关内容与新政策要求有出入，按照最新要求执行。</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谈判供应商资质证明文件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 谈判供应商承诺书</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具有独立承担民事责任能力的法人、其他组织或自然人，提供合法有效的统一社会信用代码营业执照（事业单位提供法人证书，自然人提供身份证）</w:t>
            </w:r>
          </w:p>
        </w:tc>
        <w:tc>
          <w:tcPr>
            <w:tcW w:type="dxa" w:w="1661"/>
          </w:tcPr>
          <w:p>
            <w:pPr>
              <w:pStyle w:val="null3"/>
            </w:pPr>
            <w:r>
              <w:rPr/>
              <w:t>谈判供应商资质证明文件</w:t>
            </w:r>
          </w:p>
        </w:tc>
      </w:tr>
      <w:tr>
        <w:tc>
          <w:tcPr>
            <w:tcW w:type="dxa" w:w="831"/>
          </w:tcPr>
          <w:p>
            <w:pPr>
              <w:pStyle w:val="null3"/>
            </w:pPr>
            <w:r>
              <w:rPr/>
              <w:t>2</w:t>
            </w:r>
          </w:p>
        </w:tc>
        <w:tc>
          <w:tcPr>
            <w:tcW w:type="dxa" w:w="2492"/>
          </w:tcPr>
          <w:p>
            <w:pPr>
              <w:pStyle w:val="null3"/>
            </w:pPr>
            <w:r>
              <w:rPr/>
              <w:t>法定代表人授权委托书</w:t>
            </w:r>
          </w:p>
        </w:tc>
        <w:tc>
          <w:tcPr>
            <w:tcW w:type="dxa" w:w="3322"/>
          </w:tcPr>
          <w:p>
            <w:pPr>
              <w:pStyle w:val="null3"/>
            </w:pPr>
            <w:r>
              <w:rPr/>
              <w:t>法定代表人参加谈判的，须出示身份证；法定 代表人授权他人参加谈判的，须提供法定代表 人授权委托书、被授权人提交响应文件截止时 间前半年内任意一个月的社会保障资金（养老 保险或医疗保险）的缴纳证明或有效期内的劳动合同及被授权人身份证</w:t>
            </w:r>
          </w:p>
        </w:tc>
        <w:tc>
          <w:tcPr>
            <w:tcW w:type="dxa" w:w="1661"/>
          </w:tcPr>
          <w:p>
            <w:pPr>
              <w:pStyle w:val="null3"/>
            </w:pPr>
            <w:r>
              <w:rPr/>
              <w:t>法定代表人证明书与法定代表人授权书</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提供2022年度或2023年度的经会计师事务所或审计机构审计的财务审计报告或在开标日期前六个月内其基本开户银行出具的资信证明或财政部门认可的政府采购专业担保机构出具的投标担保函，以上形式的证明资料提供任何一种即可</w:t>
            </w:r>
          </w:p>
        </w:tc>
        <w:tc>
          <w:tcPr>
            <w:tcW w:type="dxa" w:w="1661"/>
          </w:tcPr>
          <w:p>
            <w:pPr>
              <w:pStyle w:val="null3"/>
            </w:pPr>
            <w:r>
              <w:rPr/>
              <w:t>谈判供应商资质证明文件</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提供投标文件截止时间前一年内至少一个月已缴纳的任意税种凭据；依法免税的投标人应提供相关文件证明</w:t>
            </w:r>
          </w:p>
        </w:tc>
        <w:tc>
          <w:tcPr>
            <w:tcW w:type="dxa" w:w="1661"/>
          </w:tcPr>
          <w:p>
            <w:pPr>
              <w:pStyle w:val="null3"/>
            </w:pPr>
            <w:r>
              <w:rPr/>
              <w:t>谈判供应商资质证明文件</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提供投标文件截止时间前一年内至少一个月已缴纳的社会保障资金的凭据（专用收据或社会保险缴纳清单）；依法不需要缴纳社会保障资金的投标人应提供相关文件证明</w:t>
            </w:r>
          </w:p>
        </w:tc>
        <w:tc>
          <w:tcPr>
            <w:tcW w:type="dxa" w:w="1661"/>
          </w:tcPr>
          <w:p>
            <w:pPr>
              <w:pStyle w:val="null3"/>
            </w:pPr>
            <w:r>
              <w:rPr/>
              <w:t>谈判供应商资质证明文件</w:t>
            </w:r>
          </w:p>
        </w:tc>
      </w:tr>
      <w:tr>
        <w:tc>
          <w:tcPr>
            <w:tcW w:type="dxa" w:w="831"/>
          </w:tcPr>
          <w:p>
            <w:pPr>
              <w:pStyle w:val="null3"/>
            </w:pPr>
            <w:r>
              <w:rPr/>
              <w:t>6</w:t>
            </w:r>
          </w:p>
        </w:tc>
        <w:tc>
          <w:tcPr>
            <w:tcW w:type="dxa" w:w="2492"/>
          </w:tcPr>
          <w:p>
            <w:pPr>
              <w:pStyle w:val="null3"/>
            </w:pPr>
            <w:r>
              <w:rPr/>
              <w:t>书面承诺</w:t>
            </w:r>
          </w:p>
        </w:tc>
        <w:tc>
          <w:tcPr>
            <w:tcW w:type="dxa" w:w="3322"/>
          </w:tcPr>
          <w:p>
            <w:pPr>
              <w:pStyle w:val="null3"/>
            </w:pPr>
            <w:r>
              <w:rPr/>
              <w:t>提供具有履行本合同所必需的设备和专业技术能力的声明、参加政府采购活动前3年内在经营活动中没有重大违法记录的书面承诺</w:t>
            </w:r>
          </w:p>
        </w:tc>
        <w:tc>
          <w:tcPr>
            <w:tcW w:type="dxa" w:w="1661"/>
          </w:tcPr>
          <w:p>
            <w:pPr>
              <w:pStyle w:val="null3"/>
            </w:pPr>
            <w:r>
              <w:rPr/>
              <w:t>谈判供应商资质证明文件</w:t>
            </w:r>
          </w:p>
        </w:tc>
      </w:tr>
    </w:tbl>
    <w:p>
      <w:pPr>
        <w:pStyle w:val="null3"/>
      </w:pPr>
      <w:r>
        <w:rPr/>
        <w:t xml:space="preserve"> </w:t>
        <w:br/>
        <w:br w:type="page"/>
      </w:r>
    </w:p>
    <w:p>
      <w:pPr>
        <w:pStyle w:val="null3"/>
        <w:jc w:val="center"/>
        <w:outlineLvl w:val="1"/>
      </w:pPr>
      <w:r>
        <w:rPr>
          <w:sz w:val="36"/>
          <w:b/>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t xml:space="preserve"> </w:t>
        <w:br/>
        <w:br w:type="page"/>
      </w:r>
    </w:p>
    <w:p>
      <w:pPr>
        <w:pStyle w:val="null3"/>
        <w:jc w:val="center"/>
        <w:outlineLvl w:val="1"/>
      </w:pPr>
      <w:r>
        <w:rPr>
          <w:sz w:val="36"/>
          <w:b/>
        </w:rPr>
        <w:t>第六章 谈判办法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6.2谈判小组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三、谈判小组按照谈判文件规定的谈判程序、评审方法和标准进行评审，并独立履行下列职责：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 xml:space="preserve"> （三）根据需要要求采购组织单位对谈判文件作出解释；根据需要要求供应商对响应文件有关事项作出澄清、说明或者更正；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二、在符合性审查过程中，如果出现谈判小组成员意见不一致的情况，按照少数服从多数的原则确定，但不得违背政府采购基本原则和谈判文件规定。</w:t>
      </w:r>
    </w:p>
    <w:p>
      <w:pPr>
        <w:pStyle w:val="null3"/>
        <w:ind w:firstLine="480"/>
      </w:pPr>
      <w:r>
        <w:rPr/>
        <w:t>三、谈判小组对所有响应文件进行审查后，确定参加谈判的供应商名单。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响应报价表 标的清单 报价表</w:t>
            </w:r>
          </w:p>
        </w:tc>
      </w:tr>
      <w:tr>
        <w:tc>
          <w:tcPr>
            <w:tcW w:type="dxa" w:w="831"/>
          </w:tcPr>
          <w:p>
            <w:pPr>
              <w:pStyle w:val="null3"/>
            </w:pPr>
            <w:r>
              <w:rPr/>
              <w:t>2</w:t>
            </w:r>
          </w:p>
        </w:tc>
        <w:tc>
          <w:tcPr>
            <w:tcW w:type="dxa" w:w="2492"/>
          </w:tcPr>
          <w:p>
            <w:pPr>
              <w:pStyle w:val="null3"/>
            </w:pPr>
            <w:r>
              <w:rPr/>
              <w:t>响应文件初步审查</w:t>
            </w:r>
          </w:p>
        </w:tc>
        <w:tc>
          <w:tcPr>
            <w:tcW w:type="dxa" w:w="3322"/>
          </w:tcPr>
          <w:p>
            <w:pPr>
              <w:pStyle w:val="null3"/>
            </w:pPr>
            <w:r>
              <w:rPr/>
              <w:t>依据谈判文件规定，从响应文件的有效性、完整性和对谈判文件的响应程度进行审查。出现下列情况之一者（但不限于），不得进入最终报价环节：（1）投标人的投标报价超过采购预算或最高限价的；（2）响应文件是否按谈判文件要求的数量、语言、计量单位、报价货币及签字盖章；（3）无投标有效期或有效期达不到谈判文件要求的；（4）响应文件附加了采购人难以接受的条件或条款的；（5）审核谈判响应文件的技术指标是否满足采购要求，其中标“★”技术参数有一项不满足，不进入最终报价环节；（6）响应文件未实质性响应谈判文件要求的；（7）不符合法律、法规和谈判文件中规定的其他实质性要求的。</w:t>
            </w:r>
          </w:p>
        </w:tc>
        <w:tc>
          <w:tcPr>
            <w:tcW w:type="dxa" w:w="1661"/>
          </w:tcPr>
          <w:p>
            <w:pPr>
              <w:pStyle w:val="null3"/>
            </w:pPr>
            <w:r>
              <w:rPr/>
              <w:t>谈判供应商资质证明文件 响应文件封面 对谈判文件及合同条款的承诺 法定代表人证明书与法定代表人授权书 响应报价表 响应函 谈判响应方案说明 技术指标偏差表 谈判供应商承诺书</w:t>
            </w:r>
          </w:p>
        </w:tc>
      </w:tr>
    </w:tbl>
    <w:p>
      <w:pPr>
        <w:pStyle w:val="null3"/>
        <w:outlineLvl w:val="3"/>
      </w:pPr>
      <w:r>
        <w:rPr>
          <w:sz w:val="24"/>
          <w:b/>
        </w:rPr>
        <w:t>6.3.3谈判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 xml:space="preserve"> 七、谈判小组对供应商在谈判、评审过程中的书面交换材料，未按要求加盖电子印章或签字的，视同未提交书面交换材料。</w:t>
      </w:r>
    </w:p>
    <w:p>
      <w:pPr>
        <w:pStyle w:val="null3"/>
        <w:ind w:firstLine="480"/>
      </w:pPr>
      <w:r>
        <w:rPr/>
        <w:t xml:space="preserve"> 八、谈判小组在最终谈判后，对所有响应文件的有效性、完整性和响应程度进行审查后，确定最后报价的供应商名单。</w:t>
      </w:r>
    </w:p>
    <w:p>
      <w:pPr>
        <w:pStyle w:val="null3"/>
        <w:ind w:firstLine="480"/>
      </w:pPr>
      <w:r>
        <w:rPr/>
        <w:t xml:space="preserve"> 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pPr>
      <w:r>
        <w:rPr/>
        <w:t>七、最后报价一旦提交后，供应商不得以任何理由撤回。</w:t>
      </w:r>
    </w:p>
    <w:p>
      <w:pPr>
        <w:pStyle w:val="null3"/>
        <w:ind w:firstLine="480"/>
        <w:jc w:val="left"/>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响应报价表 标的清单 报价表 监狱企业的证明文件</w:t>
            </w:r>
          </w:p>
        </w:tc>
      </w:tr>
    </w:tbl>
    <w:p>
      <w:pPr>
        <w:pStyle w:val="null3"/>
        <w:outlineLvl w:val="3"/>
      </w:pPr>
      <w:r>
        <w:rPr>
          <w:sz w:val="24"/>
          <w:b/>
        </w:rPr>
        <w:t>6.3.6解释、澄清、说明的有关问题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sz w:val="24"/>
          <w:b/>
        </w:rPr>
        <w:t>6.3.7复核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sz w:val="24"/>
          <w:b/>
        </w:rPr>
        <w:t>6.3.8推荐成交候选供应商</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sz w:val="24"/>
          <w:b/>
        </w:rPr>
        <w:t>6.3.9编写谈判报告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sz w:val="24"/>
          <w:b/>
        </w:rPr>
        <w:t>6.3.10谈判争议处理规则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sz w:val="28"/>
          <w:b/>
        </w:rPr>
        <w:t>6.4终止采购活动情形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sz w:val="28"/>
          <w:b/>
        </w:rPr>
        <w:t>6.5确定成交供应商</w:t>
      </w: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详见附件：响应报价表</w:t>
      </w:r>
    </w:p>
    <w:p>
      <w:pPr>
        <w:pStyle w:val="null3"/>
        <w:ind w:firstLine="960"/>
      </w:pPr>
      <w:r>
        <w:rPr/>
        <w:t>详见附件：技术指标偏差表</w:t>
      </w:r>
    </w:p>
    <w:p>
      <w:pPr>
        <w:pStyle w:val="null3"/>
        <w:ind w:firstLine="960"/>
      </w:pPr>
      <w:r>
        <w:rPr/>
        <w:t>详见附件：法定代表人证明书与法定代表人授权书</w:t>
      </w:r>
    </w:p>
    <w:p>
      <w:pPr>
        <w:pStyle w:val="null3"/>
        <w:ind w:firstLine="960"/>
      </w:pPr>
      <w:r>
        <w:rPr/>
        <w:t>详见附件：谈判供应商资质证明文件</w:t>
      </w:r>
    </w:p>
    <w:p>
      <w:pPr>
        <w:pStyle w:val="null3"/>
        <w:ind w:firstLine="960"/>
      </w:pPr>
      <w:r>
        <w:rPr/>
        <w:t>详见附件：对谈判文件及合同条款的承诺</w:t>
      </w:r>
    </w:p>
    <w:p>
      <w:pPr>
        <w:pStyle w:val="null3"/>
        <w:ind w:firstLine="960"/>
      </w:pPr>
      <w:r>
        <w:rPr/>
        <w:t>详见附件：谈判响应方案说明</w:t>
      </w:r>
    </w:p>
    <w:p>
      <w:pPr>
        <w:pStyle w:val="null3"/>
        <w:ind w:firstLine="960"/>
      </w:pPr>
      <w:r>
        <w:rPr/>
        <w:t>详见附件：谈判供应商承诺书</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详见附件：西安市第八十二中学云机房设备合同.docx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