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/>
          <w:b w:val="0"/>
          <w:bCs w:val="0"/>
          <w:color w:val="000000"/>
          <w:sz w:val="36"/>
          <w:szCs w:val="36"/>
        </w:rPr>
      </w:pPr>
      <w:r>
        <w:rPr>
          <w:rFonts w:hint="eastAsia" w:ascii="仿宋" w:hAnsi="仿宋"/>
          <w:b w:val="0"/>
          <w:bCs w:val="0"/>
          <w:color w:val="000000"/>
          <w:sz w:val="36"/>
          <w:szCs w:val="36"/>
        </w:rPr>
        <w:t>融媒体中心数据资源库使用项目合同</w:t>
      </w:r>
    </w:p>
    <w:p>
      <w:pPr>
        <w:pStyle w:val="3"/>
        <w:widowControl w:val="0"/>
        <w:spacing w:before="0" w:beforeAutospacing="0" w:after="0" w:afterAutospacing="0" w:line="360" w:lineRule="auto"/>
        <w:jc w:val="both"/>
        <w:rPr>
          <w:rFonts w:ascii="仿宋" w:hAnsi="仿宋"/>
          <w:color w:val="000000"/>
          <w:kern w:val="2"/>
          <w:sz w:val="28"/>
          <w:szCs w:val="28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合同签订地点：陕西省西安市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电话: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电话: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center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合同条款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甲、乙双方在充分交流、了解的基础上，根据《中华人民共和国民法典》及有关法律法规，并本着“优势互补、资源共享、共同发展”的原则，甲方就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碑林区融媒体中心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>数据资源库使用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，委托乙方进行管理的有关事项，经友好协商，达成以下合同条款，以供双方共同遵守。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一、委托项目的基本情况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项目名称:碑林区融媒体中心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数据资源库使用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项目地址:西安市碑林区南院门27号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二、合同期限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本合同自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起至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</w:rPr>
        <w:t>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支付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1、费用总金额：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小写：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大写：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乙方须开具正式发票。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3、付款方式：甲方收到发票后一个月内，以转账方式向乙方一次性支付本合同全额款项。</w:t>
      </w:r>
      <w:bookmarkStart w:id="34" w:name="_GoBack"/>
      <w:bookmarkEnd w:id="34"/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四、服务内容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甲方依托乙方技术平台和人力资源优势，应用西安台“长安云”融媒体平台开展工作。即碑林区融媒体中心数据资源库使用“长安云”平台硬件后台更新、软件技术支撑、升级管控运维及设备使用等功能；</w:t>
      </w:r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五、甲方的权利和义务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1、甲方应及时对设计方案、数量及技术要求给予确认，因甲方确认时间的推迟而影响系统产品交付时间，由此造成的任何责任由甲方承担；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2、乙方进行规划设计配置后，甲方要求变更方案数量规格的，应视乙方实际情况而定，同时甲方须承担由此给乙方造成的相应经济损失，且工期顺延；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3、甲方应按本合同约定支付费用，不得无故拖延或拒绝付款。</w:t>
      </w:r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六、乙方的权利和义务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1、乙方按合同要求提供安装、调试、验收、技术服务（包括培训）、售后服务；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2、对产品（服务）质量问题，乙方负责处理；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3、为使甲方人员对设备及系统能够有效使用和正确操作、维护，乙方有责任对甲方的操作维护人员进行免费培训，培训内容包括理论培训和实际操作培训；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4、乙方必须配合对项目进行共同验收，如因产品质量和系统质量问题，验收不合格，乙方应负责返修所造成的经济损失；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5、乙方对各技术节点进行日常维护和监控，以保证甲方得到正常的IT服务。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6、乙方有权按照本合同收取服务费用，并有义务向甲方开具合法发票。</w:t>
      </w:r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七、违约责任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1、合同签订后，甲方不得以经营状况不佳变更为由要求乙方停止服务，由于甲方原因导致的合作终止，乙方不予退款，并且有权要求甲方支付合同总价款的20%作为违约金；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2、乙方未按约定提供服务构成根本性违约的，甲方可解除合同。</w:t>
      </w:r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八、不可抗力事件处理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1、在合同有效期内，任何一方因不可抗力事件导致不能履行合同，则合同履行期可延长，其延长期与不可抗力影响期相同。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2、不可抗力事件发生后，应立即通知对方，并寄送有关权威机构出具的证明。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3、不可抗力事件延续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30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天以上，双方应通过友好协商，确定是否继续履行合同。</w:t>
      </w:r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bookmarkStart w:id="0" w:name="_Toc237145411"/>
      <w:bookmarkStart w:id="1" w:name="_Toc241833908"/>
      <w:bookmarkStart w:id="2" w:name="_Toc225244857"/>
      <w:bookmarkStart w:id="3" w:name="_Toc212019599"/>
      <w:bookmarkStart w:id="4" w:name="_Toc185395254"/>
      <w:bookmarkStart w:id="5" w:name="_Toc286993792"/>
      <w:bookmarkStart w:id="6" w:name="_Toc239568423"/>
      <w:bookmarkStart w:id="7" w:name="_Toc247334846"/>
      <w:bookmarkStart w:id="8" w:name="_Toc232492933"/>
      <w:bookmarkStart w:id="9" w:name="_Toc211911353"/>
      <w:bookmarkStart w:id="10" w:name="_Toc225670756"/>
      <w:bookmarkStart w:id="11" w:name="_Toc239233919"/>
      <w:bookmarkStart w:id="12" w:name="_Toc225654649"/>
      <w:bookmarkStart w:id="13" w:name="_Toc251768867"/>
      <w:bookmarkStart w:id="14" w:name="_Toc211854454"/>
      <w:bookmarkStart w:id="15" w:name="_Toc238984980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九、解决合同纠纷的方式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1、在执行本合同中发生的或与本合同有关的争端，双方应通过友好协商解决，经协商在30天内不能达成协议时，则采取以下第2种方式解决争议：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（1）向甲方所在地有管辖权的人民法院提起诉讼；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（2）向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西安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仲裁委员会按其仲裁规则申请仲裁。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2、在仲裁期间，本合同应继续履行。</w:t>
      </w:r>
    </w:p>
    <w:p>
      <w:pPr>
        <w:spacing w:line="7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bookmarkStart w:id="16" w:name="_Toc283019219"/>
      <w:bookmarkStart w:id="17" w:name="_Toc225670757"/>
      <w:bookmarkStart w:id="18" w:name="_Toc237145412"/>
      <w:bookmarkStart w:id="19" w:name="_Toc238984981"/>
      <w:bookmarkStart w:id="20" w:name="_Toc211854455"/>
      <w:bookmarkStart w:id="21" w:name="_Toc232492934"/>
      <w:bookmarkStart w:id="22" w:name="_Toc212019600"/>
      <w:bookmarkStart w:id="23" w:name="_Toc211911354"/>
      <w:bookmarkStart w:id="24" w:name="_Toc239233920"/>
      <w:bookmarkStart w:id="25" w:name="_Toc247334847"/>
      <w:bookmarkStart w:id="26" w:name="_Toc282696231"/>
      <w:bookmarkStart w:id="27" w:name="_Toc251768868"/>
      <w:bookmarkStart w:id="28" w:name="_Toc225654650"/>
      <w:bookmarkStart w:id="29" w:name="_Toc185395255"/>
      <w:bookmarkStart w:id="30" w:name="_Toc225244858"/>
      <w:bookmarkStart w:id="31" w:name="_Toc286993793"/>
      <w:bookmarkStart w:id="32" w:name="_Toc241833909"/>
      <w:bookmarkStart w:id="33" w:name="_Toc239568424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十、合同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生效及其他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本合同一式陆份,甲方叁份、乙方叁份,具有同等法律效力，双方签字盖章后生效。</w:t>
      </w:r>
    </w:p>
    <w:p>
      <w:pPr>
        <w:spacing w:line="7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签字 (公章)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授权代表人签字：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纳税人识别号：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账   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开 户 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签定时间:    年    月    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签字（章）：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授权代表人签字：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纳税人识别号：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账   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开 户 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签定时间: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ascii="仿宋" w:hAnsi="仿宋"/>
          <w:b/>
          <w:bCs/>
          <w:color w:val="000000"/>
          <w:sz w:val="32"/>
          <w:szCs w:val="32"/>
        </w:rPr>
      </w:pPr>
      <w:r>
        <w:rPr>
          <w:rFonts w:hint="eastAsia" w:ascii="仿宋" w:hAnsi="仿宋"/>
          <w:b/>
          <w:bCs/>
          <w:color w:val="000000"/>
          <w:sz w:val="32"/>
          <w:szCs w:val="32"/>
        </w:rPr>
        <w:br w:type="page"/>
      </w:r>
      <w:r>
        <w:rPr>
          <w:rFonts w:hint="eastAsia" w:ascii="仿宋" w:hAnsi="仿宋"/>
          <w:b/>
          <w:bCs/>
          <w:color w:val="000000"/>
          <w:sz w:val="32"/>
          <w:szCs w:val="32"/>
        </w:rPr>
        <w:t>附件：</w:t>
      </w:r>
    </w:p>
    <w:p>
      <w:pPr>
        <w:pStyle w:val="6"/>
        <w:ind w:left="643" w:hanging="643" w:hangingChars="200"/>
        <w:jc w:val="center"/>
        <w:rPr>
          <w:rFonts w:ascii="仿宋" w:hAnsi="仿宋"/>
          <w:color w:val="000000"/>
          <w:kern w:val="2"/>
          <w:sz w:val="32"/>
          <w:szCs w:val="32"/>
        </w:rPr>
      </w:pPr>
      <w:r>
        <w:rPr>
          <w:rFonts w:hint="eastAsia" w:ascii="仿宋" w:hAnsi="仿宋"/>
          <w:b/>
          <w:bCs/>
          <w:color w:val="000000"/>
          <w:sz w:val="32"/>
          <w:szCs w:val="32"/>
        </w:rPr>
        <w:t>202</w:t>
      </w:r>
      <w:r>
        <w:rPr>
          <w:rFonts w:hint="eastAsia" w:ascii="仿宋" w:hAnsi="仿宋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/>
          <w:b/>
          <w:bCs/>
          <w:color w:val="000000"/>
          <w:sz w:val="32"/>
          <w:szCs w:val="32"/>
        </w:rPr>
        <w:t>年度西安市区县融媒体（碑林）数据库资源运营费用</w:t>
      </w:r>
    </w:p>
    <w:tbl>
      <w:tblPr>
        <w:tblStyle w:val="4"/>
        <w:tblW w:w="5093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568"/>
        <w:gridCol w:w="750"/>
        <w:gridCol w:w="2688"/>
        <w:gridCol w:w="1301"/>
        <w:gridCol w:w="709"/>
        <w:gridCol w:w="9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服务名称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计量单位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具体要求说明</w:t>
            </w: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单价</w:t>
            </w: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数量</w:t>
            </w: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报价（元）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both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pStyle w:val="6"/>
              <w:snapToGrid w:val="0"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06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90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1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54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749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8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553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30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合计价格（大写）</w:t>
            </w:r>
          </w:p>
        </w:tc>
        <w:tc>
          <w:tcPr>
            <w:tcW w:w="3690" w:type="pct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48D446C"/>
    <w:rsid w:val="19F52027"/>
    <w:rsid w:val="608A1A1F"/>
    <w:rsid w:val="6DD3136C"/>
    <w:rsid w:val="7A4F4F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b/>
      <w:sz w:val="2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6">
    <w:name w:val="文档正文"/>
    <w:basedOn w:val="1"/>
    <w:qFormat/>
    <w:uiPriority w:val="99"/>
    <w:pPr>
      <w:adjustRightInd w:val="0"/>
      <w:spacing w:line="400" w:lineRule="atLeast"/>
      <w:ind w:firstLine="420" w:firstLineChars="200"/>
      <w:jc w:val="left"/>
      <w:textAlignment w:val="baseline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1468</Words>
  <Characters>1484</Characters>
  <Lines>0</Lines>
  <Paragraphs>0</Paragraphs>
  <TotalTime>0</TotalTime>
  <ScaleCrop>false</ScaleCrop>
  <LinksUpToDate>false</LinksUpToDate>
  <CharactersWithSpaces>1544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2024-05-08T01:25:33Z</dcterms:created>
  <dc:creator>Administrator</dc:creator>
  <cp:lastModifiedBy>艳儿</cp:lastModifiedBy>
  <dcterms:modified xsi:type="dcterms:W3CDTF">2024-05-09T06:10:14Z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D6F07FE6708E4B79809C822427B48001_13</vt:lpwstr>
  </property>
</Properties>
</file>