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outlineLvl w:val="0"/>
      </w:pPr>
      <w:r>
        <w:rPr>
          <w:sz w:val="48"/>
          <w:b/>
        </w:rPr>
        <w:t>政府采购项目采购需求</w:t>
      </w:r>
    </w:p>
    <w:p>
      <w:pPr>
        <w:pStyle w:val="null3"/>
        <w:spacing w:before="3000"/>
        <w:outlineLvl w:val="2"/>
      </w:pPr>
      <w:r>
        <w:rPr>
          <w:sz w:val="28"/>
          <w:b/>
        </w:rPr>
        <w:t>采购单位：</w:t>
      </w:r>
    </w:p>
    <w:p>
      <w:pPr>
        <w:pStyle w:val="null3"/>
        <w:outlineLvl w:val="2"/>
      </w:pPr>
      <w:r>
        <w:rPr>
          <w:sz w:val="28"/>
          <w:b/>
        </w:rPr>
        <w:t>西安市碑林区沙坡小学</w:t>
      </w:r>
    </w:p>
    <w:p>
      <w:pPr>
        <w:pStyle w:val="null3"/>
        <w:jc w:val="right"/>
        <w:outlineLvl w:val="2"/>
      </w:pPr>
      <w:r>
        <w:rPr>
          <w:sz w:val="28"/>
          <w:b/>
        </w:rPr>
        <w:t>所属年度：</w:t>
      </w:r>
    </w:p>
    <w:p>
      <w:pPr>
        <w:pStyle w:val="null3"/>
        <w:outlineLvl w:val="2"/>
      </w:pPr>
      <w:r>
        <w:rPr>
          <w:sz w:val="28"/>
          <w:b/>
        </w:rPr>
        <w:t>2024</w:t>
      </w:r>
      <w:r>
        <w:rPr>
          <w:sz w:val="28"/>
          <w:b/>
        </w:rPr>
        <w:t>年</w:t>
      </w:r>
    </w:p>
    <w:p>
      <w:pPr>
        <w:pStyle w:val="null3"/>
        <w:jc w:val="right"/>
        <w:outlineLvl w:val="2"/>
      </w:pPr>
      <w:r>
        <w:rPr>
          <w:sz w:val="28"/>
          <w:b/>
        </w:rPr>
        <w:t>编制单位：</w:t>
      </w:r>
    </w:p>
    <w:p>
      <w:pPr>
        <w:pStyle w:val="null3"/>
        <w:outlineLvl w:val="2"/>
      </w:pPr>
      <w:r>
        <w:rPr>
          <w:sz w:val="28"/>
          <w:b/>
        </w:rPr>
        <w:t>西安市碑林区沙坡小学</w:t>
      </w:r>
    </w:p>
    <w:p>
      <w:pPr>
        <w:pStyle w:val="null3"/>
        <w:jc w:val="right"/>
        <w:outlineLvl w:val="2"/>
      </w:pPr>
      <w:r>
        <w:rPr>
          <w:sz w:val="28"/>
          <w:b/>
        </w:rPr>
        <w:t>编制时间：</w:t>
      </w:r>
    </w:p>
    <w:p>
      <w:pPr>
        <w:pStyle w:val="null3"/>
        <w:outlineLvl w:val="2"/>
      </w:pPr>
      <w:r>
        <w:rPr>
          <w:sz w:val="28"/>
          <w:b/>
        </w:rPr>
        <w:t>2024年07月11日</w:t>
      </w:r>
    </w:p>
    <w:p>
      <w:pPr>
        <w:pStyle w:val="null3"/>
        <w:outlineLvl w:val="2"/>
      </w:pPr>
      <w:r>
        <w:rPr>
          <w:sz w:val="28"/>
          <w:b/>
        </w:rPr>
        <w:t>一、项目总体情况</w:t>
      </w:r>
    </w:p>
    <w:p>
      <w:pPr>
        <w:pStyle w:val="null3"/>
      </w:pPr>
      <w:r>
        <w:rPr/>
        <w:t xml:space="preserve"> （一）项目名称： </w:t>
      </w:r>
      <w:r>
        <w:rPr/>
        <w:t>沙坡小学教学楼改造工程</w:t>
      </w:r>
    </w:p>
    <w:p>
      <w:pPr>
        <w:pStyle w:val="null3"/>
      </w:pPr>
      <w:r>
        <w:rPr/>
        <w:t xml:space="preserve"> （二）项目所属年度： </w:t>
      </w:r>
      <w:r>
        <w:rPr/>
        <w:t>2024</w:t>
      </w:r>
      <w:r>
        <w:rPr/>
        <w:t>年</w:t>
      </w:r>
    </w:p>
    <w:p>
      <w:pPr>
        <w:pStyle w:val="null3"/>
      </w:pPr>
      <w:r>
        <w:rPr/>
        <w:t xml:space="preserve"> （三）项目所属分类： </w:t>
      </w:r>
      <w:r>
        <w:rPr/>
        <w:t>工程</w:t>
      </w:r>
    </w:p>
    <w:p>
      <w:pPr>
        <w:pStyle w:val="null3"/>
      </w:pPr>
      <w:r>
        <w:rPr/>
        <w:t xml:space="preserve"> （四）预算金额（元）：</w:t>
      </w:r>
      <w:r>
        <w:rPr/>
        <w:t>1,100,100.00</w:t>
      </w:r>
      <w:r>
        <w:rPr/>
        <w:t>元 ，大写（人民币）：</w:t>
      </w:r>
      <w:r>
        <w:rPr/>
        <w:t>壹佰壹拾万零壹佰元整</w:t>
      </w:r>
    </w:p>
    <w:p>
      <w:pPr>
        <w:pStyle w:val="null3"/>
        <w:ind w:firstLine="1200"/>
      </w:pPr>
      <w:r>
        <w:rPr/>
        <w:t xml:space="preserve"> （五）项目概况：</w:t>
      </w:r>
    </w:p>
    <w:p>
      <w:pPr>
        <w:pStyle w:val="null3"/>
        <w:ind w:left="480"/>
      </w:pPr>
      <w:r>
        <w:rPr/>
        <w:t>本工程为西安市碑林区沙坡小学教学楼改造，详细内容详见工程量清单及图纸。</w:t>
      </w:r>
    </w:p>
    <w:p>
      <w:pPr>
        <w:pStyle w:val="null3"/>
      </w:pPr>
      <w:r>
        <w:rPr/>
        <w:t xml:space="preserve"> （六）本项目是否有为采购项目提供整体设计、规范编制或者项目管理、监理、检测等服务的供应商：</w:t>
      </w:r>
      <w:r>
        <w:rPr/>
        <w:t>否</w:t>
      </w:r>
    </w:p>
    <w:p>
      <w:pPr>
        <w:pStyle w:val="null3"/>
        <w:outlineLvl w:val="2"/>
      </w:pPr>
      <w:r>
        <w:rPr>
          <w:sz w:val="28"/>
          <w:b/>
        </w:rPr>
        <w:t>二、项目需求调查情况</w:t>
      </w:r>
    </w:p>
    <w:p>
      <w:pPr>
        <w:pStyle w:val="null3"/>
      </w:pPr>
      <w:r>
        <w:rPr/>
        <w:t>依据《政府采购需求管理办法》的规定，本项目</w:t>
      </w:r>
      <w:r>
        <w:rPr/>
        <w:t>不需要</w:t>
      </w:r>
      <w:r>
        <w:rPr/>
        <w:t>需求调查，具体情况如下：</w:t>
      </w:r>
    </w:p>
    <w:p>
      <w:pPr>
        <w:pStyle w:val="null3"/>
      </w:pPr>
      <w:r>
        <w:rPr/>
        <w:t>（一）需求调查方式</w:t>
      </w:r>
    </w:p>
    <w:p>
      <w:pPr>
        <w:pStyle w:val="null3"/>
        <w:ind w:firstLine="840"/>
      </w:pPr>
      <w:r>
        <w:rPr/>
        <w:t>（二）需求调查对象</w:t>
      </w:r>
    </w:p>
    <w:p>
      <w:pPr>
        <w:pStyle w:val="null3"/>
        <w:ind w:firstLine="840"/>
      </w:pPr>
      <w:r>
        <w:rPr/>
        <w:t>（三）需求调查结果</w:t>
      </w:r>
    </w:p>
    <w:p>
      <w:pPr>
        <w:pStyle w:val="null3"/>
        <w:ind w:firstLine="840"/>
      </w:pPr>
      <w:r>
        <w:rPr/>
        <w:t>1.相关产业发展情况</w:t>
      </w:r>
    </w:p>
    <w:p>
      <w:pPr>
        <w:pStyle w:val="null3"/>
        <w:ind w:firstLine="840"/>
      </w:pPr>
      <w:r>
        <w:rPr/>
        <w:t>2.市场供给情况</w:t>
      </w:r>
    </w:p>
    <w:p>
      <w:pPr>
        <w:pStyle w:val="null3"/>
        <w:ind w:firstLine="840"/>
      </w:pPr>
      <w:r>
        <w:rPr/>
        <w:t>3.同类采购项目历史成交信息情况</w:t>
      </w:r>
    </w:p>
    <w:p>
      <w:pPr>
        <w:pStyle w:val="null3"/>
        <w:ind w:firstLine="840"/>
      </w:pPr>
      <w:r>
        <w:rPr/>
        <w:t>4.可能涉及的运行维护、升级更新、备品备件、耗材等后续采购情况</w:t>
      </w:r>
    </w:p>
    <w:p>
      <w:pPr>
        <w:pStyle w:val="null3"/>
        <w:ind w:firstLine="840"/>
      </w:pPr>
      <w:r>
        <w:rPr/>
        <w:t>5.其他相关情况</w:t>
      </w:r>
    </w:p>
    <w:p>
      <w:pPr>
        <w:pStyle w:val="null3"/>
        <w:ind w:firstLine="840"/>
        <w:outlineLvl w:val="2"/>
      </w:pPr>
      <w:r>
        <w:rPr>
          <w:sz w:val="28"/>
          <w:b/>
        </w:rPr>
        <w:t>三、项目采购实施计划</w:t>
      </w:r>
    </w:p>
    <w:p>
      <w:pPr>
        <w:pStyle w:val="null3"/>
      </w:pPr>
      <w:r>
        <w:rPr/>
        <w:t>（一）采购组织形式：</w:t>
      </w:r>
      <w:r>
        <w:rPr/>
        <w:t>部门集中采购</w:t>
      </w:r>
    </w:p>
    <w:p>
      <w:pPr>
        <w:pStyle w:val="null3"/>
      </w:pPr>
      <w:r>
        <w:rPr/>
        <w:t>（二）采购方式：</w:t>
      </w:r>
      <w:r>
        <w:rPr/>
        <w:t>竞争性磋商</w:t>
      </w:r>
    </w:p>
    <w:p>
      <w:pPr>
        <w:pStyle w:val="null3"/>
      </w:pPr>
      <w:r>
        <w:rPr/>
        <w:t>（三）本项目是否单位自行组织采购：</w:t>
      </w:r>
      <w:r>
        <w:rPr/>
        <w:t>否</w:t>
      </w:r>
    </w:p>
    <w:p>
      <w:pPr>
        <w:pStyle w:val="null3"/>
      </w:pPr>
      <w:r>
        <w:rPr/>
        <w:t>（四）采购包划分：</w:t>
      </w:r>
      <w:r>
        <w:rPr/>
        <w:t>不分包采购</w:t>
      </w:r>
    </w:p>
    <w:p>
      <w:pPr>
        <w:pStyle w:val="null3"/>
      </w:pPr>
      <w:r>
        <w:rPr/>
        <w:t>（五）执行政府采购促进中小企业发展的相关政策</w:t>
      </w:r>
    </w:p>
    <w:p>
      <w:pPr>
        <w:pStyle w:val="null3"/>
      </w:pPr>
      <w:r>
        <w:rPr>
          <w:color w:val="000000"/>
        </w:rPr>
        <w:t>1.</w:t>
      </w:r>
      <w:r>
        <w:rPr/>
        <w:t>专门面向中小企业采购</w:t>
      </w:r>
    </w:p>
    <w:p>
      <w:pPr>
        <w:pStyle w:val="null3"/>
        <w:ind w:firstLine="840"/>
      </w:pPr>
      <w:r>
        <w:rPr>
          <w:i/>
        </w:rPr>
        <w:t>注：监狱企业和残疾人福利单位视同小微企业。</w:t>
      </w:r>
    </w:p>
    <w:p>
      <w:pPr>
        <w:pStyle w:val="null3"/>
      </w:pPr>
      <w:r>
        <w:rPr/>
        <w:t>（六）是否采购环境标识产品：</w:t>
      </w:r>
      <w:r>
        <w:rPr/>
        <w:t>否</w:t>
      </w:r>
    </w:p>
    <w:p>
      <w:pPr>
        <w:pStyle w:val="null3"/>
      </w:pPr>
      <w:r>
        <w:rPr/>
        <w:t>（七）是否采购节能产品：</w:t>
      </w:r>
      <w:r>
        <w:rPr/>
        <w:t>否</w:t>
      </w:r>
    </w:p>
    <w:p>
      <w:pPr>
        <w:pStyle w:val="null3"/>
      </w:pPr>
      <w:r>
        <w:rPr/>
        <w:t>（八）项目的采购标的是否包含进口产品：</w:t>
      </w:r>
      <w:r>
        <w:rPr/>
        <w:t>否</w:t>
      </w:r>
    </w:p>
    <w:p>
      <w:pPr>
        <w:pStyle w:val="null3"/>
      </w:pPr>
      <w:r>
        <w:rPr/>
        <w:t>（九）采购标的是否属于政府购买服务：</w:t>
      </w:r>
      <w:r>
        <w:rPr/>
        <w:t>否</w:t>
      </w:r>
    </w:p>
    <w:p>
      <w:pPr>
        <w:pStyle w:val="null3"/>
      </w:pPr>
      <w:r>
        <w:rPr/>
        <w:t>（十）是否属于政务信息系统项目：</w:t>
      </w:r>
      <w:r>
        <w:rPr/>
        <w:t>否</w:t>
      </w:r>
    </w:p>
    <w:p>
      <w:pPr>
        <w:pStyle w:val="null3"/>
      </w:pPr>
      <w:r>
        <w:rPr/>
        <w:t>（十一）是否属于高校、科研院所的科研仪器设备采购：</w:t>
      </w:r>
      <w:r>
        <w:rPr/>
        <w:t>否</w:t>
      </w:r>
    </w:p>
    <w:p>
      <w:pPr>
        <w:pStyle w:val="null3"/>
      </w:pPr>
      <w:r>
        <w:rPr/>
        <w:t>（十二）是否属于一签多年项目：</w:t>
      </w:r>
      <w:r>
        <w:rPr/>
        <w:t>否</w:t>
      </w:r>
    </w:p>
    <w:p>
      <w:pPr>
        <w:pStyle w:val="null3"/>
        <w:ind w:firstLine="1275"/>
        <w:outlineLvl w:val="2"/>
      </w:pPr>
      <w:r>
        <w:rPr>
          <w:sz w:val="28"/>
          <w:b/>
        </w:rPr>
        <w:t>四、项目需求及分包情况、采购标的</w:t>
      </w:r>
    </w:p>
    <w:p>
      <w:pPr>
        <w:pStyle w:val="null3"/>
        <w:outlineLvl w:val="4"/>
      </w:pPr>
      <w:r>
        <w:rPr>
          <w:sz w:val="20"/>
          <w:b/>
        </w:rPr>
        <w:t>（</w:t>
      </w:r>
      <w:r>
        <w:rPr>
          <w:sz w:val="20"/>
          <w:b/>
        </w:rPr>
        <w:t>一</w:t>
      </w:r>
      <w:r>
        <w:rPr>
          <w:sz w:val="20"/>
          <w:b/>
        </w:rPr>
        <w:t>）分包名称：</w:t>
      </w:r>
      <w:r>
        <w:rPr>
          <w:sz w:val="20"/>
          <w:b/>
        </w:rPr>
        <w:t>沙坡小学教学楼改造项目</w:t>
      </w:r>
    </w:p>
    <w:p>
      <w:pPr>
        <w:pStyle w:val="null3"/>
      </w:pPr>
      <w:r>
        <w:rPr/>
        <w:t>1、执行政府采购促进中小企业发展的相关政策</w:t>
      </w:r>
    </w:p>
    <w:p>
      <w:pPr>
        <w:pStyle w:val="null3"/>
      </w:pPr>
      <w:r>
        <w:rPr>
          <w:color w:val="000000"/>
        </w:rPr>
        <w:t>1)</w:t>
      </w:r>
      <w:r>
        <w:rPr/>
        <w:t>专门面向中小企业采购</w:t>
      </w:r>
    </w:p>
    <w:p>
      <w:pPr>
        <w:pStyle w:val="null3"/>
        <w:ind w:firstLine="840"/>
      </w:pPr>
      <w:r>
        <w:rPr>
          <w:color w:val="000000"/>
        </w:rPr>
        <w:t>2)面向的企业规模：</w:t>
      </w:r>
      <w:r>
        <w:rPr/>
        <w:t>中小企业</w:t>
      </w:r>
    </w:p>
    <w:p>
      <w:pPr>
        <w:pStyle w:val="null3"/>
        <w:ind w:firstLine="840"/>
      </w:pPr>
      <w:r>
        <w:rPr>
          <w:color w:val="000000"/>
        </w:rPr>
        <w:t>3)预留形式：</w:t>
      </w:r>
      <w:r>
        <w:rPr/>
        <w:t>设置专门采购包</w:t>
      </w:r>
    </w:p>
    <w:p>
      <w:pPr>
        <w:pStyle w:val="null3"/>
        <w:ind w:firstLine="840"/>
      </w:pPr>
      <w:r>
        <w:rPr>
          <w:color w:val="000000"/>
        </w:rPr>
        <w:t>4)预留比例：</w:t>
      </w:r>
      <w:r>
        <w:rPr/>
        <w:t>100%</w:t>
      </w:r>
    </w:p>
    <w:p>
      <w:pPr>
        <w:pStyle w:val="null3"/>
      </w:pPr>
      <w:r>
        <w:rPr/>
        <w:t>2、预算金额（元）：</w:t>
      </w:r>
      <w:r>
        <w:rPr/>
        <w:t>1,100,100.00</w:t>
      </w:r>
      <w:r>
        <w:rPr/>
        <w:t xml:space="preserve"> ，大写（人民币）： </w:t>
      </w:r>
      <w:r>
        <w:rPr/>
        <w:t>壹佰壹拾万零壹佰元整</w:t>
      </w:r>
    </w:p>
    <w:p>
      <w:pPr>
        <w:pStyle w:val="null3"/>
        <w:ind w:firstLine="780"/>
      </w:pPr>
      <w:r>
        <w:rPr/>
        <w:t xml:space="preserve"> 最高限价（元）： </w:t>
      </w:r>
      <w:r>
        <w:rPr/>
        <w:t>1,044,628.72</w:t>
      </w:r>
      <w:r>
        <w:rPr/>
        <w:t xml:space="preserve"> ，大写（人民币）： </w:t>
      </w:r>
      <w:r>
        <w:rPr/>
        <w:t>壹佰零肆万肆仟陆佰贰拾捌元柒角贰分</w:t>
      </w:r>
    </w:p>
    <w:p>
      <w:pPr>
        <w:pStyle w:val="null3"/>
      </w:pPr>
      <w:r>
        <w:rPr/>
        <w:t>3、评审方法：</w:t>
      </w:r>
      <w:r>
        <w:rPr/>
        <w:t>综合评分法</w:t>
      </w:r>
    </w:p>
    <w:p>
      <w:pPr>
        <w:pStyle w:val="null3"/>
      </w:pPr>
      <w:r>
        <w:rPr/>
        <w:t>4、是否支持联合体投标：</w:t>
      </w:r>
      <w:r>
        <w:rPr/>
        <w:t>否</w:t>
      </w:r>
    </w:p>
    <w:p>
      <w:pPr>
        <w:pStyle w:val="null3"/>
      </w:pPr>
      <w:r>
        <w:rPr/>
        <w:t>5、是否允许合同分包选项：</w:t>
      </w:r>
      <w:r>
        <w:rPr/>
        <w:t>否</w:t>
      </w:r>
    </w:p>
    <w:p>
      <w:pPr>
        <w:pStyle w:val="null3"/>
      </w:pPr>
      <w:r>
        <w:rPr/>
        <w:t>6、拟采购标的的技术要求</w:t>
      </w:r>
    </w:p>
    <w:tbl>
      <w:tblPr>
        <w:tblW w:w="0" w:type="auto"/>
        <w:tblBorders>
          <w:top w:val="single"/>
          <w:left w:val="single"/>
          <w:bottom w:val="single"/>
          <w:right w:val="single"/>
          <w:insideH w:val="single"/>
          <w:insideV w:val="single"/>
        </w:tblBorders>
      </w:tblPr>
      <w:tblGrid>
        <w:gridCol w:w="997"/>
        <w:gridCol w:w="1993"/>
        <w:gridCol w:w="1661"/>
        <w:gridCol w:w="1993"/>
        <w:gridCol w:w="1661"/>
      </w:tblGrid>
      <w:tr>
        <w:tc>
          <w:tcPr>
            <w:tcW w:type="dxa" w:w="997"/>
            <w:vMerge w:val="restart"/>
          </w:tcPr>
          <w:p>
            <w:pPr>
              <w:pStyle w:val="null3"/>
            </w:pPr>
            <w:r>
              <w:rPr/>
              <w:t>1</w:t>
            </w:r>
          </w:p>
        </w:tc>
        <w:tc>
          <w:tcPr>
            <w:tcW w:type="dxa" w:w="1993"/>
          </w:tcPr>
          <w:p>
            <w:pPr>
              <w:pStyle w:val="null3"/>
              <w:jc w:val="center"/>
            </w:pPr>
            <w:r>
              <w:rPr>
                <w:b/>
                <w:color w:val="000000"/>
              </w:rPr>
              <w:t>采购品目</w:t>
            </w:r>
          </w:p>
        </w:tc>
        <w:tc>
          <w:tcPr>
            <w:tcW w:type="dxa" w:w="1661"/>
          </w:tcPr>
          <w:p>
            <w:pPr>
              <w:pStyle w:val="null3"/>
            </w:pPr>
            <w:r>
              <w:rPr/>
              <w:t>其他建筑工程</w:t>
            </w:r>
          </w:p>
        </w:tc>
        <w:tc>
          <w:tcPr>
            <w:tcW w:type="dxa" w:w="1993"/>
          </w:tcPr>
          <w:p>
            <w:pPr>
              <w:pStyle w:val="null3"/>
              <w:jc w:val="center"/>
            </w:pPr>
            <w:r>
              <w:rPr>
                <w:b/>
                <w:color w:val="000000"/>
              </w:rPr>
              <w:t>标的名称</w:t>
            </w:r>
          </w:p>
        </w:tc>
        <w:tc>
          <w:tcPr>
            <w:tcW w:type="dxa" w:w="1661"/>
          </w:tcPr>
          <w:p>
            <w:pPr>
              <w:pStyle w:val="null3"/>
            </w:pPr>
            <w:r>
              <w:rPr/>
              <w:t>教学楼改造</w:t>
            </w:r>
          </w:p>
        </w:tc>
      </w:tr>
      <w:tr>
        <w:tc>
          <w:tcPr>
            <w:tcW w:type="dxa" w:w="997"/>
            <w:vMerge/>
          </w:tcPr>
          <w:p/>
        </w:tc>
        <w:tc>
          <w:tcPr>
            <w:tcW w:type="dxa" w:w="1993"/>
          </w:tcPr>
          <w:p>
            <w:pPr>
              <w:pStyle w:val="null3"/>
              <w:jc w:val="center"/>
            </w:pPr>
            <w:r>
              <w:rPr>
                <w:b/>
                <w:color w:val="000000"/>
              </w:rPr>
              <w:t>数量</w:t>
            </w:r>
          </w:p>
        </w:tc>
        <w:tc>
          <w:tcPr>
            <w:tcW w:type="dxa" w:w="1661"/>
          </w:tcPr>
          <w:p>
            <w:pPr>
              <w:pStyle w:val="null3"/>
              <w:jc w:val="right"/>
            </w:pPr>
            <w:r>
              <w:rPr/>
              <w:t>1.00</w:t>
            </w:r>
          </w:p>
        </w:tc>
        <w:tc>
          <w:tcPr>
            <w:tcW w:type="dxa" w:w="1993"/>
          </w:tcPr>
          <w:p>
            <w:pPr>
              <w:pStyle w:val="null3"/>
              <w:jc w:val="center"/>
            </w:pPr>
            <w:r>
              <w:rPr>
                <w:b/>
                <w:color w:val="000000"/>
              </w:rPr>
              <w:t>单位</w:t>
            </w:r>
          </w:p>
        </w:tc>
        <w:tc>
          <w:tcPr>
            <w:tcW w:type="dxa" w:w="1661"/>
          </w:tcPr>
          <w:p>
            <w:pPr>
              <w:pStyle w:val="null3"/>
            </w:pPr>
            <w:r>
              <w:rPr/>
              <w:t>批</w:t>
            </w:r>
          </w:p>
        </w:tc>
      </w:tr>
      <w:tr>
        <w:tc>
          <w:tcPr>
            <w:tcW w:type="dxa" w:w="997"/>
            <w:vMerge/>
          </w:tcPr>
          <w:p/>
        </w:tc>
        <w:tc>
          <w:tcPr>
            <w:tcW w:type="dxa" w:w="1993"/>
          </w:tcPr>
          <w:p>
            <w:pPr>
              <w:pStyle w:val="null3"/>
              <w:jc w:val="center"/>
            </w:pPr>
            <w:r>
              <w:rPr>
                <w:b/>
                <w:color w:val="000000"/>
              </w:rPr>
              <w:t>合计金额（元）</w:t>
            </w:r>
          </w:p>
        </w:tc>
        <w:tc>
          <w:tcPr>
            <w:tcW w:type="dxa" w:w="1661"/>
          </w:tcPr>
          <w:p>
            <w:pPr>
              <w:pStyle w:val="null3"/>
              <w:jc w:val="right"/>
            </w:pPr>
            <w:r>
              <w:rPr/>
              <w:t>1,100,100.00</w:t>
            </w:r>
          </w:p>
        </w:tc>
        <w:tc>
          <w:tcPr>
            <w:tcW w:type="dxa" w:w="1993"/>
          </w:tcPr>
          <w:p>
            <w:pPr>
              <w:pStyle w:val="null3"/>
              <w:jc w:val="center"/>
            </w:pPr>
            <w:r>
              <w:rPr>
                <w:b/>
                <w:color w:val="000000"/>
              </w:rPr>
              <w:t>单价（元）</w:t>
            </w:r>
          </w:p>
        </w:tc>
        <w:tc>
          <w:tcPr>
            <w:tcW w:type="dxa" w:w="1661"/>
          </w:tcPr>
          <w:p>
            <w:pPr>
              <w:pStyle w:val="null3"/>
              <w:jc w:val="right"/>
            </w:pPr>
            <w:r>
              <w:rPr/>
              <w:t>1,100,100.00</w:t>
            </w:r>
          </w:p>
        </w:tc>
      </w:tr>
      <w:tr>
        <w:tc>
          <w:tcPr>
            <w:tcW w:type="dxa" w:w="997"/>
            <w:vMerge/>
          </w:tcPr>
          <w:p/>
        </w:tc>
        <w:tc>
          <w:tcPr>
            <w:tcW w:type="dxa" w:w="1993"/>
          </w:tcPr>
          <w:p>
            <w:pPr>
              <w:pStyle w:val="null3"/>
              <w:jc w:val="center"/>
            </w:pPr>
            <w:r>
              <w:rPr>
                <w:b/>
                <w:color w:val="000000"/>
              </w:rPr>
              <w:t>是否采购节能产品</w:t>
            </w:r>
          </w:p>
        </w:tc>
        <w:tc>
          <w:tcPr>
            <w:tcW w:type="dxa" w:w="1661"/>
          </w:tcPr>
          <w:p>
            <w:pPr>
              <w:pStyle w:val="null3"/>
            </w:pPr>
            <w:r>
              <w:rPr/>
              <w:t>否</w:t>
            </w:r>
          </w:p>
        </w:tc>
        <w:tc>
          <w:tcPr>
            <w:tcW w:type="dxa" w:w="1993"/>
          </w:tcPr>
          <w:p>
            <w:pPr>
              <w:pStyle w:val="null3"/>
              <w:jc w:val="center"/>
            </w:pPr>
            <w:r>
              <w:rPr>
                <w:b/>
                <w:color w:val="000000"/>
              </w:rPr>
              <w:t>未采购节能产品原因</w:t>
            </w:r>
          </w:p>
        </w:tc>
        <w:tc>
          <w:tcPr>
            <w:tcW w:type="dxa" w:w="1661"/>
          </w:tcPr>
          <w:p>
            <w:pPr>
              <w:pStyle w:val="null3"/>
            </w:pPr>
            <w:r>
              <w:rPr/>
              <w:t>无</w:t>
            </w:r>
          </w:p>
        </w:tc>
      </w:tr>
      <w:tr>
        <w:tc>
          <w:tcPr>
            <w:tcW w:type="dxa" w:w="997"/>
            <w:vMerge/>
          </w:tcPr>
          <w:p/>
        </w:tc>
        <w:tc>
          <w:tcPr>
            <w:tcW w:type="dxa" w:w="1993"/>
          </w:tcPr>
          <w:p>
            <w:pPr>
              <w:pStyle w:val="null3"/>
              <w:jc w:val="center"/>
            </w:pPr>
            <w:r>
              <w:rPr>
                <w:b/>
                <w:color w:val="000000"/>
              </w:rPr>
              <w:t>是否采购环保产品</w:t>
            </w:r>
          </w:p>
        </w:tc>
        <w:tc>
          <w:tcPr>
            <w:tcW w:type="dxa" w:w="1661"/>
          </w:tcPr>
          <w:p>
            <w:pPr>
              <w:pStyle w:val="null3"/>
            </w:pPr>
            <w:r>
              <w:rPr/>
              <w:t>否</w:t>
            </w:r>
          </w:p>
        </w:tc>
        <w:tc>
          <w:tcPr>
            <w:tcW w:type="dxa" w:w="1993"/>
          </w:tcPr>
          <w:p>
            <w:pPr>
              <w:pStyle w:val="null3"/>
              <w:jc w:val="center"/>
            </w:pPr>
            <w:r>
              <w:rPr>
                <w:b/>
                <w:color w:val="000000"/>
              </w:rPr>
              <w:t>未采购环保产品原因</w:t>
            </w:r>
          </w:p>
        </w:tc>
        <w:tc>
          <w:tcPr>
            <w:tcW w:type="dxa" w:w="1661"/>
          </w:tcPr>
          <w:p>
            <w:pPr>
              <w:pStyle w:val="null3"/>
            </w:pPr>
            <w:r>
              <w:rPr/>
              <w:t>无</w:t>
            </w:r>
          </w:p>
        </w:tc>
      </w:tr>
      <w:tr>
        <w:tc>
          <w:tcPr>
            <w:tcW w:type="dxa" w:w="997"/>
            <w:vMerge/>
          </w:tcPr>
          <w:p/>
        </w:tc>
        <w:tc>
          <w:tcPr>
            <w:tcW w:type="dxa" w:w="1993"/>
          </w:tcPr>
          <w:p>
            <w:pPr>
              <w:pStyle w:val="null3"/>
              <w:jc w:val="center"/>
            </w:pPr>
            <w:r>
              <w:rPr>
                <w:b/>
                <w:color w:val="000000"/>
              </w:rPr>
              <w:t>是否采购进口产品</w:t>
            </w:r>
          </w:p>
        </w:tc>
        <w:tc>
          <w:tcPr>
            <w:tcW w:type="dxa" w:w="1661"/>
          </w:tcPr>
          <w:p>
            <w:pPr>
              <w:pStyle w:val="null3"/>
            </w:pPr>
            <w:r>
              <w:rPr/>
              <w:t>否</w:t>
            </w:r>
          </w:p>
        </w:tc>
        <w:tc>
          <w:tcPr>
            <w:tcW w:type="dxa" w:w="1993"/>
          </w:tcPr>
          <w:p>
            <w:pPr>
              <w:pStyle w:val="null3"/>
              <w:jc w:val="center"/>
            </w:pPr>
            <w:r>
              <w:rPr>
                <w:b/>
                <w:color w:val="000000"/>
              </w:rPr>
              <w:t>标的物所属行业</w:t>
            </w:r>
          </w:p>
        </w:tc>
        <w:tc>
          <w:tcPr>
            <w:tcW w:type="dxa" w:w="1661"/>
          </w:tcPr>
          <w:p>
            <w:pPr>
              <w:pStyle w:val="null3"/>
            </w:pPr>
            <w:r>
              <w:rPr/>
              <w:t>建筑业</w:t>
            </w:r>
          </w:p>
        </w:tc>
      </w:tr>
    </w:tbl>
    <w:p>
      <w:pPr>
        <w:pStyle w:val="null3"/>
      </w:pPr>
      <w:r>
        <w:rPr/>
        <w:t>标的名称：教学楼改造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55" w:after="105"/>
              <w:ind w:left="330"/>
              <w:jc w:val="center"/>
            </w:pPr>
            <w:r>
              <w:rPr>
                <w:rFonts w:ascii="宋体" w:hAnsi="宋体" w:cs="宋体" w:eastAsia="宋体"/>
                <w:sz w:val="36"/>
                <w:b/>
              </w:rPr>
              <w:t>采购需求</w:t>
            </w:r>
          </w:p>
          <w:p>
            <w:pPr>
              <w:pStyle w:val="null3"/>
              <w:spacing w:before="210" w:after="90"/>
              <w:ind w:left="270"/>
              <w:jc w:val="both"/>
            </w:pPr>
            <w:r>
              <w:rPr>
                <w:rFonts w:ascii="宋体" w:hAnsi="宋体" w:cs="宋体" w:eastAsia="宋体"/>
                <w:sz w:val="24"/>
                <w:b/>
                <w:shd w:fill="FFFFFF" w:val="clear"/>
              </w:rPr>
              <w:t>一、项目概况</w:t>
            </w:r>
          </w:p>
          <w:p>
            <w:pPr>
              <w:pStyle w:val="null3"/>
              <w:spacing w:before="90" w:after="90"/>
              <w:ind w:right="-60" w:firstLine="420"/>
              <w:jc w:val="left"/>
            </w:pPr>
            <w:r>
              <w:rPr>
                <w:rFonts w:ascii="宋体" w:hAnsi="宋体" w:cs="宋体" w:eastAsia="宋体"/>
                <w:sz w:val="24"/>
                <w:shd w:fill="FFFFFF" w:val="clear"/>
              </w:rPr>
              <w:t>本项目为西安市碑林区</w:t>
            </w:r>
            <w:r>
              <w:rPr>
                <w:rFonts w:ascii="宋体" w:hAnsi="宋体" w:cs="宋体" w:eastAsia="宋体"/>
                <w:sz w:val="24"/>
                <w:shd w:fill="FFFFFF" w:val="clear"/>
              </w:rPr>
              <w:t>沙坡小学教学楼改造工程</w:t>
            </w:r>
          </w:p>
          <w:p>
            <w:pPr>
              <w:pStyle w:val="null3"/>
              <w:spacing w:before="90" w:after="90"/>
              <w:ind w:right="-60" w:firstLine="420"/>
              <w:jc w:val="left"/>
            </w:pPr>
            <w:r>
              <w:rPr>
                <w:rFonts w:ascii="宋体" w:hAnsi="宋体" w:cs="宋体" w:eastAsia="宋体"/>
                <w:sz w:val="24"/>
                <w:shd w:fill="FFFFFF" w:val="clear"/>
              </w:rPr>
              <w:t>本项目所属行业（建筑业）。划型标准为：营业收入</w:t>
            </w:r>
            <w:r>
              <w:rPr>
                <w:rFonts w:ascii="宋体" w:hAnsi="宋体" w:cs="宋体" w:eastAsia="宋体"/>
                <w:sz w:val="24"/>
                <w:shd w:fill="FFFFFF" w:val="clear"/>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spacing w:before="210" w:after="90"/>
              <w:ind w:left="270"/>
              <w:jc w:val="both"/>
            </w:pPr>
            <w:r>
              <w:rPr>
                <w:rFonts w:ascii="宋体" w:hAnsi="宋体" w:cs="宋体" w:eastAsia="宋体"/>
                <w:sz w:val="24"/>
                <w:b/>
                <w:shd w:fill="FFFFFF" w:val="clear"/>
              </w:rPr>
              <w:t>二、工程内容和施工地点、计划工期</w:t>
            </w:r>
          </w:p>
          <w:p>
            <w:pPr>
              <w:pStyle w:val="null3"/>
              <w:spacing w:before="90" w:after="90"/>
              <w:ind w:firstLine="420"/>
              <w:jc w:val="both"/>
            </w:pPr>
            <w:r>
              <w:rPr>
                <w:rFonts w:ascii="宋体" w:hAnsi="宋体" w:cs="宋体" w:eastAsia="宋体"/>
                <w:sz w:val="24"/>
                <w:shd w:fill="FFFFFF" w:val="clear"/>
              </w:rPr>
              <w:t>（一）工程内容：</w:t>
            </w:r>
            <w:r>
              <w:rPr>
                <w:rFonts w:ascii="宋体" w:hAnsi="宋体" w:cs="宋体" w:eastAsia="宋体"/>
                <w:sz w:val="24"/>
                <w:shd w:fill="FFFFFF" w:val="clear"/>
              </w:rPr>
              <w:t>教学楼维修改造及消防改造</w:t>
            </w:r>
          </w:p>
          <w:p>
            <w:pPr>
              <w:pStyle w:val="null3"/>
              <w:spacing w:before="90" w:after="90"/>
              <w:ind w:firstLine="420"/>
              <w:jc w:val="both"/>
            </w:pPr>
            <w:r>
              <w:rPr>
                <w:rFonts w:ascii="宋体" w:hAnsi="宋体" w:cs="宋体" w:eastAsia="宋体"/>
                <w:sz w:val="24"/>
                <w:shd w:fill="FFFFFF" w:val="clear"/>
              </w:rPr>
              <w:t>（二）工程地点：西安市</w:t>
            </w:r>
            <w:r>
              <w:rPr>
                <w:rFonts w:ascii="宋体" w:hAnsi="宋体" w:cs="宋体" w:eastAsia="宋体"/>
                <w:sz w:val="24"/>
                <w:shd w:fill="FFFFFF" w:val="clear"/>
              </w:rPr>
              <w:t>碑林区</w:t>
            </w:r>
            <w:r>
              <w:rPr>
                <w:rFonts w:ascii="宋体" w:hAnsi="宋体" w:cs="宋体" w:eastAsia="宋体"/>
                <w:sz w:val="24"/>
                <w:shd w:fill="FFFFFF" w:val="clear"/>
              </w:rPr>
              <w:t>沙坡小学</w:t>
            </w:r>
          </w:p>
          <w:p>
            <w:pPr>
              <w:pStyle w:val="null3"/>
              <w:spacing w:before="90" w:after="90"/>
              <w:ind w:firstLine="420"/>
              <w:jc w:val="both"/>
            </w:pPr>
            <w:r>
              <w:rPr>
                <w:rFonts w:ascii="宋体" w:hAnsi="宋体" w:cs="宋体" w:eastAsia="宋体"/>
                <w:sz w:val="24"/>
                <w:shd w:fill="FFFFFF" w:val="clear"/>
              </w:rPr>
              <w:t>（三）计划工期：自进场之日起</w:t>
            </w:r>
            <w:r>
              <w:rPr>
                <w:rFonts w:ascii="宋体" w:hAnsi="宋体" w:cs="宋体" w:eastAsia="宋体"/>
                <w:sz w:val="24"/>
                <w:shd w:fill="FFFFFF" w:val="clear"/>
              </w:rPr>
              <w:t>20</w:t>
            </w:r>
            <w:r>
              <w:rPr>
                <w:rFonts w:ascii="宋体" w:hAnsi="宋体" w:cs="宋体" w:eastAsia="宋体"/>
                <w:sz w:val="24"/>
                <w:shd w:fill="FFFFFF" w:val="clear"/>
              </w:rPr>
              <w:t>个日历日内竣工。</w:t>
            </w:r>
          </w:p>
          <w:p>
            <w:pPr>
              <w:pStyle w:val="null3"/>
              <w:spacing w:before="90" w:after="90"/>
              <w:ind w:firstLine="420"/>
              <w:jc w:val="both"/>
            </w:pPr>
            <w:r>
              <w:rPr>
                <w:rFonts w:ascii="宋体" w:hAnsi="宋体" w:cs="宋体" w:eastAsia="宋体"/>
                <w:sz w:val="24"/>
                <w:shd w:fill="FFFFFF" w:val="clear"/>
              </w:rPr>
              <w:t>（四）缺陷责任期：本工程缺陷责任期为</w:t>
            </w:r>
            <w:r>
              <w:rPr>
                <w:rFonts w:ascii="宋体" w:hAnsi="宋体" w:cs="宋体" w:eastAsia="宋体"/>
                <w:sz w:val="24"/>
                <w:shd w:fill="FFFFFF" w:val="clear"/>
              </w:rPr>
              <w:t>24个月，缺陷责任期自工程竣工验收合格之日起计算。</w:t>
            </w:r>
          </w:p>
          <w:p>
            <w:pPr>
              <w:pStyle w:val="null3"/>
              <w:spacing w:before="90" w:after="90"/>
              <w:ind w:firstLine="420"/>
              <w:jc w:val="both"/>
            </w:pPr>
            <w:r>
              <w:rPr>
                <w:rFonts w:ascii="宋体" w:hAnsi="宋体" w:cs="宋体" w:eastAsia="宋体"/>
                <w:sz w:val="24"/>
                <w:shd w:fill="FFFFFF" w:val="clear"/>
              </w:rPr>
              <w:t>（五）质量保修期：按照国家民用建筑相关规定执行。</w:t>
            </w:r>
          </w:p>
          <w:p>
            <w:pPr>
              <w:pStyle w:val="null3"/>
              <w:spacing w:before="90" w:after="90"/>
              <w:ind w:firstLine="420"/>
              <w:jc w:val="both"/>
            </w:pPr>
            <w:r>
              <w:rPr>
                <w:rFonts w:ascii="宋体" w:hAnsi="宋体" w:cs="宋体" w:eastAsia="宋体"/>
                <w:sz w:val="24"/>
                <w:shd w:fill="FFFFFF" w:val="clear"/>
              </w:rPr>
              <w:t>（六）质量要求：合格</w:t>
            </w:r>
          </w:p>
          <w:p>
            <w:pPr>
              <w:pStyle w:val="null3"/>
              <w:spacing w:before="210" w:after="90"/>
              <w:ind w:left="270"/>
              <w:jc w:val="both"/>
            </w:pPr>
            <w:r>
              <w:rPr>
                <w:rFonts w:ascii="宋体" w:hAnsi="宋体" w:cs="宋体" w:eastAsia="宋体"/>
                <w:sz w:val="24"/>
                <w:b/>
                <w:shd w:fill="FFFFFF" w:val="clear"/>
              </w:rPr>
              <w:t>三、工程量清单和计价依据</w:t>
            </w:r>
          </w:p>
          <w:p>
            <w:pPr>
              <w:pStyle w:val="null3"/>
              <w:spacing w:before="90" w:after="90"/>
              <w:jc w:val="both"/>
            </w:pPr>
            <w:r>
              <w:rPr>
                <w:rFonts w:ascii="宋体" w:hAnsi="宋体" w:cs="宋体" w:eastAsia="宋体"/>
                <w:sz w:val="24"/>
                <w:shd w:fill="FFFFFF" w:val="clear"/>
              </w:rPr>
              <w:t>（一）计价依据：</w:t>
            </w:r>
          </w:p>
          <w:p>
            <w:pPr>
              <w:pStyle w:val="null3"/>
              <w:spacing w:before="90" w:after="90"/>
              <w:jc w:val="both"/>
            </w:pPr>
            <w:r>
              <w:rPr>
                <w:rFonts w:ascii="宋体" w:hAnsi="宋体" w:cs="宋体" w:eastAsia="宋体"/>
                <w:sz w:val="24"/>
                <w:shd w:fill="FFFFFF" w:val="clear"/>
              </w:rPr>
              <w:t>1.工程量依据设计图纸计算；</w:t>
            </w:r>
          </w:p>
          <w:p>
            <w:pPr>
              <w:pStyle w:val="null3"/>
              <w:spacing w:before="90" w:after="90"/>
              <w:jc w:val="both"/>
            </w:pPr>
            <w:r>
              <w:rPr>
                <w:rFonts w:ascii="宋体" w:hAnsi="宋体" w:cs="宋体" w:eastAsia="宋体"/>
                <w:sz w:val="24"/>
                <w:shd w:fill="FFFFFF" w:val="clear"/>
              </w:rPr>
              <w:t>2.工程量清单依据《陕西省建设工程工程量清单计价规则》(2009)及其他相关的计价依据和办法；</w:t>
            </w:r>
          </w:p>
          <w:p>
            <w:pPr>
              <w:pStyle w:val="null3"/>
              <w:spacing w:before="90" w:after="90"/>
              <w:jc w:val="both"/>
            </w:pPr>
            <w:r>
              <w:rPr>
                <w:rFonts w:ascii="宋体" w:hAnsi="宋体" w:cs="宋体" w:eastAsia="宋体"/>
                <w:sz w:val="24"/>
                <w:shd w:fill="FFFFFF" w:val="clear"/>
              </w:rPr>
              <w:t>3.建设工程扬尘治理专项措施费执行《关于增加建设工程扬尘治理专项措施费及综合人工单价调整的通知》（陕建发[2017]270号文）；</w:t>
            </w:r>
          </w:p>
          <w:p>
            <w:pPr>
              <w:pStyle w:val="null3"/>
              <w:spacing w:before="90" w:after="90"/>
              <w:jc w:val="both"/>
            </w:pPr>
            <w:r>
              <w:rPr>
                <w:rFonts w:ascii="宋体" w:hAnsi="宋体" w:cs="宋体" w:eastAsia="宋体"/>
                <w:sz w:val="24"/>
                <w:shd w:fill="FFFFFF" w:val="clear"/>
              </w:rPr>
              <w:t>4.《关于调整我省建设工程计价依据的通知》（陕建发[2019]45号文）；</w:t>
            </w:r>
          </w:p>
          <w:p>
            <w:pPr>
              <w:pStyle w:val="null3"/>
              <w:spacing w:before="90" w:after="90"/>
              <w:jc w:val="both"/>
            </w:pPr>
            <w:r>
              <w:rPr>
                <w:rFonts w:ascii="宋体" w:hAnsi="宋体" w:cs="宋体" w:eastAsia="宋体"/>
                <w:sz w:val="24"/>
                <w:shd w:fill="FFFFFF" w:val="clear"/>
              </w:rPr>
              <w:t>5.《关于发布我省落实建筑工人实名制管理计价依据的通知》(陕建发[2019]1246号文)；</w:t>
            </w:r>
          </w:p>
          <w:p>
            <w:pPr>
              <w:pStyle w:val="null3"/>
              <w:spacing w:before="90" w:after="90"/>
              <w:jc w:val="both"/>
            </w:pPr>
            <w:r>
              <w:rPr>
                <w:rFonts w:ascii="宋体" w:hAnsi="宋体" w:cs="宋体" w:eastAsia="宋体"/>
                <w:sz w:val="24"/>
                <w:shd w:fill="FFFFFF" w:val="clear"/>
              </w:rPr>
              <w:t>6.《关于建筑施工安全生产责任保险费用计价的通知》(陕建发[2020]1097号文)；</w:t>
            </w:r>
          </w:p>
          <w:p>
            <w:pPr>
              <w:pStyle w:val="null3"/>
              <w:spacing w:before="90" w:after="90"/>
              <w:jc w:val="both"/>
            </w:pPr>
            <w:r>
              <w:rPr>
                <w:rFonts w:ascii="宋体" w:hAnsi="宋体" w:cs="宋体" w:eastAsia="宋体"/>
                <w:sz w:val="24"/>
                <w:shd w:fill="FFFFFF" w:val="clear"/>
              </w:rPr>
              <w:t>7.《关于全省统一停止收缴建筑业劳保费用的通知》(陕建发[2021]1021号文)；</w:t>
            </w:r>
          </w:p>
          <w:p>
            <w:pPr>
              <w:pStyle w:val="null3"/>
              <w:spacing w:before="90" w:after="90"/>
              <w:jc w:val="both"/>
            </w:pPr>
            <w:r>
              <w:rPr>
                <w:rFonts w:ascii="宋体" w:hAnsi="宋体" w:cs="宋体" w:eastAsia="宋体"/>
                <w:sz w:val="24"/>
                <w:shd w:fill="FFFFFF" w:val="clear"/>
              </w:rPr>
              <w:t>8.正常施工组织设计及施工方法；</w:t>
            </w:r>
          </w:p>
          <w:p>
            <w:pPr>
              <w:pStyle w:val="null3"/>
              <w:spacing w:before="90" w:after="90"/>
              <w:jc w:val="both"/>
            </w:pPr>
            <w:r>
              <w:rPr>
                <w:rFonts w:ascii="宋体" w:hAnsi="宋体" w:cs="宋体" w:eastAsia="宋体"/>
                <w:sz w:val="24"/>
                <w:shd w:fill="FFFFFF" w:val="clear"/>
              </w:rPr>
              <w:t>9.相关施工规范及验收规范；</w:t>
            </w:r>
          </w:p>
          <w:p>
            <w:pPr>
              <w:pStyle w:val="null3"/>
              <w:spacing w:before="90" w:after="90"/>
              <w:jc w:val="both"/>
            </w:pPr>
            <w:r>
              <w:rPr>
                <w:rFonts w:ascii="宋体" w:hAnsi="宋体" w:cs="宋体" w:eastAsia="宋体"/>
                <w:sz w:val="24"/>
                <w:shd w:fill="FFFFFF" w:val="clear"/>
              </w:rPr>
              <w:t>10.采用广联达云计价平台GCCP6.0编制，版本6.4100.23.120。</w:t>
            </w:r>
          </w:p>
          <w:p>
            <w:pPr>
              <w:pStyle w:val="null3"/>
              <w:spacing w:before="90" w:after="90"/>
              <w:jc w:val="both"/>
            </w:pPr>
            <w:r>
              <w:rPr>
                <w:rFonts w:ascii="宋体" w:hAnsi="宋体" w:cs="宋体" w:eastAsia="宋体"/>
                <w:sz w:val="24"/>
                <w:b/>
                <w:shd w:fill="FFFFFF" w:val="clear"/>
              </w:rPr>
              <w:t>（二）工程量清单：</w:t>
            </w:r>
          </w:p>
          <w:p>
            <w:pPr>
              <w:pStyle w:val="null3"/>
              <w:spacing w:before="90" w:after="90"/>
              <w:jc w:val="both"/>
            </w:pPr>
            <w:r>
              <w:rPr>
                <w:rFonts w:ascii="宋体" w:hAnsi="宋体" w:cs="宋体" w:eastAsia="宋体"/>
                <w:sz w:val="24"/>
                <w:shd w:fill="FFFFFF" w:val="clear"/>
              </w:rPr>
              <w:t>1.</w:t>
            </w:r>
            <w:r>
              <w:rPr>
                <w:rFonts w:ascii="宋体" w:hAnsi="宋体" w:cs="宋体" w:eastAsia="宋体"/>
                <w:sz w:val="24"/>
                <w:shd w:fill="FFFFFF" w:val="clear"/>
              </w:rPr>
              <w:t>工程量清单详见广联达电子文件招标书。</w:t>
            </w:r>
          </w:p>
          <w:p>
            <w:pPr>
              <w:pStyle w:val="null3"/>
              <w:spacing w:before="210" w:after="90"/>
              <w:ind w:left="270"/>
              <w:jc w:val="both"/>
            </w:pPr>
            <w:r>
              <w:rPr>
                <w:rFonts w:ascii="宋体" w:hAnsi="宋体" w:cs="宋体" w:eastAsia="宋体"/>
                <w:sz w:val="24"/>
                <w:shd w:fill="FFFFFF" w:val="clear"/>
              </w:rPr>
              <w:t>2</w:t>
            </w:r>
            <w:r>
              <w:rPr>
                <w:rFonts w:ascii="宋体" w:hAnsi="宋体" w:cs="宋体" w:eastAsia="宋体"/>
                <w:sz w:val="24"/>
                <w:shd w:fill="FFFFFF" w:val="clear"/>
              </w:rPr>
              <w:t>.楼梯间新建墙体厚度消防图纸与教学楼改造图纸冲突，按教学楼改造图纸200厚计入；</w:t>
            </w:r>
          </w:p>
          <w:p>
            <w:pPr>
              <w:pStyle w:val="null3"/>
              <w:spacing w:before="210" w:after="90"/>
              <w:ind w:left="270"/>
              <w:jc w:val="both"/>
            </w:pPr>
            <w:r>
              <w:rPr>
                <w:rFonts w:ascii="宋体" w:hAnsi="宋体" w:cs="宋体" w:eastAsia="宋体"/>
                <w:sz w:val="24"/>
                <w:shd w:fill="FFFFFF" w:val="clear"/>
              </w:rPr>
              <w:t>3</w:t>
            </w:r>
            <w:r>
              <w:rPr>
                <w:rFonts w:ascii="宋体" w:hAnsi="宋体" w:cs="宋体" w:eastAsia="宋体"/>
                <w:sz w:val="24"/>
                <w:shd w:fill="FFFFFF" w:val="clear"/>
              </w:rPr>
              <w:t>.楼梯间墙裙拆除及恢复高度均按110cm计算,楼道护栏处墙裙拆除及恢复高度均按141cm计算，走廊内侧墙面墙裙拆除及恢复高度均按100cm计算，护栏压顶刷防水宽度按0.5计算；</w:t>
            </w:r>
          </w:p>
          <w:p>
            <w:pPr>
              <w:pStyle w:val="null3"/>
              <w:spacing w:before="210" w:after="90"/>
              <w:ind w:left="270"/>
              <w:jc w:val="both"/>
            </w:pPr>
            <w:r>
              <w:rPr>
                <w:rFonts w:ascii="宋体" w:hAnsi="宋体" w:cs="宋体" w:eastAsia="宋体"/>
                <w:sz w:val="24"/>
                <w:shd w:fill="FFFFFF" w:val="clear"/>
              </w:rPr>
              <w:t>4</w:t>
            </w:r>
            <w:r>
              <w:rPr>
                <w:rFonts w:ascii="宋体" w:hAnsi="宋体" w:cs="宋体" w:eastAsia="宋体"/>
                <w:sz w:val="24"/>
                <w:shd w:fill="FFFFFF" w:val="clear"/>
              </w:rPr>
              <w:t>.70mm保温板块材质图纸未明确，暂按高密度XPS挤塑板块计入；</w:t>
            </w:r>
          </w:p>
          <w:p>
            <w:pPr>
              <w:pStyle w:val="null3"/>
              <w:spacing w:before="210" w:after="90"/>
              <w:ind w:left="270"/>
              <w:jc w:val="both"/>
            </w:pPr>
            <w:r>
              <w:rPr>
                <w:rFonts w:ascii="宋体" w:hAnsi="宋体" w:cs="宋体" w:eastAsia="宋体"/>
                <w:sz w:val="24"/>
                <w:shd w:fill="FFFFFF" w:val="clear"/>
              </w:rPr>
              <w:t>5</w:t>
            </w:r>
            <w:r>
              <w:rPr>
                <w:rFonts w:ascii="宋体" w:hAnsi="宋体" w:cs="宋体" w:eastAsia="宋体"/>
                <w:sz w:val="24"/>
                <w:shd w:fill="FFFFFF" w:val="clear"/>
              </w:rPr>
              <w:t>.墙面保温拆除及恢复工程量暂定50㎡，竣工结算时据实结算；</w:t>
            </w:r>
          </w:p>
          <w:p>
            <w:pPr>
              <w:pStyle w:val="null3"/>
              <w:spacing w:before="210" w:after="90"/>
              <w:ind w:left="270"/>
              <w:jc w:val="both"/>
            </w:pPr>
            <w:r>
              <w:rPr>
                <w:rFonts w:ascii="宋体" w:hAnsi="宋体" w:cs="宋体" w:eastAsia="宋体"/>
                <w:sz w:val="24"/>
                <w:shd w:fill="FFFFFF" w:val="clear"/>
              </w:rPr>
              <w:t>6</w:t>
            </w:r>
            <w:r>
              <w:rPr>
                <w:rFonts w:ascii="宋体" w:hAnsi="宋体" w:cs="宋体" w:eastAsia="宋体"/>
                <w:sz w:val="24"/>
                <w:shd w:fill="FFFFFF" w:val="clear"/>
              </w:rPr>
              <w:t>.修补破损墙面乳胶漆拆除及恢复工程量暂定500㎡，竣工结算时据实结算；</w:t>
            </w:r>
          </w:p>
          <w:p>
            <w:pPr>
              <w:pStyle w:val="null3"/>
              <w:spacing w:before="210" w:after="90"/>
              <w:ind w:left="270"/>
              <w:jc w:val="both"/>
            </w:pPr>
            <w:r>
              <w:rPr>
                <w:rFonts w:ascii="宋体" w:hAnsi="宋体" w:cs="宋体" w:eastAsia="宋体"/>
                <w:sz w:val="24"/>
                <w:shd w:fill="FFFFFF" w:val="clear"/>
              </w:rPr>
              <w:t>7</w:t>
            </w:r>
            <w:r>
              <w:rPr>
                <w:rFonts w:ascii="宋体" w:hAnsi="宋体" w:cs="宋体" w:eastAsia="宋体"/>
                <w:sz w:val="24"/>
                <w:shd w:fill="FFFFFF" w:val="clear"/>
              </w:rPr>
              <w:t>.本项目暂列金10000元在装饰装修工程中计入。</w:t>
            </w:r>
          </w:p>
          <w:p>
            <w:pPr>
              <w:pStyle w:val="null3"/>
              <w:spacing w:before="210" w:after="90"/>
              <w:ind w:left="270"/>
              <w:jc w:val="both"/>
            </w:pPr>
            <w:r>
              <w:rPr>
                <w:rFonts w:ascii="宋体" w:hAnsi="宋体" w:cs="宋体" w:eastAsia="宋体"/>
                <w:sz w:val="24"/>
                <w:b/>
                <w:shd w:fill="FFFFFF" w:val="clear"/>
              </w:rPr>
              <w:t>四、施工要求</w:t>
            </w:r>
          </w:p>
          <w:p>
            <w:pPr>
              <w:pStyle w:val="null3"/>
              <w:spacing w:before="90" w:after="90"/>
              <w:ind w:firstLine="420"/>
              <w:jc w:val="both"/>
            </w:pPr>
            <w:r>
              <w:rPr>
                <w:rFonts w:ascii="宋体" w:hAnsi="宋体" w:cs="宋体" w:eastAsia="宋体"/>
                <w:sz w:val="24"/>
                <w:shd w:fill="FFFFFF" w:val="clear"/>
              </w:rPr>
              <w:t>在施工期间，中标供应商必须注意</w:t>
            </w:r>
            <w:r>
              <w:rPr>
                <w:rFonts w:ascii="宋体" w:hAnsi="宋体" w:cs="宋体" w:eastAsia="宋体"/>
                <w:sz w:val="24"/>
                <w:shd w:fill="FFFFFF" w:val="clear"/>
              </w:rPr>
              <w:t>校内</w:t>
            </w:r>
            <w:r>
              <w:rPr>
                <w:rFonts w:ascii="宋体" w:hAnsi="宋体" w:cs="宋体" w:eastAsia="宋体"/>
                <w:sz w:val="24"/>
                <w:shd w:fill="FFFFFF" w:val="clear"/>
              </w:rPr>
              <w:t>人员安全，加强安全措施，并对施工人员进行安全教育。施工人员必须持证上岗。因采购人工作的特殊性，要求中标供应商在施工中做到封闭性施工。</w:t>
            </w:r>
          </w:p>
          <w:p>
            <w:pPr>
              <w:pStyle w:val="null3"/>
              <w:spacing w:before="210" w:after="90"/>
              <w:ind w:left="270"/>
              <w:jc w:val="both"/>
            </w:pPr>
            <w:r>
              <w:rPr>
                <w:rFonts w:ascii="宋体" w:hAnsi="宋体" w:cs="宋体" w:eastAsia="宋体"/>
                <w:sz w:val="24"/>
                <w:b/>
                <w:shd w:fill="FFFFFF" w:val="clear"/>
              </w:rPr>
              <w:t>五、商务要求</w:t>
            </w:r>
          </w:p>
          <w:p>
            <w:pPr>
              <w:pStyle w:val="null3"/>
              <w:spacing w:before="90" w:after="90"/>
              <w:ind w:firstLine="420"/>
              <w:jc w:val="both"/>
            </w:pPr>
            <w:r>
              <w:rPr>
                <w:rFonts w:ascii="宋体" w:hAnsi="宋体" w:cs="宋体" w:eastAsia="宋体"/>
                <w:sz w:val="24"/>
                <w:shd w:fill="FFFFFF" w:val="clear"/>
              </w:rPr>
              <w:t>（</w:t>
            </w:r>
            <w:r>
              <w:rPr>
                <w:rFonts w:ascii="宋体" w:hAnsi="宋体" w:cs="宋体" w:eastAsia="宋体"/>
                <w:sz w:val="24"/>
                <w:shd w:fill="FFFFFF" w:val="clear"/>
              </w:rPr>
              <w:t>1）合同签订后，支付合同总价款40%作为预付款，竣工验收合格后付至合同总价款80%，竣工结算审计完成后付至审定的结算工程造价的97%，同时，甲方扣留结算总价3%作为质保金。</w:t>
            </w:r>
          </w:p>
          <w:p>
            <w:pPr>
              <w:pStyle w:val="null3"/>
              <w:spacing w:before="90" w:after="90"/>
              <w:ind w:firstLine="420"/>
              <w:jc w:val="both"/>
            </w:pPr>
            <w:r>
              <w:rPr>
                <w:rFonts w:ascii="宋体" w:hAnsi="宋体" w:cs="宋体" w:eastAsia="宋体"/>
                <w:sz w:val="24"/>
                <w:shd w:fill="FFFFFF" w:val="clear"/>
              </w:rPr>
              <w:t>（</w:t>
            </w:r>
            <w:r>
              <w:rPr>
                <w:rFonts w:ascii="宋体" w:hAnsi="宋体" w:cs="宋体" w:eastAsia="宋体"/>
                <w:sz w:val="24"/>
                <w:shd w:fill="FFFFFF" w:val="clear"/>
              </w:rPr>
              <w:t>2）待保修期满后14日内，将扣除承包人应承担的维修责任后的余额部分（如有），无息一次性付清。</w:t>
            </w:r>
          </w:p>
          <w:p>
            <w:pPr>
              <w:pStyle w:val="null3"/>
              <w:spacing w:before="210" w:after="90"/>
              <w:ind w:left="270"/>
              <w:jc w:val="both"/>
            </w:pPr>
            <w:r>
              <w:rPr>
                <w:rFonts w:ascii="宋体" w:hAnsi="宋体" w:cs="宋体" w:eastAsia="宋体"/>
                <w:sz w:val="24"/>
                <w:b/>
                <w:shd w:fill="FFFFFF" w:val="clear"/>
              </w:rPr>
              <w:t>六、其他</w:t>
            </w:r>
          </w:p>
          <w:p>
            <w:pPr>
              <w:pStyle w:val="null3"/>
              <w:ind w:right="-75" w:firstLine="210"/>
              <w:jc w:val="left"/>
            </w:pPr>
            <w:r>
              <w:rPr>
                <w:rFonts w:ascii="宋体" w:hAnsi="宋体" w:cs="宋体" w:eastAsia="宋体"/>
                <w:sz w:val="24"/>
                <w:shd w:fill="FFFFFF" w:val="clear"/>
              </w:rPr>
              <w:t>（一）项目实施要求及质量保证</w:t>
            </w:r>
          </w:p>
          <w:p>
            <w:pPr>
              <w:pStyle w:val="null3"/>
              <w:ind w:right="-75" w:firstLine="444"/>
              <w:jc w:val="left"/>
            </w:pPr>
            <w:r>
              <w:rPr>
                <w:rFonts w:ascii="宋体" w:hAnsi="宋体" w:cs="宋体" w:eastAsia="宋体"/>
                <w:sz w:val="24"/>
                <w:shd w:fill="FFFFFF" w:val="clear"/>
              </w:rPr>
              <w:t>1、工程实行包工包料，供应商必须具备相应的资质，不得转包、分包。</w:t>
            </w:r>
          </w:p>
          <w:p>
            <w:pPr>
              <w:pStyle w:val="null3"/>
              <w:ind w:right="-75" w:firstLine="444"/>
              <w:jc w:val="left"/>
            </w:pPr>
            <w:r>
              <w:rPr>
                <w:rFonts w:ascii="宋体" w:hAnsi="宋体" w:cs="宋体" w:eastAsia="宋体"/>
                <w:sz w:val="24"/>
                <w:shd w:fill="FFFFFF" w:val="clear"/>
              </w:rPr>
              <w:t>2、供应商根据工程实际情况编制施工方案，制定工期进度安排表，并随磋商响应文件一并提交。</w:t>
            </w:r>
          </w:p>
          <w:p>
            <w:pPr>
              <w:pStyle w:val="null3"/>
              <w:ind w:right="-75" w:firstLine="444"/>
              <w:jc w:val="left"/>
            </w:pPr>
            <w:r>
              <w:rPr>
                <w:rFonts w:ascii="宋体" w:hAnsi="宋体" w:cs="宋体" w:eastAsia="宋体"/>
                <w:sz w:val="24"/>
                <w:shd w:fill="FFFFFF" w:val="clear"/>
              </w:rPr>
              <w:t>3、供应商在本工程中的项目负责人(项目经理)，要求技术水平高、组织能力强、有丰富的工程业绩和实践经验，懂管理、善于协调，须在本单位缴纳社保并提供社保证明，复印件审核，项目管理人员须在本单位缴纳社保并提供社保证明，复印件审核。施工人员中质检员、特殊工程人员要求有上岗证。施工队伍稳定，保证整个工程顺利完工。</w:t>
            </w:r>
          </w:p>
          <w:p>
            <w:pPr>
              <w:pStyle w:val="null3"/>
              <w:ind w:right="-75" w:firstLine="444"/>
              <w:jc w:val="left"/>
            </w:pPr>
            <w:r>
              <w:rPr>
                <w:rFonts w:ascii="宋体" w:hAnsi="宋体" w:cs="宋体" w:eastAsia="宋体"/>
                <w:sz w:val="24"/>
                <w:shd w:fill="FFFFFF" w:val="clear"/>
              </w:rPr>
              <w:t>4、施工过程中，严格遵守建设单位的各种管理规定及规章制度，做到文明施工。发生工伤及意外事故由施工单位负责。</w:t>
            </w:r>
          </w:p>
          <w:p>
            <w:pPr>
              <w:pStyle w:val="null3"/>
              <w:ind w:right="-75" w:firstLine="444"/>
              <w:jc w:val="left"/>
            </w:pPr>
            <w:r>
              <w:rPr>
                <w:rFonts w:ascii="宋体" w:hAnsi="宋体" w:cs="宋体" w:eastAsia="宋体"/>
                <w:sz w:val="24"/>
                <w:shd w:fill="FFFFFF" w:val="clear"/>
              </w:rPr>
              <w:t>5、严格按照国家和省上有关规定施工、规范施工，确保工程合格，如有更改须事先 征得有关方面的同意，并在采购人落实后实施，并出具书面说明。</w:t>
            </w:r>
          </w:p>
          <w:p>
            <w:pPr>
              <w:pStyle w:val="null3"/>
              <w:ind w:right="-75" w:firstLine="444"/>
              <w:jc w:val="left"/>
            </w:pPr>
            <w:r>
              <w:rPr>
                <w:rFonts w:ascii="宋体" w:hAnsi="宋体" w:cs="宋体" w:eastAsia="宋体"/>
                <w:sz w:val="24"/>
                <w:shd w:fill="FFFFFF" w:val="clear"/>
              </w:rPr>
              <w:t>6、所有进场材料需携带合格证等质量证明文件。由甲方现场代表对所进场材料予以验收并签字确认。</w:t>
            </w:r>
          </w:p>
          <w:p>
            <w:pPr>
              <w:pStyle w:val="null3"/>
              <w:ind w:right="-75" w:firstLine="444"/>
              <w:jc w:val="left"/>
            </w:pPr>
            <w:r>
              <w:rPr>
                <w:rFonts w:ascii="宋体" w:hAnsi="宋体" w:cs="宋体" w:eastAsia="宋体"/>
                <w:sz w:val="24"/>
                <w:shd w:fill="FFFFFF" w:val="clear"/>
              </w:rPr>
              <w:t>7、施工期间需采取必要措施确保现场正常运行。</w:t>
            </w:r>
          </w:p>
          <w:p>
            <w:pPr>
              <w:pStyle w:val="null3"/>
              <w:ind w:right="-75" w:firstLine="444"/>
              <w:jc w:val="left"/>
            </w:pPr>
            <w:r>
              <w:rPr>
                <w:rFonts w:ascii="宋体" w:hAnsi="宋体" w:cs="宋体" w:eastAsia="宋体"/>
                <w:sz w:val="24"/>
                <w:shd w:fill="FFFFFF" w:val="clear"/>
              </w:rPr>
              <w:t>8、所有施工人员需统一着装统一单位标识，严禁随意通行。</w:t>
            </w:r>
          </w:p>
          <w:p>
            <w:pPr>
              <w:pStyle w:val="null3"/>
              <w:ind w:right="-75" w:firstLine="444"/>
              <w:jc w:val="left"/>
            </w:pPr>
            <w:r>
              <w:rPr>
                <w:rFonts w:ascii="宋体" w:hAnsi="宋体" w:cs="宋体" w:eastAsia="宋体"/>
                <w:sz w:val="24"/>
                <w:shd w:fill="FFFFFF" w:val="clear"/>
              </w:rPr>
              <w:t>9、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ind w:right="-75" w:firstLine="444"/>
              <w:jc w:val="left"/>
            </w:pPr>
            <w:r>
              <w:rPr>
                <w:rFonts w:ascii="宋体" w:hAnsi="宋体" w:cs="宋体" w:eastAsia="宋体"/>
                <w:sz w:val="24"/>
                <w:shd w:fill="FFFFFF" w:val="clear"/>
              </w:rPr>
              <w:t>10、施工方必须向采购人及时提供合格证及材料检验单。在征得有关方面认可后，方可进行施工，并做好相应的检验环节。</w:t>
            </w:r>
          </w:p>
          <w:p>
            <w:pPr>
              <w:pStyle w:val="null3"/>
              <w:ind w:right="-75" w:firstLine="444"/>
              <w:jc w:val="left"/>
            </w:pPr>
            <w:r>
              <w:rPr>
                <w:rFonts w:ascii="宋体" w:hAnsi="宋体" w:cs="宋体" w:eastAsia="宋体"/>
                <w:sz w:val="24"/>
                <w:shd w:fill="FFFFFF" w:val="clear"/>
              </w:rPr>
              <w:t>11、施工方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ind w:right="-75" w:firstLine="444"/>
              <w:jc w:val="left"/>
            </w:pPr>
            <w:r>
              <w:rPr>
                <w:rFonts w:ascii="宋体" w:hAnsi="宋体" w:cs="宋体" w:eastAsia="宋体"/>
                <w:sz w:val="24"/>
                <w:shd w:fill="FFFFFF" w:val="clear"/>
              </w:rPr>
              <w:t>12、质量保证期为各供应商承诺的期限。施工单位的售后服务要完善、可靠、及时，并派遣相关技术人员配合采购人检查、维修。</w:t>
            </w:r>
          </w:p>
          <w:p>
            <w:pPr>
              <w:pStyle w:val="null3"/>
              <w:spacing w:before="90" w:after="90"/>
              <w:ind w:firstLine="420"/>
              <w:jc w:val="both"/>
            </w:pPr>
            <w:r>
              <w:rPr>
                <w:rFonts w:ascii="宋体" w:hAnsi="宋体" w:cs="宋体" w:eastAsia="宋体"/>
                <w:sz w:val="24"/>
                <w:shd w:fill="FFFFFF" w:val="clear"/>
              </w:rPr>
              <w:t>（二）质量验收标准或规范</w:t>
            </w:r>
          </w:p>
          <w:p>
            <w:pPr>
              <w:pStyle w:val="null3"/>
              <w:ind w:firstLine="480"/>
              <w:jc w:val="left"/>
            </w:pPr>
            <w:r>
              <w:rPr>
                <w:rFonts w:ascii="宋体" w:hAnsi="宋体" w:cs="宋体" w:eastAsia="宋体"/>
                <w:sz w:val="24"/>
                <w:shd w:fill="FFFFFF" w:val="clear"/>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80"/>
              <w:jc w:val="left"/>
            </w:pPr>
            <w:r>
              <w:rPr>
                <w:rFonts w:ascii="宋体" w:hAnsi="宋体" w:cs="宋体" w:eastAsia="宋体"/>
                <w:sz w:val="24"/>
                <w:shd w:fill="FFFFFF" w:val="clear"/>
              </w:rPr>
              <w:t>承包人在施工过程中使用或参考上述标准、规范以外的技术标准、规范时，应征得业主或业主指定代表人的同意。在施工过程中，如果国家或有关部门颁布了新的技术标准或规范，则承包人应采用新的标准或规范进行施工。</w:t>
            </w:r>
          </w:p>
          <w:p>
            <w:pPr>
              <w:pStyle w:val="null3"/>
              <w:spacing w:before="90" w:after="90"/>
              <w:ind w:firstLine="420"/>
              <w:jc w:val="both"/>
            </w:pPr>
            <w:r>
              <w:rPr>
                <w:rFonts w:ascii="宋体" w:hAnsi="宋体" w:cs="宋体" w:eastAsia="宋体"/>
                <w:sz w:val="24"/>
                <w:shd w:fill="FFFFFF" w:val="clear"/>
              </w:rPr>
              <w:t>（三）违约责任</w:t>
            </w:r>
          </w:p>
          <w:p>
            <w:pPr>
              <w:pStyle w:val="null3"/>
              <w:spacing w:before="90" w:after="90"/>
              <w:ind w:firstLine="420"/>
              <w:jc w:val="both"/>
            </w:pPr>
            <w:r>
              <w:rPr>
                <w:rFonts w:ascii="宋体" w:hAnsi="宋体" w:cs="宋体" w:eastAsia="宋体"/>
                <w:sz w:val="24"/>
                <w:shd w:fill="FFFFFF" w:val="clear"/>
              </w:rPr>
              <w:t>承包人应承担因其违约行为而增加的费用和（或）延误的工期。此外，可在专用合同条款中另行约定承包人违约责任的承担方式。</w:t>
            </w:r>
          </w:p>
          <w:p>
            <w:pPr>
              <w:pStyle w:val="null3"/>
              <w:spacing w:before="90" w:after="90"/>
              <w:ind w:firstLine="420"/>
              <w:jc w:val="both"/>
            </w:pPr>
            <w:r>
              <w:rPr>
                <w:rFonts w:ascii="宋体" w:hAnsi="宋体" w:cs="宋体" w:eastAsia="宋体"/>
                <w:sz w:val="24"/>
                <w:shd w:fill="FFFFFF" w:val="clear"/>
              </w:rPr>
              <w:t>（四）本项目需要落实的政府采购政策：</w:t>
            </w:r>
          </w:p>
          <w:p>
            <w:pPr>
              <w:pStyle w:val="null3"/>
              <w:spacing w:before="90" w:after="90"/>
              <w:ind w:firstLine="720"/>
              <w:jc w:val="both"/>
            </w:pPr>
            <w:r>
              <w:rPr>
                <w:rFonts w:ascii="宋体" w:hAnsi="宋体" w:cs="宋体" w:eastAsia="宋体"/>
                <w:sz w:val="24"/>
                <w:shd w:fill="FFFFFF" w:val="clear"/>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spacing w:before="90" w:after="90"/>
              <w:ind w:firstLine="720"/>
              <w:jc w:val="both"/>
            </w:pPr>
            <w:r>
              <w:rPr>
                <w:rFonts w:ascii="宋体" w:hAnsi="宋体" w:cs="宋体" w:eastAsia="宋体"/>
                <w:sz w:val="24"/>
                <w:shd w:fill="FFFFFF" w:val="clear"/>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spacing w:before="90" w:after="90"/>
              <w:ind w:firstLine="420"/>
              <w:jc w:val="both"/>
            </w:pPr>
            <w:r>
              <w:rPr>
                <w:rFonts w:ascii="宋体" w:hAnsi="宋体" w:cs="宋体" w:eastAsia="宋体"/>
                <w:sz w:val="24"/>
                <w:shd w:fill="FFFFFF" w:val="clear"/>
              </w:rPr>
              <w:t>3、支持本国产业政策：《财政部关于印发&lt;进口产品管理办法&gt;的通知》（财库〔2007〕119号）；《财政部办公厅关于政府采购进口产品管理有关问题的通知》（财办库〔2008〕248号）。</w:t>
            </w:r>
          </w:p>
          <w:p>
            <w:pPr>
              <w:pStyle w:val="null3"/>
              <w:spacing w:before="90" w:after="90"/>
              <w:ind w:firstLine="420"/>
              <w:jc w:val="both"/>
            </w:pPr>
            <w:r>
              <w:rPr>
                <w:rFonts w:ascii="宋体" w:hAnsi="宋体" w:cs="宋体" w:eastAsia="宋体"/>
                <w:sz w:val="24"/>
                <w:shd w:fill="FFFFFF" w:val="clear"/>
              </w:rPr>
              <w:t>4、支持创新等政府采购政策。</w:t>
            </w:r>
          </w:p>
        </w:tc>
      </w:tr>
    </w:tbl>
    <w:p>
      <w:pPr>
        <w:pStyle w:val="null3"/>
      </w:pPr>
      <w:r>
        <w:rPr/>
        <w:t>7、供应商一般资格要求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资格要求名称</w:t>
            </w:r>
          </w:p>
        </w:tc>
        <w:tc>
          <w:tcPr>
            <w:tcW w:type="dxa" w:w="2769"/>
          </w:tcPr>
          <w:p>
            <w:pPr>
              <w:pStyle w:val="null3"/>
            </w:pPr>
            <w:r>
              <w:rPr/>
              <w:t>资格要求详细说明</w:t>
            </w:r>
          </w:p>
        </w:tc>
      </w:tr>
      <w:tr>
        <w:tc>
          <w:tcPr>
            <w:tcW w:type="dxa" w:w="2769"/>
          </w:tcPr>
          <w:p>
            <w:pPr>
              <w:pStyle w:val="null3"/>
            </w:pPr>
            <w:r>
              <w:rPr/>
              <w:t>1</w:t>
            </w:r>
          </w:p>
        </w:tc>
        <w:tc>
          <w:tcPr>
            <w:tcW w:type="dxa" w:w="2769"/>
          </w:tcPr>
          <w:p>
            <w:pPr>
              <w:pStyle w:val="null3"/>
            </w:pPr>
            <w:r>
              <w:rPr/>
              <w:t>供应商应具备《中华人民共和国政府采购法》第二十二条规定的条件。</w:t>
            </w:r>
          </w:p>
        </w:tc>
        <w:tc>
          <w:tcPr>
            <w:tcW w:type="dxa" w:w="2769"/>
          </w:tcPr>
          <w:p>
            <w:pPr>
              <w:pStyle w:val="null3"/>
            </w:pPr>
            <w:r>
              <w:rPr/>
              <w:t>供应商需在项目电子化交易系统中按要求填写《响应函》完成承诺并进行电子签章。</w:t>
            </w:r>
          </w:p>
        </w:tc>
      </w:tr>
      <w:tr>
        <w:tc>
          <w:tcPr>
            <w:tcW w:type="dxa" w:w="2769"/>
          </w:tcPr>
          <w:p>
            <w:pPr>
              <w:pStyle w:val="null3"/>
            </w:pPr>
            <w:r>
              <w:rPr/>
              <w:t>2</w:t>
            </w:r>
          </w:p>
        </w:tc>
        <w:tc>
          <w:tcPr>
            <w:tcW w:type="dxa" w:w="2769"/>
          </w:tcPr>
          <w:p>
            <w:pPr>
              <w:pStyle w:val="null3"/>
            </w:pPr>
            <w:r>
              <w:rPr/>
              <w:t>供应商应提供健全的财务会计制度的证明材料。</w:t>
            </w:r>
          </w:p>
        </w:tc>
        <w:tc>
          <w:tcPr>
            <w:tcW w:type="dxa" w:w="2769"/>
          </w:tcPr>
          <w:p>
            <w:pPr>
              <w:pStyle w:val="null3"/>
            </w:pPr>
            <w:r>
              <w:rPr/>
              <w:t>提供2022年度或2023年度经审计的财务会计报告或其提交响应文件截止时间前3个月内银行出具的资信证明。（以上形式的资料提供任何一种即可）。 （1）供应商是企业法人的，应提供2022或2023全年度经审计的供应商财务报告，包括 “四表一注”即《资产负债表》《利润表》《现金流量表》《所有者权益变动表》及其附注，或者提交响应文件截止时间前3个月内其基本账户开户银行出具的资信证明（附基本存款账户信息）； （2）供应商是小型企业的，应提供2022或2023全年度经审计的供应商财务报告，至少包括 《资产负债表》《利润表》《现金流量表》及其附注，或者提交响应文件截止时间前3个月内其基本账户开户银行出具的资信证明（附基本存款账户信息）； （3）供应商是事业单位法人的，应提供2022或2023全年度经审计的供应商财务报告，至少包括《资产负债表》《收入支出表或者收入费用表》《财政补助收入支出表》及其附注，或者提交响应文件截止时间前3个月内其基本账户开户银行出具的资信证明（附基本存款账户信息）； （4）部分其他组织和自然人，提供提交响应文件截止时间前3个月内银行出具的资信证明（附账户信息）； （5）供应商是民办非企业单位的，应提供2022或2023全年度经审计的供应商财务报告，包括《资产负债表》《业务活动表》《现金流量表》及其附注或者提交响应文件截止时间前3个月内银行出具的资信证明（附账户信息）； （6）供应商成立不到1年（至提交响应文件截止时间）的，提供成立后任意时段的资产负债表，或提交响应文件截止时间前3个月内其基本账户开户银行出具的资信证明（附基本存款账户信息）。</w:t>
            </w:r>
          </w:p>
        </w:tc>
      </w:tr>
      <w:tr>
        <w:tc>
          <w:tcPr>
            <w:tcW w:type="dxa" w:w="2769"/>
          </w:tcPr>
          <w:p>
            <w:pPr>
              <w:pStyle w:val="null3"/>
            </w:pPr>
            <w:r>
              <w:rPr/>
              <w:t>3</w:t>
            </w:r>
          </w:p>
        </w:tc>
        <w:tc>
          <w:tcPr>
            <w:tcW w:type="dxa" w:w="2769"/>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2769"/>
          </w:tcPr>
          <w:p>
            <w:pPr>
              <w:pStyle w:val="null3"/>
            </w:pPr>
            <w:r>
              <w:rPr/>
              <w:t>供应商需在项目电子化交易系统中按要求填写《响应函》完成承诺并进行电子签章。</w:t>
            </w:r>
          </w:p>
        </w:tc>
      </w:tr>
    </w:tbl>
    <w:p>
      <w:pPr>
        <w:pStyle w:val="null3"/>
      </w:pPr>
      <w:r>
        <w:rPr/>
        <w:t>8、供应商特殊资格要求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资格要求名称</w:t>
            </w:r>
          </w:p>
        </w:tc>
        <w:tc>
          <w:tcPr>
            <w:tcW w:type="dxa" w:w="2769"/>
          </w:tcPr>
          <w:p>
            <w:pPr>
              <w:pStyle w:val="null3"/>
            </w:pPr>
            <w:r>
              <w:rPr/>
              <w:t>资格要求详细说明</w:t>
            </w:r>
          </w:p>
        </w:tc>
      </w:tr>
      <w:tr>
        <w:tc>
          <w:tcPr>
            <w:tcW w:type="dxa" w:w="2769"/>
          </w:tcPr>
          <w:p>
            <w:pPr>
              <w:pStyle w:val="null3"/>
            </w:pPr>
            <w:r>
              <w:rPr/>
              <w:t>1</w:t>
            </w:r>
          </w:p>
        </w:tc>
        <w:tc>
          <w:tcPr>
            <w:tcW w:type="dxa" w:w="2769"/>
          </w:tcPr>
          <w:p>
            <w:pPr>
              <w:pStyle w:val="null3"/>
            </w:pPr>
            <w:r>
              <w:rPr/>
              <w:t>拟派项目负责人资质和专业要求。</w:t>
            </w:r>
          </w:p>
        </w:tc>
        <w:tc>
          <w:tcPr>
            <w:tcW w:type="dxa" w:w="2769"/>
          </w:tcPr>
          <w:p>
            <w:pPr>
              <w:pStyle w:val="null3"/>
            </w:pPr>
            <w:r>
              <w:rPr/>
              <w:t>（1）提供供应商 建设部门颁发的建筑装修装饰工程专业承包资质二级及以上资质证件和有效的安全生产许可证；（2）提供拟派项目经理建筑工程专业二级及以上注册建造师证件和有效的安全生产考核合格证书（B证）且在本单位注册，以及无不良信用记录和无在建工程的承诺书； （3）供应商基本信息及项目经理的基本信息在“陕西省住房和城乡建设厅（http://js.shaanxi.gov.cn/）陕西省建筑市场监管与诚信信息发布平台”可查询。</w:t>
            </w:r>
          </w:p>
        </w:tc>
      </w:tr>
    </w:tbl>
    <w:p>
      <w:pPr>
        <w:pStyle w:val="null3"/>
      </w:pPr>
      <w:r>
        <w:rPr/>
        <w:t>9、分包的评审条款</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评审项编号</w:t>
            </w:r>
          </w:p>
        </w:tc>
        <w:tc>
          <w:tcPr>
            <w:tcW w:type="dxa" w:w="1384"/>
          </w:tcPr>
          <w:p>
            <w:pPr>
              <w:pStyle w:val="null3"/>
            </w:pPr>
            <w:r>
              <w:rPr/>
              <w:t>一级评审项</w:t>
            </w:r>
          </w:p>
        </w:tc>
        <w:tc>
          <w:tcPr>
            <w:tcW w:type="dxa" w:w="1384"/>
          </w:tcPr>
          <w:p>
            <w:pPr>
              <w:pStyle w:val="null3"/>
            </w:pPr>
            <w:r>
              <w:rPr/>
              <w:t>二级评审项</w:t>
            </w:r>
          </w:p>
        </w:tc>
        <w:tc>
          <w:tcPr>
            <w:tcW w:type="dxa" w:w="1384"/>
          </w:tcPr>
          <w:p>
            <w:pPr>
              <w:pStyle w:val="null3"/>
            </w:pPr>
            <w:r>
              <w:rPr/>
              <w:t>详细要求</w:t>
            </w:r>
          </w:p>
        </w:tc>
        <w:tc>
          <w:tcPr>
            <w:tcW w:type="dxa" w:w="1384"/>
          </w:tcPr>
          <w:p>
            <w:pPr>
              <w:pStyle w:val="null3"/>
            </w:pPr>
            <w:r>
              <w:rPr/>
              <w:t>分值</w:t>
            </w:r>
          </w:p>
        </w:tc>
        <w:tc>
          <w:tcPr>
            <w:tcW w:type="dxa" w:w="1384"/>
          </w:tcPr>
          <w:p>
            <w:pPr>
              <w:pStyle w:val="null3"/>
            </w:pPr>
            <w:r>
              <w:rPr/>
              <w:t>客观评审项</w:t>
            </w:r>
          </w:p>
        </w:tc>
      </w:tr>
      <w:tr>
        <w:tc>
          <w:tcPr>
            <w:tcW w:type="dxa" w:w="1384"/>
          </w:tcPr>
          <w:p>
            <w:pPr>
              <w:pStyle w:val="null3"/>
            </w:pPr>
            <w:r>
              <w:rPr/>
              <w:t>1</w:t>
            </w:r>
          </w:p>
        </w:tc>
        <w:tc>
          <w:tcPr>
            <w:tcW w:type="dxa" w:w="1384"/>
          </w:tcPr>
          <w:p>
            <w:pPr>
              <w:pStyle w:val="null3"/>
            </w:pPr>
            <w:r>
              <w:rPr/>
              <w:t>详细评审</w:t>
            </w:r>
          </w:p>
        </w:tc>
        <w:tc>
          <w:tcPr>
            <w:tcW w:type="dxa" w:w="1384"/>
          </w:tcPr>
          <w:p>
            <w:pPr>
              <w:pStyle w:val="null3"/>
            </w:pPr>
            <w:r>
              <w:rPr/>
              <w:t>确保工程质量的技术组织措施</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2</w:t>
            </w:r>
          </w:p>
        </w:tc>
        <w:tc>
          <w:tcPr>
            <w:tcW w:type="dxa" w:w="1384"/>
          </w:tcPr>
          <w:p>
            <w:pPr>
              <w:pStyle w:val="null3"/>
            </w:pPr>
            <w:r>
              <w:rPr/>
              <w:t>详细评审</w:t>
            </w:r>
          </w:p>
        </w:tc>
        <w:tc>
          <w:tcPr>
            <w:tcW w:type="dxa" w:w="1384"/>
          </w:tcPr>
          <w:p>
            <w:pPr>
              <w:pStyle w:val="null3"/>
            </w:pPr>
            <w:r>
              <w:rPr/>
              <w:t>确保安全生产技术组织措施</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3</w:t>
            </w:r>
          </w:p>
        </w:tc>
        <w:tc>
          <w:tcPr>
            <w:tcW w:type="dxa" w:w="1384"/>
          </w:tcPr>
          <w:p>
            <w:pPr>
              <w:pStyle w:val="null3"/>
            </w:pPr>
            <w:r>
              <w:rPr/>
              <w:t>详细评审</w:t>
            </w:r>
          </w:p>
        </w:tc>
        <w:tc>
          <w:tcPr>
            <w:tcW w:type="dxa" w:w="1384"/>
          </w:tcPr>
          <w:p>
            <w:pPr>
              <w:pStyle w:val="null3"/>
            </w:pPr>
            <w:r>
              <w:rPr/>
              <w:t>施工进度表或施工网络图</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4</w:t>
            </w:r>
          </w:p>
        </w:tc>
        <w:tc>
          <w:tcPr>
            <w:tcW w:type="dxa" w:w="1384"/>
          </w:tcPr>
          <w:p>
            <w:pPr>
              <w:pStyle w:val="null3"/>
            </w:pPr>
            <w:r>
              <w:rPr/>
              <w:t>详细评审</w:t>
            </w:r>
          </w:p>
        </w:tc>
        <w:tc>
          <w:tcPr>
            <w:tcW w:type="dxa" w:w="1384"/>
          </w:tcPr>
          <w:p>
            <w:pPr>
              <w:pStyle w:val="null3"/>
            </w:pPr>
            <w:r>
              <w:rPr/>
              <w:t>确保文明施工的技术组织措施</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5</w:t>
            </w:r>
          </w:p>
        </w:tc>
        <w:tc>
          <w:tcPr>
            <w:tcW w:type="dxa" w:w="1384"/>
          </w:tcPr>
          <w:p>
            <w:pPr>
              <w:pStyle w:val="null3"/>
            </w:pPr>
            <w:r>
              <w:rPr/>
              <w:t>详细评审</w:t>
            </w:r>
          </w:p>
        </w:tc>
        <w:tc>
          <w:tcPr>
            <w:tcW w:type="dxa" w:w="1384"/>
          </w:tcPr>
          <w:p>
            <w:pPr>
              <w:pStyle w:val="null3"/>
            </w:pPr>
            <w:r>
              <w:rPr/>
              <w:t>确保环境保护组织措施</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6</w:t>
            </w:r>
          </w:p>
        </w:tc>
        <w:tc>
          <w:tcPr>
            <w:tcW w:type="dxa" w:w="1384"/>
          </w:tcPr>
          <w:p>
            <w:pPr>
              <w:pStyle w:val="null3"/>
            </w:pPr>
            <w:r>
              <w:rPr/>
              <w:t>详细评审</w:t>
            </w:r>
          </w:p>
        </w:tc>
        <w:tc>
          <w:tcPr>
            <w:tcW w:type="dxa" w:w="1384"/>
          </w:tcPr>
          <w:p>
            <w:pPr>
              <w:pStyle w:val="null3"/>
            </w:pPr>
            <w:r>
              <w:rPr/>
              <w:t>项目管理机构及劳动力安排计划</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7</w:t>
            </w:r>
          </w:p>
        </w:tc>
        <w:tc>
          <w:tcPr>
            <w:tcW w:type="dxa" w:w="1384"/>
          </w:tcPr>
          <w:p>
            <w:pPr>
              <w:pStyle w:val="null3"/>
            </w:pPr>
            <w:r>
              <w:rPr/>
              <w:t>详细评审</w:t>
            </w:r>
          </w:p>
        </w:tc>
        <w:tc>
          <w:tcPr>
            <w:tcW w:type="dxa" w:w="1384"/>
          </w:tcPr>
          <w:p>
            <w:pPr>
              <w:pStyle w:val="null3"/>
            </w:pPr>
            <w:r>
              <w:rPr/>
              <w:t>主要材料与设备为环境标志产品</w:t>
            </w:r>
          </w:p>
        </w:tc>
        <w:tc>
          <w:tcPr>
            <w:tcW w:type="dxa" w:w="1384"/>
          </w:tcPr>
          <w:p>
            <w:pPr>
              <w:pStyle w:val="null3"/>
            </w:pPr>
            <w:r>
              <w:rPr/>
              <w:t>每种产品得0.5分，最高得1分，没有计0分。</w:t>
            </w:r>
          </w:p>
        </w:tc>
        <w:tc>
          <w:tcPr>
            <w:tcW w:type="dxa" w:w="1384"/>
          </w:tcPr>
          <w:p>
            <w:pPr>
              <w:pStyle w:val="null3"/>
              <w:jc w:val="right"/>
            </w:pPr>
            <w:r>
              <w:rPr/>
              <w:t>1.0000</w:t>
            </w:r>
          </w:p>
        </w:tc>
        <w:tc>
          <w:tcPr>
            <w:tcW w:type="dxa" w:w="1384"/>
          </w:tcPr>
          <w:p>
            <w:pPr>
              <w:pStyle w:val="null3"/>
            </w:pPr>
            <w:r>
              <w:rPr/>
              <w:t>是</w:t>
            </w:r>
          </w:p>
        </w:tc>
      </w:tr>
      <w:tr>
        <w:tc>
          <w:tcPr>
            <w:tcW w:type="dxa" w:w="1384"/>
          </w:tcPr>
          <w:p>
            <w:pPr>
              <w:pStyle w:val="null3"/>
            </w:pPr>
            <w:r>
              <w:rPr/>
              <w:t>8</w:t>
            </w:r>
          </w:p>
        </w:tc>
        <w:tc>
          <w:tcPr>
            <w:tcW w:type="dxa" w:w="1384"/>
          </w:tcPr>
          <w:p>
            <w:pPr>
              <w:pStyle w:val="null3"/>
            </w:pPr>
            <w:r>
              <w:rPr/>
              <w:t>详细评审</w:t>
            </w:r>
          </w:p>
        </w:tc>
        <w:tc>
          <w:tcPr>
            <w:tcW w:type="dxa" w:w="1384"/>
          </w:tcPr>
          <w:p>
            <w:pPr>
              <w:pStyle w:val="null3"/>
            </w:pPr>
            <w:r>
              <w:rPr/>
              <w:t>业绩</w:t>
            </w:r>
          </w:p>
        </w:tc>
        <w:tc>
          <w:tcPr>
            <w:tcW w:type="dxa" w:w="1384"/>
          </w:tcPr>
          <w:p>
            <w:pPr>
              <w:pStyle w:val="null3"/>
            </w:pPr>
            <w:r>
              <w:rPr/>
              <w:t>具有2021年1月1日至今的类似业绩(以合同签订日期为准)，业绩以合同复印件为依据。每个业绩计2分，5个以上(含5个)计10分。未提供计0分。</w:t>
            </w:r>
          </w:p>
        </w:tc>
        <w:tc>
          <w:tcPr>
            <w:tcW w:type="dxa" w:w="1384"/>
          </w:tcPr>
          <w:p>
            <w:pPr>
              <w:pStyle w:val="null3"/>
              <w:jc w:val="right"/>
            </w:pPr>
            <w:r>
              <w:rPr/>
              <w:t>10.0000</w:t>
            </w:r>
          </w:p>
        </w:tc>
        <w:tc>
          <w:tcPr>
            <w:tcW w:type="dxa" w:w="1384"/>
          </w:tcPr>
          <w:p>
            <w:pPr>
              <w:pStyle w:val="null3"/>
            </w:pPr>
            <w:r>
              <w:rPr/>
              <w:t>是</w:t>
            </w:r>
          </w:p>
        </w:tc>
      </w:tr>
      <w:tr>
        <w:tc>
          <w:tcPr>
            <w:tcW w:type="dxa" w:w="1384"/>
          </w:tcPr>
          <w:p>
            <w:pPr>
              <w:pStyle w:val="null3"/>
            </w:pPr>
            <w:r>
              <w:rPr/>
              <w:t>9</w:t>
            </w:r>
          </w:p>
        </w:tc>
        <w:tc>
          <w:tcPr>
            <w:tcW w:type="dxa" w:w="1384"/>
          </w:tcPr>
          <w:p>
            <w:pPr>
              <w:pStyle w:val="null3"/>
            </w:pPr>
            <w:r>
              <w:rPr/>
              <w:t>详细评审</w:t>
            </w:r>
          </w:p>
        </w:tc>
        <w:tc>
          <w:tcPr>
            <w:tcW w:type="dxa" w:w="1384"/>
          </w:tcPr>
          <w:p>
            <w:pPr>
              <w:pStyle w:val="null3"/>
            </w:pPr>
            <w:r>
              <w:rPr/>
              <w:t>售后服务</w:t>
            </w:r>
          </w:p>
        </w:tc>
        <w:tc>
          <w:tcPr>
            <w:tcW w:type="dxa" w:w="1384"/>
          </w:tcPr>
          <w:p>
            <w:pPr>
              <w:pStyle w:val="null3"/>
            </w:pPr>
            <w:r>
              <w:rPr/>
              <w:t>针对本工程具体可行并符合国家相关保修规范的售后服务承诺。根据其相应程度得0-10分。</w:t>
            </w:r>
          </w:p>
        </w:tc>
        <w:tc>
          <w:tcPr>
            <w:tcW w:type="dxa" w:w="1384"/>
          </w:tcPr>
          <w:p>
            <w:pPr>
              <w:pStyle w:val="null3"/>
              <w:jc w:val="right"/>
            </w:pPr>
            <w:r>
              <w:rPr/>
              <w:t>10.0000</w:t>
            </w:r>
          </w:p>
        </w:tc>
        <w:tc>
          <w:tcPr>
            <w:tcW w:type="dxa" w:w="1384"/>
          </w:tcPr>
          <w:p>
            <w:pPr>
              <w:pStyle w:val="null3"/>
            </w:pPr>
            <w:r>
              <w:rPr/>
              <w:t>否</w:t>
            </w:r>
          </w:p>
        </w:tc>
      </w:tr>
      <w:tr>
        <w:tc>
          <w:tcPr>
            <w:tcW w:type="dxa" w:w="1384"/>
          </w:tcPr>
          <w:p>
            <w:pPr>
              <w:pStyle w:val="null3"/>
            </w:pPr>
            <w:r>
              <w:rPr/>
              <w:t>10</w:t>
            </w:r>
          </w:p>
        </w:tc>
        <w:tc>
          <w:tcPr>
            <w:tcW w:type="dxa" w:w="1384"/>
          </w:tcPr>
          <w:p>
            <w:pPr>
              <w:pStyle w:val="null3"/>
            </w:pPr>
            <w:r>
              <w:rPr/>
              <w:t>详细评审</w:t>
            </w:r>
          </w:p>
        </w:tc>
        <w:tc>
          <w:tcPr>
            <w:tcW w:type="dxa" w:w="1384"/>
          </w:tcPr>
          <w:p>
            <w:pPr>
              <w:pStyle w:val="null3"/>
            </w:pPr>
            <w:r>
              <w:rPr/>
              <w:t>确保工期的技术组织措施</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11</w:t>
            </w:r>
          </w:p>
        </w:tc>
        <w:tc>
          <w:tcPr>
            <w:tcW w:type="dxa" w:w="1384"/>
          </w:tcPr>
          <w:p>
            <w:pPr>
              <w:pStyle w:val="null3"/>
            </w:pPr>
            <w:r>
              <w:rPr/>
              <w:t>详细评审</w:t>
            </w:r>
          </w:p>
        </w:tc>
        <w:tc>
          <w:tcPr>
            <w:tcW w:type="dxa" w:w="1384"/>
          </w:tcPr>
          <w:p>
            <w:pPr>
              <w:pStyle w:val="null3"/>
            </w:pPr>
            <w:r>
              <w:rPr/>
              <w:t>施工机械配备和材料投入计划</w:t>
            </w:r>
          </w:p>
        </w:tc>
        <w:tc>
          <w:tcPr>
            <w:tcW w:type="dxa" w:w="1384"/>
          </w:tcPr>
          <w:p>
            <w:pPr>
              <w:pStyle w:val="null3"/>
            </w:pPr>
            <w:r>
              <w:rPr/>
              <w:t>根据响应程度赋0-6分</w:t>
            </w:r>
          </w:p>
        </w:tc>
        <w:tc>
          <w:tcPr>
            <w:tcW w:type="dxa" w:w="1384"/>
          </w:tcPr>
          <w:p>
            <w:pPr>
              <w:pStyle w:val="null3"/>
              <w:jc w:val="right"/>
            </w:pPr>
            <w:r>
              <w:rPr/>
              <w:t>6.0000</w:t>
            </w:r>
          </w:p>
        </w:tc>
        <w:tc>
          <w:tcPr>
            <w:tcW w:type="dxa" w:w="1384"/>
          </w:tcPr>
          <w:p>
            <w:pPr>
              <w:pStyle w:val="null3"/>
            </w:pPr>
            <w:r>
              <w:rPr/>
              <w:t>否</w:t>
            </w:r>
          </w:p>
        </w:tc>
      </w:tr>
      <w:tr>
        <w:tc>
          <w:tcPr>
            <w:tcW w:type="dxa" w:w="1384"/>
          </w:tcPr>
          <w:p>
            <w:pPr>
              <w:pStyle w:val="null3"/>
            </w:pPr>
            <w:r>
              <w:rPr/>
              <w:t>12</w:t>
            </w:r>
          </w:p>
        </w:tc>
        <w:tc>
          <w:tcPr>
            <w:tcW w:type="dxa" w:w="1384"/>
          </w:tcPr>
          <w:p>
            <w:pPr>
              <w:pStyle w:val="null3"/>
            </w:pPr>
            <w:r>
              <w:rPr/>
              <w:t>详细评审</w:t>
            </w:r>
          </w:p>
        </w:tc>
        <w:tc>
          <w:tcPr>
            <w:tcW w:type="dxa" w:w="1384"/>
          </w:tcPr>
          <w:p>
            <w:pPr>
              <w:pStyle w:val="null3"/>
            </w:pPr>
            <w:r>
              <w:rPr/>
              <w:t>主要材料与设备为节能产品</w:t>
            </w:r>
          </w:p>
        </w:tc>
        <w:tc>
          <w:tcPr>
            <w:tcW w:type="dxa" w:w="1384"/>
          </w:tcPr>
          <w:p>
            <w:pPr>
              <w:pStyle w:val="null3"/>
            </w:pPr>
            <w:r>
              <w:rPr/>
              <w:t>每种产品得0.5分，最高得1分，没有不得分；属强制节能产品的不再得分，未提供该产品的按无效响应文件处理。</w:t>
            </w:r>
          </w:p>
        </w:tc>
        <w:tc>
          <w:tcPr>
            <w:tcW w:type="dxa" w:w="1384"/>
          </w:tcPr>
          <w:p>
            <w:pPr>
              <w:pStyle w:val="null3"/>
              <w:jc w:val="right"/>
            </w:pPr>
            <w:r>
              <w:rPr/>
              <w:t>1.0000</w:t>
            </w:r>
          </w:p>
        </w:tc>
        <w:tc>
          <w:tcPr>
            <w:tcW w:type="dxa" w:w="1384"/>
          </w:tcPr>
          <w:p>
            <w:pPr>
              <w:pStyle w:val="null3"/>
            </w:pPr>
            <w:r>
              <w:rPr/>
              <w:t>是</w:t>
            </w:r>
          </w:p>
        </w:tc>
      </w:tr>
      <w:tr>
        <w:tc>
          <w:tcPr>
            <w:tcW w:type="dxa" w:w="1384"/>
          </w:tcPr>
          <w:p>
            <w:pPr>
              <w:pStyle w:val="null3"/>
            </w:pPr>
            <w:r>
              <w:rPr/>
              <w:t>1</w:t>
            </w:r>
          </w:p>
        </w:tc>
        <w:tc>
          <w:tcPr>
            <w:tcW w:type="dxa" w:w="1384"/>
          </w:tcPr>
          <w:p>
            <w:pPr>
              <w:pStyle w:val="null3"/>
            </w:pPr>
            <w:r>
              <w:rPr/>
              <w:t>价格分</w:t>
            </w:r>
          </w:p>
        </w:tc>
        <w:tc>
          <w:tcPr>
            <w:tcW w:type="dxa" w:w="1384"/>
          </w:tcPr>
          <w:p>
            <w:pPr>
              <w:pStyle w:val="null3"/>
            </w:pPr>
            <w:r>
              <w:rPr/>
              <w:t>价格分</w:t>
            </w:r>
          </w:p>
        </w:tc>
        <w:tc>
          <w:tcPr>
            <w:tcW w:type="dxa" w:w="1384"/>
          </w:tcPr>
          <w:p>
            <w:pPr>
              <w:pStyle w:val="null3"/>
            </w:pPr>
            <w:r>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1384"/>
          </w:tcPr>
          <w:p>
            <w:pPr>
              <w:pStyle w:val="null3"/>
              <w:jc w:val="right"/>
            </w:pPr>
            <w:r>
              <w:rPr/>
              <w:t>30.0000</w:t>
            </w:r>
          </w:p>
        </w:tc>
        <w:tc>
          <w:tcPr>
            <w:tcW w:type="dxa" w:w="1384"/>
          </w:tcPr>
          <w:p>
            <w:pPr>
              <w:pStyle w:val="null3"/>
            </w:pPr>
            <w:r>
              <w:rPr/>
              <w:t>是</w:t>
            </w:r>
          </w:p>
        </w:tc>
      </w:tr>
    </w:tbl>
    <w:p>
      <w:pPr>
        <w:pStyle w:val="null3"/>
      </w:pPr>
      <w:r>
        <w:rPr/>
        <w:t>10、合同管理安排</w:t>
      </w:r>
    </w:p>
    <w:p>
      <w:pPr>
        <w:pStyle w:val="null3"/>
        <w:ind w:firstLine="840"/>
      </w:pPr>
      <w:r>
        <w:rPr/>
        <w:t>1）合同类型：</w:t>
      </w:r>
      <w:r>
        <w:rPr/>
        <w:t>建设工程合同</w:t>
      </w:r>
    </w:p>
    <w:p>
      <w:pPr>
        <w:pStyle w:val="null3"/>
        <w:ind w:firstLine="840"/>
      </w:pPr>
      <w:r>
        <w:rPr/>
        <w:t xml:space="preserve">2）合同履行期限： </w:t>
      </w:r>
      <w:r>
        <w:rPr/>
        <w:t>自合同签订之日起20个日历日内竣工</w:t>
      </w:r>
    </w:p>
    <w:p>
      <w:pPr>
        <w:pStyle w:val="null3"/>
        <w:ind w:firstLine="840"/>
      </w:pPr>
      <w:r>
        <w:rPr/>
        <w:t>3）合同履约地点：</w:t>
      </w:r>
      <w:r>
        <w:rPr/>
        <w:t>西安市碑林区沙坡小学</w:t>
      </w:r>
    </w:p>
    <w:p>
      <w:pPr>
        <w:pStyle w:val="null3"/>
        <w:ind w:firstLine="840"/>
      </w:pPr>
      <w:r>
        <w:rPr/>
        <w:t>4）支付方式：</w:t>
      </w:r>
      <w:r>
        <w:rPr/>
        <w:t>分期付款</w:t>
      </w:r>
    </w:p>
    <w:p>
      <w:pPr>
        <w:pStyle w:val="null3"/>
        <w:ind w:firstLine="840"/>
      </w:pPr>
      <w:r>
        <w:rPr/>
        <w:t>5）履约保证金及缴纳形式：</w:t>
      </w:r>
    </w:p>
    <w:p>
      <w:pPr>
        <w:pStyle w:val="null3"/>
      </w:pPr>
      <w:r>
        <w:rPr/>
        <w:t>中标/成交供应商是否需要缴纳履约保证金：</w:t>
      </w:r>
      <w:r>
        <w:rPr/>
        <w:t>否</w:t>
      </w:r>
    </w:p>
    <w:p>
      <w:pPr>
        <w:pStyle w:val="null3"/>
        <w:ind w:firstLine="840"/>
      </w:pPr>
      <w:r>
        <w:rPr/>
        <w:t>6）质量保证金及缴纳形式：</w:t>
      </w:r>
    </w:p>
    <w:p>
      <w:pPr>
        <w:pStyle w:val="null3"/>
      </w:pPr>
      <w:r>
        <w:rPr/>
        <w:t>中标/成交供应商是否需要缴纳质量保证金：</w:t>
      </w:r>
      <w:r>
        <w:rPr/>
        <w:t>否</w:t>
      </w:r>
    </w:p>
    <w:p>
      <w:pPr>
        <w:pStyle w:val="null3"/>
        <w:ind w:firstLine="840"/>
      </w:pPr>
      <w:r>
        <w:rPr/>
        <w:t>7）合同支付约定：</w:t>
      </w:r>
    </w:p>
    <w:p>
      <w:pPr>
        <w:pStyle w:val="null3"/>
      </w:pPr>
      <w:r>
        <w:rPr/>
        <w:t>1、</w:t>
      </w:r>
      <w:r>
        <w:rPr/>
        <w:t xml:space="preserve"> 付款条件说明： </w:t>
      </w:r>
      <w:r>
        <w:rPr/>
        <w:t>合同签订后，支付合同总价款40%作为预付款</w:t>
      </w:r>
      <w:r>
        <w:rPr/>
        <w:t xml:space="preserve"> ，达到付款条件起 </w:t>
      </w:r>
      <w:r>
        <w:rPr/>
        <w:t>20</w:t>
      </w:r>
      <w:r>
        <w:rPr/>
        <w:t xml:space="preserve"> 日内，支付合同总金额的 </w:t>
      </w:r>
      <w:r>
        <w:rPr/>
        <w:t>40.00</w:t>
      </w:r>
      <w:r>
        <w:rPr/>
        <w:t>%。</w:t>
      </w:r>
    </w:p>
    <w:p>
      <w:pPr>
        <w:pStyle w:val="null3"/>
        <w:ind w:firstLine="1200"/>
      </w:pPr>
      <w:r>
        <w:rPr/>
        <w:t>2、</w:t>
      </w:r>
      <w:r>
        <w:rPr/>
        <w:t xml:space="preserve"> 付款条件说明： </w:t>
      </w:r>
      <w:r>
        <w:rPr/>
        <w:t>竣工验收合格后付至合同总价款80%</w:t>
      </w:r>
      <w:r>
        <w:rPr/>
        <w:t xml:space="preserve"> ，达到付款条件起 </w:t>
      </w:r>
      <w:r>
        <w:rPr/>
        <w:t>20</w:t>
      </w:r>
      <w:r>
        <w:rPr/>
        <w:t xml:space="preserve"> 日内，支付合同总金额的 </w:t>
      </w:r>
      <w:r>
        <w:rPr/>
        <w:t>40.00</w:t>
      </w:r>
      <w:r>
        <w:rPr/>
        <w:t>%。</w:t>
      </w:r>
    </w:p>
    <w:p>
      <w:pPr>
        <w:pStyle w:val="null3"/>
        <w:ind w:firstLine="1200"/>
      </w:pPr>
      <w:r>
        <w:rPr/>
        <w:t>3、</w:t>
      </w:r>
      <w:r>
        <w:rPr/>
        <w:t xml:space="preserve"> 付款条件说明： </w:t>
      </w:r>
      <w:r>
        <w:rPr/>
        <w:t>竣工结算审计完成后付至审定的结算工程造价的97%</w:t>
      </w:r>
      <w:r>
        <w:rPr/>
        <w:t xml:space="preserve"> ，达到付款条件起 </w:t>
      </w:r>
      <w:r>
        <w:rPr/>
        <w:t>20</w:t>
      </w:r>
      <w:r>
        <w:rPr/>
        <w:t xml:space="preserve"> 日内，支付合同总金额的 </w:t>
      </w:r>
      <w:r>
        <w:rPr/>
        <w:t>17.00</w:t>
      </w:r>
      <w:r>
        <w:rPr/>
        <w:t>%。</w:t>
      </w:r>
    </w:p>
    <w:p>
      <w:pPr>
        <w:pStyle w:val="null3"/>
        <w:ind w:firstLine="1200"/>
      </w:pPr>
      <w:r>
        <w:rPr/>
        <w:t>4、</w:t>
      </w:r>
      <w:r>
        <w:rPr/>
        <w:t xml:space="preserve"> 付款条件说明： </w:t>
      </w:r>
      <w:r>
        <w:rPr/>
        <w:t>待保修期满后14日内，将扣除承包人应承担的维修责任后的余额部分（如有），无息一次性付清。</w:t>
      </w:r>
      <w:r>
        <w:rPr/>
        <w:t xml:space="preserve"> ，达到付款条件起 </w:t>
      </w:r>
      <w:r>
        <w:rPr/>
        <w:t>14</w:t>
      </w:r>
      <w:r>
        <w:rPr/>
        <w:t xml:space="preserve"> 日内，支付合同总金额的 </w:t>
      </w:r>
      <w:r>
        <w:rPr/>
        <w:t>3.00</w:t>
      </w:r>
      <w:r>
        <w:rPr/>
        <w:t>%。</w:t>
      </w:r>
    </w:p>
    <w:p>
      <w:pPr>
        <w:pStyle w:val="null3"/>
        <w:ind w:firstLine="840"/>
      </w:pPr>
      <w:r>
        <w:rPr/>
        <w:t>8）验收交付标准和方法：</w:t>
      </w:r>
      <w:r>
        <w:rPr/>
        <w:t>采购包1： 一、工程类项目应当按照《建筑工程施工质量验收统一标准》GB50300-2013等行业管理部门规定的标准、方法和内容进行验收。 工程类项目验收包括工程施工质量的过程验收和竣工验收。实施主体包括施工单位和监理、设计、建设单位等。 1.工程质量验收程序与组织 (1)施工单位在隐蔽工程隐蔽前通知建设单位（或工程监理单位）进行验收，并按规定形成验收文件； (2)分部分项工程完成，应在施工单位自行验收合格后，通知建设单位（或工程监理单位）验收，重要的分部分项工程应请设计单位参加验收； (3)施工单位应在单位工程完工后，自行组织检查、评定，符合验收标准，向建设单位提交验收申请； (4)建设单位收到验收申请后，应组织施工、勘察、设计、监理单位等方面人员进行单位工程验收，并适时根据有关规定实行全项目（如群体工程）的验收，明确验收结果，并形成验收报告； (5)按国家现行管理制度，房屋建筑工程及市政基础设施工程验收合格后，尚需在规定时间内，将验收文件报政府管理部门备案。 2.建设工程施工质量验收的要求 (1)在工程质量验收之前，施工单位应完成自行的检查评定； (2)应安排具有规定资格的人员参加施工质量验收； (3)工程建设项目的施工过程，应符合工程勘察、设计文件的要求 (4)隐蔽工程应在隐蔽前由施工单位通知有关单位进行验收，并形成验收文件；单位工程施工质量应该符合相关验收规范的标准； (5)涉及结构安全的材料及施工内容，应有按照规定对材料及施工内容进行见证取样的资料等； (6)对涉及结构安全和使用功能的重要部分工程、专业工程应进行功能性抽样检测； (7)工程外观质量应由验收人员通过现场检查后共同确认结果。 3.建设工程施工质量检查评定验收的基本内容及方法 (1)分部分项工程内容的抽样检查； (2)施工质量保证资料的检查，包括施工全过程的技术质量管理资料，其中以原材料、施工检测、测量复核及功能性试验资料为重点检查内容； (3)工程外观质量检查和确认。 4.工程质量不符合要求的处理 (1)勘察、设计成果存在缺陷时，应根据规定及时实施完善； (2)经返工或更换设备的工程，必须重新检查验收； (3)经有资质的检测单位检测鉴定达到设计要求的工程应予以验收； (4)经返修或加固处理的工程，虽局部尺寸等不符合设计要求，但仍然可以满足使用要求的，可按有关规定进行验收； (5)经返修和加固后仍不能满足使用要求的工程严禁通验收。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840"/>
      </w:pPr>
      <w:r>
        <w:rPr/>
        <w:t>9）质量保修范围和保修期：</w:t>
      </w:r>
      <w:r>
        <w:rPr/>
        <w:t>缺陷责任期：本工程缺陷责任期为24个月，缺陷责任期自工程竣工验收合格之日起计算。 2.工程质量保修期：自工程竣工验收合格之日起 两年 。</w:t>
      </w:r>
    </w:p>
    <w:p>
      <w:pPr>
        <w:pStyle w:val="null3"/>
        <w:ind w:firstLine="840"/>
      </w:pPr>
      <w:r>
        <w:rPr/>
        <w:t>10）知识产权归属和处理方式：</w:t>
      </w:r>
      <w:r>
        <w:rPr/>
        <w:t>详见建筑工程施工合同</w:t>
      </w:r>
    </w:p>
    <w:p>
      <w:pPr>
        <w:pStyle w:val="null3"/>
        <w:ind w:firstLine="840"/>
      </w:pPr>
      <w:r>
        <w:rPr/>
        <w:t>11）成本补偿和风险分担约定：</w:t>
      </w:r>
      <w:r>
        <w:rPr/>
        <w:t>详见建筑工程施工合同</w:t>
      </w:r>
    </w:p>
    <w:p>
      <w:pPr>
        <w:pStyle w:val="null3"/>
        <w:ind w:firstLine="840"/>
      </w:pPr>
      <w:r>
        <w:rPr/>
        <w:t>12）违约责任与解决争议的方法：</w:t>
      </w:r>
      <w:r>
        <w:rPr/>
        <w:t>详见建筑工程施工合同</w:t>
      </w:r>
    </w:p>
    <w:p>
      <w:pPr>
        <w:pStyle w:val="null3"/>
        <w:ind w:firstLine="840"/>
      </w:pPr>
      <w:r>
        <w:rPr/>
        <w:t>13）合同其他条款：</w:t>
      </w:r>
      <w:r>
        <w:rPr/>
        <w:t>详见建筑工程施工合同</w:t>
      </w:r>
    </w:p>
    <w:p>
      <w:pPr>
        <w:pStyle w:val="null3"/>
      </w:pPr>
      <w:r>
        <w:rPr/>
        <w:t>11、履约验收方案</w:t>
      </w:r>
    </w:p>
    <w:p>
      <w:pPr>
        <w:pStyle w:val="null3"/>
        <w:ind w:firstLine="840"/>
      </w:pPr>
      <w:r>
        <w:rPr/>
        <w:t>1）验收组织方式：</w:t>
      </w:r>
      <w:r>
        <w:rPr/>
        <w:t>自行验收</w:t>
      </w:r>
    </w:p>
    <w:p>
      <w:pPr>
        <w:pStyle w:val="null3"/>
        <w:ind w:firstLine="840"/>
      </w:pPr>
      <w:r>
        <w:rPr/>
        <w:t>2）是否邀请本项目的其他供应商：</w:t>
      </w:r>
      <w:r>
        <w:rPr/>
        <w:t>否</w:t>
      </w:r>
    </w:p>
    <w:p>
      <w:pPr>
        <w:pStyle w:val="null3"/>
        <w:ind w:firstLine="840"/>
      </w:pPr>
      <w:r>
        <w:rPr/>
        <w:t>3）是否邀请专家：</w:t>
      </w:r>
      <w:r>
        <w:rPr/>
        <w:t>否</w:t>
      </w:r>
    </w:p>
    <w:p>
      <w:pPr>
        <w:pStyle w:val="null3"/>
        <w:ind w:firstLine="840"/>
      </w:pPr>
      <w:r>
        <w:rPr/>
        <w:t>4）是否邀请服务对象：</w:t>
      </w:r>
      <w:r>
        <w:rPr/>
        <w:t>否</w:t>
      </w:r>
    </w:p>
    <w:p>
      <w:pPr>
        <w:pStyle w:val="null3"/>
        <w:ind w:firstLine="840"/>
      </w:pPr>
      <w:r>
        <w:rPr/>
        <w:t>5）是否邀请第三方检测机构：</w:t>
      </w:r>
      <w:r>
        <w:rPr/>
        <w:t>否</w:t>
      </w:r>
    </w:p>
    <w:p>
      <w:pPr>
        <w:pStyle w:val="null3"/>
        <w:ind w:firstLine="840"/>
      </w:pPr>
      <w:r>
        <w:rPr/>
        <w:t>6）履约验收程序：</w:t>
      </w:r>
      <w:r>
        <w:rPr/>
        <w:t>一次性验收</w:t>
      </w:r>
    </w:p>
    <w:p>
      <w:pPr>
        <w:pStyle w:val="null3"/>
        <w:ind w:firstLine="840"/>
      </w:pPr>
      <w:r>
        <w:rPr/>
        <w:t>7）履约验收时间：</w:t>
      </w:r>
    </w:p>
    <w:p>
      <w:pPr>
        <w:pStyle w:val="null3"/>
      </w:pPr>
      <w:r>
        <w:rPr/>
        <w:t>供应商提出验收申请之日起</w:t>
      </w:r>
      <w:r>
        <w:rPr/>
        <w:t>30</w:t>
      </w:r>
      <w:r>
        <w:rPr/>
        <w:t>日内组织验收</w:t>
      </w:r>
    </w:p>
    <w:p>
      <w:pPr>
        <w:pStyle w:val="null3"/>
        <w:ind w:firstLine="840"/>
      </w:pPr>
      <w:r>
        <w:rPr/>
        <w:t>8）验收组织的其他事项：</w:t>
      </w:r>
      <w:r>
        <w:rPr/>
        <w:t>详见建筑工程施工合同</w:t>
      </w:r>
    </w:p>
    <w:p>
      <w:pPr>
        <w:pStyle w:val="null3"/>
        <w:ind w:firstLine="840"/>
      </w:pPr>
      <w:r>
        <w:rPr/>
        <w:t>9）技术履约验收内容：</w:t>
      </w:r>
      <w:r>
        <w:rPr/>
        <w:t>详见建筑工程施工合同</w:t>
      </w:r>
    </w:p>
    <w:p>
      <w:pPr>
        <w:pStyle w:val="null3"/>
        <w:ind w:firstLine="840"/>
      </w:pPr>
      <w:r>
        <w:rPr/>
        <w:t>10）商务履约验收内容：</w:t>
      </w:r>
      <w:r>
        <w:rPr/>
        <w:t>详见建筑工程施工合同</w:t>
      </w:r>
    </w:p>
    <w:p>
      <w:pPr>
        <w:pStyle w:val="null3"/>
        <w:ind w:firstLine="840"/>
      </w:pPr>
      <w:r>
        <w:rPr/>
        <w:t>11）履约验收标准：</w:t>
      </w:r>
      <w:r>
        <w:rPr/>
        <w:t>工程类项目应当按照《建筑工程施工质量验收统一标准》GB50300-2013等行业管理部门规定的标准、方法和内容进行验收。</w:t>
      </w:r>
    </w:p>
    <w:p>
      <w:pPr>
        <w:pStyle w:val="null3"/>
        <w:ind w:firstLine="840"/>
      </w:pPr>
      <w:r>
        <w:rPr/>
        <w:t>12）履约验收其他事项：</w:t>
      </w:r>
      <w:r>
        <w:rPr/>
        <w:t>详见建筑工程施工合同</w:t>
      </w:r>
    </w:p>
    <w:p>
      <w:pPr>
        <w:pStyle w:val="null3"/>
        <w:outlineLvl w:val="2"/>
      </w:pPr>
      <w:r>
        <w:rPr>
          <w:sz w:val="28"/>
          <w:b/>
        </w:rPr>
        <w:t>五、风险控制措施和替代方案</w:t>
      </w:r>
    </w:p>
    <w:p>
      <w:pPr>
        <w:pStyle w:val="null3"/>
        <w:ind w:firstLine="840"/>
      </w:pPr>
      <w:r>
        <w:rPr/>
        <w:t>该采购项目按照《政府采购需求管理办法》第二十五条规定，本项目是否需要组织风险判断、提出处置措施和替代方案：</w:t>
      </w:r>
      <w:r>
        <w:rPr/>
        <w:t>否</w:t>
      </w:r>
    </w:p>
    <w:p>
      <w:pPr>
        <w:pStyle w:val="null3"/>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