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26966A">
      <w:pPr>
        <w:jc w:val="center"/>
        <w:rPr>
          <w:b/>
          <w:bCs/>
          <w:sz w:val="32"/>
          <w:szCs w:val="40"/>
        </w:rPr>
      </w:pPr>
      <w:r>
        <w:rPr>
          <w:rFonts w:hint="eastAsia"/>
          <w:b/>
          <w:bCs/>
          <w:sz w:val="32"/>
          <w:szCs w:val="40"/>
        </w:rPr>
        <w:t>政府采购需求书（货物类）</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
        <w:gridCol w:w="1710"/>
        <w:gridCol w:w="5907"/>
      </w:tblGrid>
      <w:tr w14:paraId="22593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05" w:type="dxa"/>
            <w:vAlign w:val="center"/>
          </w:tcPr>
          <w:p w14:paraId="488801B8">
            <w:pPr>
              <w:jc w:val="center"/>
              <w:rPr>
                <w:rFonts w:ascii="宋体" w:hAnsi="宋体" w:eastAsia="宋体" w:cs="宋体"/>
                <w:sz w:val="21"/>
                <w:szCs w:val="21"/>
              </w:rPr>
            </w:pPr>
            <w:r>
              <w:rPr>
                <w:rFonts w:hint="eastAsia" w:ascii="宋体" w:hAnsi="宋体" w:eastAsia="宋体" w:cs="宋体"/>
                <w:sz w:val="21"/>
                <w:szCs w:val="21"/>
              </w:rPr>
              <w:t>序号</w:t>
            </w:r>
          </w:p>
        </w:tc>
        <w:tc>
          <w:tcPr>
            <w:tcW w:w="1710" w:type="dxa"/>
            <w:vAlign w:val="center"/>
          </w:tcPr>
          <w:p w14:paraId="58B63F80">
            <w:pPr>
              <w:jc w:val="center"/>
              <w:rPr>
                <w:rFonts w:ascii="宋体" w:hAnsi="宋体" w:eastAsia="宋体" w:cs="宋体"/>
                <w:sz w:val="21"/>
                <w:szCs w:val="21"/>
              </w:rPr>
            </w:pPr>
            <w:r>
              <w:rPr>
                <w:rFonts w:hint="eastAsia" w:ascii="宋体" w:hAnsi="宋体" w:eastAsia="宋体" w:cs="宋体"/>
                <w:sz w:val="21"/>
                <w:szCs w:val="21"/>
              </w:rPr>
              <w:t>关键事项</w:t>
            </w:r>
          </w:p>
        </w:tc>
        <w:tc>
          <w:tcPr>
            <w:tcW w:w="5907" w:type="dxa"/>
            <w:vAlign w:val="center"/>
          </w:tcPr>
          <w:p w14:paraId="5148097F">
            <w:pPr>
              <w:jc w:val="center"/>
              <w:rPr>
                <w:rFonts w:ascii="宋体" w:hAnsi="宋体" w:eastAsia="宋体" w:cs="宋体"/>
                <w:sz w:val="21"/>
                <w:szCs w:val="21"/>
              </w:rPr>
            </w:pPr>
            <w:r>
              <w:rPr>
                <w:rFonts w:hint="eastAsia" w:ascii="宋体" w:hAnsi="宋体" w:eastAsia="宋体" w:cs="宋体"/>
                <w:sz w:val="21"/>
                <w:szCs w:val="21"/>
              </w:rPr>
              <w:t>说明和要求</w:t>
            </w:r>
          </w:p>
        </w:tc>
      </w:tr>
      <w:tr w14:paraId="6CE45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trPr>
        <w:tc>
          <w:tcPr>
            <w:tcW w:w="905" w:type="dxa"/>
            <w:vAlign w:val="center"/>
          </w:tcPr>
          <w:p w14:paraId="59422654">
            <w:pPr>
              <w:jc w:val="center"/>
              <w:rPr>
                <w:rFonts w:ascii="宋体" w:hAnsi="宋体" w:eastAsia="宋体" w:cs="宋体"/>
                <w:sz w:val="21"/>
                <w:szCs w:val="21"/>
              </w:rPr>
            </w:pPr>
            <w:r>
              <w:rPr>
                <w:rFonts w:hint="eastAsia" w:ascii="宋体" w:hAnsi="宋体" w:eastAsia="宋体" w:cs="宋体"/>
                <w:sz w:val="21"/>
                <w:szCs w:val="21"/>
              </w:rPr>
              <w:t>1</w:t>
            </w:r>
          </w:p>
        </w:tc>
        <w:tc>
          <w:tcPr>
            <w:tcW w:w="1710" w:type="dxa"/>
            <w:vAlign w:val="center"/>
          </w:tcPr>
          <w:p w14:paraId="19FE6761">
            <w:pPr>
              <w:jc w:val="center"/>
              <w:rPr>
                <w:rFonts w:ascii="宋体" w:hAnsi="宋体" w:eastAsia="宋体" w:cs="宋体"/>
                <w:sz w:val="21"/>
                <w:szCs w:val="21"/>
              </w:rPr>
            </w:pPr>
            <w:r>
              <w:rPr>
                <w:rFonts w:hint="eastAsia" w:ascii="宋体" w:hAnsi="宋体" w:eastAsia="宋体" w:cs="宋体"/>
                <w:sz w:val="21"/>
                <w:szCs w:val="21"/>
              </w:rPr>
              <w:t>采购预算</w:t>
            </w:r>
          </w:p>
        </w:tc>
        <w:tc>
          <w:tcPr>
            <w:tcW w:w="5907" w:type="dxa"/>
            <w:vAlign w:val="center"/>
          </w:tcPr>
          <w:p w14:paraId="2BA214F1">
            <w:pPr>
              <w:rPr>
                <w:rFonts w:ascii="宋体" w:hAnsi="宋体" w:eastAsia="宋体" w:cs="宋体"/>
                <w:sz w:val="21"/>
                <w:szCs w:val="21"/>
              </w:rPr>
            </w:pPr>
            <w:r>
              <w:rPr>
                <w:rFonts w:hint="eastAsia" w:ascii="宋体" w:hAnsi="宋体" w:eastAsia="宋体" w:cs="宋体"/>
                <w:sz w:val="21"/>
                <w:szCs w:val="21"/>
              </w:rPr>
              <w:t>人民币</w:t>
            </w:r>
            <w:r>
              <w:rPr>
                <w:rFonts w:hint="eastAsia" w:ascii="宋体" w:hAnsi="宋体" w:eastAsia="宋体" w:cs="宋体"/>
                <w:sz w:val="21"/>
                <w:szCs w:val="21"/>
                <w:u w:val="single"/>
              </w:rPr>
              <w:t xml:space="preserve"> </w:t>
            </w:r>
            <w:r>
              <w:rPr>
                <w:rFonts w:ascii="宋体" w:hAnsi="宋体" w:eastAsia="宋体" w:cs="宋体"/>
                <w:sz w:val="21"/>
                <w:szCs w:val="21"/>
                <w:u w:val="single"/>
              </w:rPr>
              <w:t>1250000</w:t>
            </w:r>
            <w:r>
              <w:rPr>
                <w:rFonts w:hint="eastAsia" w:ascii="宋体" w:hAnsi="宋体" w:eastAsia="宋体" w:cs="宋体"/>
                <w:sz w:val="21"/>
                <w:szCs w:val="21"/>
                <w:u w:val="single"/>
              </w:rPr>
              <w:t xml:space="preserve">.00 </w:t>
            </w:r>
            <w:r>
              <w:rPr>
                <w:rFonts w:hint="eastAsia" w:ascii="宋体" w:hAnsi="宋体" w:eastAsia="宋体" w:cs="宋体"/>
                <w:sz w:val="21"/>
                <w:szCs w:val="21"/>
              </w:rPr>
              <w:t>元</w:t>
            </w:r>
          </w:p>
          <w:p w14:paraId="31FD4E53">
            <w:pPr>
              <w:jc w:val="left"/>
              <w:rPr>
                <w:rFonts w:ascii="宋体" w:hAnsi="宋体" w:eastAsia="宋体" w:cs="宋体"/>
                <w:sz w:val="21"/>
                <w:szCs w:val="21"/>
              </w:rPr>
            </w:pPr>
            <w:r>
              <w:rPr>
                <w:rFonts w:hint="eastAsia" w:ascii="宋体" w:hAnsi="宋体" w:eastAsia="宋体" w:cs="宋体"/>
                <w:sz w:val="21"/>
                <w:szCs w:val="21"/>
              </w:rPr>
              <w:t>仅指与本次采购标的直接相关的费用，前期勘察费、设计费等已发生的费用，以及监理费、接口费等为未来预留费用，不应当包含在本项目采购预算内，甲方须向本级财政部门经费业务科室申请办理经费剥离手续。</w:t>
            </w:r>
          </w:p>
        </w:tc>
      </w:tr>
      <w:tr w14:paraId="43937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Align w:val="center"/>
          </w:tcPr>
          <w:p w14:paraId="1E058B95">
            <w:pPr>
              <w:jc w:val="center"/>
              <w:rPr>
                <w:rFonts w:ascii="宋体" w:hAnsi="宋体" w:eastAsia="宋体" w:cs="宋体"/>
                <w:sz w:val="21"/>
                <w:szCs w:val="21"/>
              </w:rPr>
            </w:pPr>
            <w:r>
              <w:rPr>
                <w:rFonts w:hint="eastAsia" w:ascii="宋体" w:hAnsi="宋体" w:eastAsia="宋体" w:cs="宋体"/>
                <w:sz w:val="21"/>
                <w:szCs w:val="21"/>
              </w:rPr>
              <w:t>2</w:t>
            </w:r>
          </w:p>
        </w:tc>
        <w:tc>
          <w:tcPr>
            <w:tcW w:w="1710" w:type="dxa"/>
            <w:vAlign w:val="center"/>
          </w:tcPr>
          <w:p w14:paraId="02940582">
            <w:pPr>
              <w:jc w:val="center"/>
              <w:rPr>
                <w:rFonts w:ascii="宋体" w:hAnsi="宋体" w:eastAsia="宋体" w:cs="宋体"/>
                <w:sz w:val="21"/>
                <w:szCs w:val="21"/>
              </w:rPr>
            </w:pPr>
            <w:r>
              <w:rPr>
                <w:rFonts w:hint="eastAsia" w:ascii="宋体" w:hAnsi="宋体" w:eastAsia="宋体" w:cs="宋体"/>
                <w:sz w:val="21"/>
                <w:szCs w:val="21"/>
              </w:rPr>
              <w:t>最高限价</w:t>
            </w:r>
          </w:p>
        </w:tc>
        <w:tc>
          <w:tcPr>
            <w:tcW w:w="5907" w:type="dxa"/>
            <w:vAlign w:val="center"/>
          </w:tcPr>
          <w:p w14:paraId="51A734AB">
            <w:pPr>
              <w:rPr>
                <w:rFonts w:ascii="宋体" w:hAnsi="宋体" w:eastAsia="宋体" w:cs="宋体"/>
                <w:sz w:val="21"/>
                <w:szCs w:val="21"/>
              </w:rPr>
            </w:pPr>
            <w:r>
              <w:rPr>
                <w:rFonts w:hint="eastAsia" w:ascii="宋体" w:hAnsi="宋体" w:eastAsia="宋体" w:cs="宋体"/>
                <w:sz w:val="21"/>
                <w:szCs w:val="21"/>
              </w:rPr>
              <w:t>人民币</w:t>
            </w:r>
            <w:r>
              <w:rPr>
                <w:rFonts w:hint="eastAsia" w:ascii="宋体" w:hAnsi="宋体" w:eastAsia="宋体" w:cs="宋体"/>
                <w:sz w:val="21"/>
                <w:szCs w:val="21"/>
                <w:u w:val="single"/>
              </w:rPr>
              <w:t xml:space="preserve"> </w:t>
            </w:r>
            <w:r>
              <w:rPr>
                <w:rFonts w:ascii="宋体" w:hAnsi="宋体" w:eastAsia="宋体" w:cs="宋体"/>
                <w:sz w:val="21"/>
                <w:szCs w:val="21"/>
                <w:u w:val="single"/>
              </w:rPr>
              <w:t>1250000</w:t>
            </w:r>
            <w:r>
              <w:rPr>
                <w:rFonts w:hint="eastAsia" w:ascii="宋体" w:hAnsi="宋体" w:eastAsia="宋体" w:cs="宋体"/>
                <w:sz w:val="21"/>
                <w:szCs w:val="21"/>
                <w:u w:val="single"/>
              </w:rPr>
              <w:t xml:space="preserve">.00 </w:t>
            </w:r>
            <w:r>
              <w:rPr>
                <w:rFonts w:hint="eastAsia" w:ascii="宋体" w:hAnsi="宋体" w:eastAsia="宋体" w:cs="宋体"/>
                <w:sz w:val="21"/>
                <w:szCs w:val="21"/>
              </w:rPr>
              <w:t>元</w:t>
            </w:r>
          </w:p>
          <w:p w14:paraId="73915DA4">
            <w:pPr>
              <w:jc w:val="left"/>
              <w:rPr>
                <w:rFonts w:ascii="宋体" w:hAnsi="宋体" w:eastAsia="宋体" w:cs="宋体"/>
                <w:sz w:val="21"/>
                <w:szCs w:val="21"/>
              </w:rPr>
            </w:pPr>
            <w:r>
              <w:rPr>
                <w:rFonts w:hint="eastAsia" w:ascii="宋体" w:hAnsi="宋体" w:eastAsia="宋体" w:cs="宋体"/>
                <w:sz w:val="21"/>
                <w:szCs w:val="21"/>
              </w:rPr>
              <w:t>供应商投标报价高于最高限价的则其投标文件将按无效投标文件处理。</w:t>
            </w:r>
          </w:p>
        </w:tc>
      </w:tr>
      <w:tr w14:paraId="0C65D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Merge w:val="restart"/>
            <w:vAlign w:val="center"/>
          </w:tcPr>
          <w:p w14:paraId="299C4D76">
            <w:pPr>
              <w:jc w:val="center"/>
              <w:rPr>
                <w:rFonts w:ascii="宋体" w:hAnsi="宋体" w:eastAsia="宋体" w:cs="宋体"/>
                <w:sz w:val="21"/>
                <w:szCs w:val="21"/>
              </w:rPr>
            </w:pPr>
            <w:r>
              <w:rPr>
                <w:rFonts w:hint="eastAsia" w:ascii="宋体" w:hAnsi="宋体" w:eastAsia="宋体" w:cs="宋体"/>
                <w:sz w:val="21"/>
                <w:szCs w:val="21"/>
              </w:rPr>
              <w:t>3</w:t>
            </w:r>
          </w:p>
        </w:tc>
        <w:tc>
          <w:tcPr>
            <w:tcW w:w="1710" w:type="dxa"/>
            <w:vMerge w:val="restart"/>
            <w:vAlign w:val="center"/>
          </w:tcPr>
          <w:p w14:paraId="320F9676">
            <w:pPr>
              <w:jc w:val="center"/>
              <w:rPr>
                <w:rFonts w:ascii="宋体" w:hAnsi="宋体" w:eastAsia="宋体" w:cs="宋体"/>
                <w:sz w:val="21"/>
                <w:szCs w:val="21"/>
              </w:rPr>
            </w:pPr>
            <w:r>
              <w:rPr>
                <w:rFonts w:hint="eastAsia" w:ascii="宋体" w:hAnsi="宋体" w:eastAsia="宋体" w:cs="宋体"/>
                <w:sz w:val="21"/>
                <w:szCs w:val="21"/>
              </w:rPr>
              <w:t>项目性质</w:t>
            </w:r>
          </w:p>
        </w:tc>
        <w:tc>
          <w:tcPr>
            <w:tcW w:w="5907" w:type="dxa"/>
            <w:vAlign w:val="center"/>
          </w:tcPr>
          <w:p w14:paraId="7242E919">
            <w:pPr>
              <w:rPr>
                <w:rFonts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eq \o\ac(</w:instrText>
            </w:r>
            <w:r>
              <w:rPr>
                <w:rFonts w:hint="eastAsia" w:ascii="宋体" w:hAnsi="宋体" w:eastAsia="宋体" w:cs="宋体"/>
                <w:position w:val="-4"/>
                <w:sz w:val="31"/>
                <w:szCs w:val="21"/>
              </w:rPr>
              <w:instrText xml:space="preserve">□</w:instrText>
            </w:r>
            <w:r>
              <w:rPr>
                <w:rFonts w:hint="eastAsia" w:ascii="宋体" w:hAnsi="宋体" w:eastAsia="宋体" w:cs="宋体"/>
                <w:position w:val="0"/>
                <w:sz w:val="21"/>
                <w:szCs w:val="21"/>
              </w:rPr>
              <w:instrText xml:space="preserve">)</w:instrText>
            </w:r>
            <w:r>
              <w:rPr>
                <w:rFonts w:hint="eastAsia" w:ascii="宋体" w:hAnsi="宋体" w:eastAsia="宋体" w:cs="宋体"/>
                <w:sz w:val="21"/>
                <w:szCs w:val="21"/>
              </w:rPr>
              <w:fldChar w:fldCharType="end"/>
            </w:r>
            <w:r>
              <w:rPr>
                <w:rFonts w:hint="eastAsia" w:ascii="宋体" w:hAnsi="宋体" w:eastAsia="宋体" w:cs="宋体"/>
                <w:sz w:val="21"/>
                <w:szCs w:val="21"/>
              </w:rPr>
              <w:t>专门面向中小企业采购</w:t>
            </w:r>
          </w:p>
          <w:p w14:paraId="68051619">
            <w:pPr>
              <w:rPr>
                <w:rFonts w:ascii="宋体" w:hAnsi="宋体" w:eastAsia="宋体" w:cs="宋体"/>
                <w:sz w:val="21"/>
                <w:szCs w:val="21"/>
              </w:rPr>
            </w:pPr>
            <w:r>
              <w:rPr>
                <w:rFonts w:hint="eastAsia" w:ascii="宋体" w:hAnsi="宋体" w:eastAsia="宋体" w:cs="宋体"/>
                <w:sz w:val="21"/>
                <w:szCs w:val="21"/>
              </w:rPr>
              <w:t>仅允许中小企业或小型、微型企业参与投标</w:t>
            </w:r>
          </w:p>
        </w:tc>
      </w:tr>
      <w:tr w14:paraId="4688B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Merge w:val="continue"/>
            <w:vAlign w:val="center"/>
          </w:tcPr>
          <w:p w14:paraId="4DFB1359">
            <w:pPr>
              <w:jc w:val="center"/>
              <w:rPr>
                <w:rFonts w:ascii="宋体" w:hAnsi="宋体" w:eastAsia="宋体" w:cs="宋体"/>
                <w:sz w:val="21"/>
                <w:szCs w:val="21"/>
              </w:rPr>
            </w:pPr>
          </w:p>
        </w:tc>
        <w:tc>
          <w:tcPr>
            <w:tcW w:w="1710" w:type="dxa"/>
            <w:vMerge w:val="continue"/>
            <w:vAlign w:val="center"/>
          </w:tcPr>
          <w:p w14:paraId="680CEC55">
            <w:pPr>
              <w:jc w:val="center"/>
              <w:rPr>
                <w:rFonts w:ascii="宋体" w:hAnsi="宋体" w:eastAsia="宋体" w:cs="宋体"/>
                <w:sz w:val="21"/>
                <w:szCs w:val="21"/>
              </w:rPr>
            </w:pPr>
          </w:p>
        </w:tc>
        <w:tc>
          <w:tcPr>
            <w:tcW w:w="5907" w:type="dxa"/>
            <w:vAlign w:val="center"/>
          </w:tcPr>
          <w:p w14:paraId="1EEA3423">
            <w:pPr>
              <w:rPr>
                <w:rFonts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eq \o\ac(</w:instrText>
            </w:r>
            <w:r>
              <w:rPr>
                <w:rFonts w:hint="eastAsia" w:ascii="宋体" w:hAnsi="宋体" w:eastAsia="宋体" w:cs="宋体"/>
                <w:position w:val="-6"/>
                <w:sz w:val="48"/>
                <w:szCs w:val="21"/>
              </w:rPr>
              <w:instrText xml:space="preserve">□</w:instrText>
            </w:r>
            <w:r>
              <w:rPr>
                <w:rFonts w:hint="eastAsia" w:ascii="宋体" w:hAnsi="宋体" w:eastAsia="宋体" w:cs="宋体"/>
                <w:position w:val="0"/>
                <w:sz w:val="32"/>
                <w:szCs w:val="21"/>
              </w:rPr>
              <w:instrText xml:space="preserve">,</w:instrText>
            </w:r>
            <w:r>
              <w:rPr>
                <w:rFonts w:hint="eastAsia" w:ascii="宋体" w:hAnsi="宋体" w:eastAsia="宋体" w:cs="宋体"/>
                <w:position w:val="0"/>
                <w:sz w:val="21"/>
                <w:szCs w:val="21"/>
              </w:rPr>
              <w:instrText xml:space="preserve">√)</w:instrText>
            </w:r>
            <w:r>
              <w:rPr>
                <w:rFonts w:hint="eastAsia" w:ascii="宋体" w:hAnsi="宋体" w:eastAsia="宋体" w:cs="宋体"/>
                <w:sz w:val="21"/>
                <w:szCs w:val="21"/>
              </w:rPr>
              <w:fldChar w:fldCharType="end"/>
            </w:r>
            <w:r>
              <w:rPr>
                <w:rFonts w:hint="eastAsia" w:ascii="宋体" w:hAnsi="宋体" w:eastAsia="宋体" w:cs="宋体"/>
                <w:sz w:val="21"/>
                <w:szCs w:val="21"/>
              </w:rPr>
              <w:t>非专门面向中小企业采购</w:t>
            </w:r>
          </w:p>
          <w:p w14:paraId="549BEB33">
            <w:pPr>
              <w:rPr>
                <w:rFonts w:ascii="宋体" w:hAnsi="宋体" w:eastAsia="宋体" w:cs="宋体"/>
                <w:sz w:val="21"/>
                <w:szCs w:val="21"/>
              </w:rPr>
            </w:pPr>
            <w:r>
              <w:rPr>
                <w:rFonts w:hint="eastAsia" w:ascii="宋体" w:hAnsi="宋体" w:eastAsia="宋体" w:cs="宋体"/>
                <w:sz w:val="21"/>
                <w:szCs w:val="21"/>
              </w:rPr>
              <w:t>对符合《政府采购促进中小企业发展管理办法》（财库〔2020〕 46 号）规定的小微企业（监狱企业视同小型、微型企业）的报价给予</w:t>
            </w:r>
            <w:r>
              <w:rPr>
                <w:rFonts w:hint="eastAsia" w:ascii="宋体" w:hAnsi="宋体" w:eastAsia="宋体" w:cs="宋体"/>
                <w:sz w:val="21"/>
                <w:szCs w:val="21"/>
                <w:u w:val="single"/>
              </w:rPr>
              <w:t xml:space="preserve">   </w:t>
            </w:r>
            <w:r>
              <w:rPr>
                <w:rFonts w:hint="eastAsia" w:ascii="宋体" w:hAnsi="宋体" w:eastAsia="宋体" w:cs="宋体"/>
                <w:sz w:val="21"/>
                <w:szCs w:val="21"/>
              </w:rPr>
              <w:t>% （6%-10%）的扣除，用扣除后的价格参加评审。</w:t>
            </w:r>
          </w:p>
        </w:tc>
      </w:tr>
      <w:tr w14:paraId="706D1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Align w:val="center"/>
          </w:tcPr>
          <w:p w14:paraId="79FA67FA">
            <w:pPr>
              <w:jc w:val="center"/>
              <w:rPr>
                <w:rFonts w:ascii="宋体" w:hAnsi="宋体" w:eastAsia="宋体" w:cs="宋体"/>
                <w:sz w:val="21"/>
                <w:szCs w:val="21"/>
              </w:rPr>
            </w:pPr>
            <w:r>
              <w:rPr>
                <w:rFonts w:hint="eastAsia" w:ascii="宋体" w:hAnsi="宋体" w:eastAsia="宋体" w:cs="宋体"/>
                <w:sz w:val="21"/>
                <w:szCs w:val="21"/>
              </w:rPr>
              <w:t>4</w:t>
            </w:r>
          </w:p>
        </w:tc>
        <w:tc>
          <w:tcPr>
            <w:tcW w:w="1710" w:type="dxa"/>
            <w:vAlign w:val="center"/>
          </w:tcPr>
          <w:p w14:paraId="06F5250E">
            <w:pPr>
              <w:jc w:val="center"/>
              <w:rPr>
                <w:rFonts w:ascii="宋体" w:hAnsi="宋体" w:eastAsia="宋体" w:cs="宋体"/>
                <w:sz w:val="21"/>
                <w:szCs w:val="21"/>
              </w:rPr>
            </w:pPr>
            <w:r>
              <w:rPr>
                <w:rFonts w:hint="eastAsia" w:ascii="宋体" w:hAnsi="宋体" w:eastAsia="宋体" w:cs="宋体"/>
                <w:sz w:val="21"/>
                <w:szCs w:val="21"/>
              </w:rPr>
              <w:t>对供应商的资格要求</w:t>
            </w:r>
          </w:p>
        </w:tc>
        <w:tc>
          <w:tcPr>
            <w:tcW w:w="5907" w:type="dxa"/>
            <w:vAlign w:val="center"/>
          </w:tcPr>
          <w:p w14:paraId="02C0C8F7">
            <w:pPr>
              <w:pStyle w:val="6"/>
              <w:rPr>
                <w:b w:val="0"/>
                <w:bCs/>
                <w:sz w:val="21"/>
                <w:szCs w:val="20"/>
              </w:rPr>
            </w:pPr>
            <w:r>
              <w:rPr>
                <w:b w:val="0"/>
                <w:bCs/>
                <w:sz w:val="21"/>
                <w:szCs w:val="20"/>
              </w:rPr>
              <w:t>(1)供应商为具有独立承担民事责任能力的法人其他组织或自然人，并提供法人或者其他组织合法有效的营业执照等证明文件，事业单位应提供事业单位法人证书，自然人应提供身份证明文件；</w:t>
            </w:r>
          </w:p>
          <w:p w14:paraId="02C74909">
            <w:pPr>
              <w:pStyle w:val="6"/>
              <w:rPr>
                <w:b w:val="0"/>
                <w:bCs/>
                <w:sz w:val="21"/>
                <w:szCs w:val="20"/>
              </w:rPr>
            </w:pPr>
            <w:r>
              <w:rPr>
                <w:rFonts w:hint="eastAsia"/>
                <w:b w:val="0"/>
                <w:bCs/>
                <w:sz w:val="21"/>
                <w:szCs w:val="20"/>
              </w:rPr>
              <w:t>(2)供应商应授权合法的人员参加投标全过程，其中法定代表人直接参加投标的，须出具法人身份证复印件，并与营业执照上信息一致。法定代表人授权他人参加投标的，须出具法定代表人授权书及被授权人身份证复印件；</w:t>
            </w:r>
          </w:p>
          <w:p w14:paraId="610CF085">
            <w:pPr>
              <w:pStyle w:val="6"/>
              <w:rPr>
                <w:b w:val="0"/>
                <w:bCs/>
                <w:sz w:val="21"/>
                <w:szCs w:val="20"/>
              </w:rPr>
            </w:pPr>
            <w:r>
              <w:rPr>
                <w:rFonts w:hint="eastAsia"/>
                <w:b w:val="0"/>
                <w:bCs/>
                <w:sz w:val="21"/>
                <w:szCs w:val="20"/>
              </w:rPr>
              <w:t>(3)供应商应提供财务状况报告（以下两种方式任选其一）1．2023年度经审计的财务会计报告（至少包括审计报告、资产负债表、利润表、现金流量表、所有者权益变动表及其附注，成立时间至提交响应文件截止时间不足一年的可提供成立后任意时段的资产负债表）； 2．提交响应文件截止时间前三个月内其基本账户开户银行出具的资信证明（附基本存款账户信息）。</w:t>
            </w:r>
          </w:p>
          <w:p w14:paraId="5BE6E16C">
            <w:pPr>
              <w:pStyle w:val="6"/>
              <w:rPr>
                <w:b w:val="0"/>
                <w:bCs/>
                <w:sz w:val="21"/>
                <w:szCs w:val="20"/>
              </w:rPr>
            </w:pPr>
            <w:r>
              <w:rPr>
                <w:rFonts w:hint="eastAsia"/>
                <w:b w:val="0"/>
                <w:bCs/>
                <w:sz w:val="21"/>
                <w:szCs w:val="20"/>
              </w:rPr>
              <w:t>(4)提供2024年1月至今任意时段已缴纳完税凭证或税务机关开具的完税证明（任意税种）；依法免税的应提供相关文件证明；</w:t>
            </w:r>
          </w:p>
          <w:p w14:paraId="4B6FE9FC">
            <w:pPr>
              <w:pStyle w:val="6"/>
              <w:rPr>
                <w:b w:val="0"/>
                <w:bCs/>
                <w:sz w:val="21"/>
                <w:szCs w:val="20"/>
              </w:rPr>
            </w:pPr>
            <w:r>
              <w:rPr>
                <w:rFonts w:hint="eastAsia"/>
                <w:b w:val="0"/>
                <w:bCs/>
                <w:sz w:val="21"/>
                <w:szCs w:val="20"/>
              </w:rPr>
              <w:t>(5)提供2024年1月至今任意时段已缴纳的社会保障资金缴存单据或社保机构开具的社会保险参保缴费情况证明；依法不需要缴纳社会保障资金的应提供相关文件证明；</w:t>
            </w:r>
          </w:p>
          <w:p w14:paraId="0AC22C33">
            <w:pPr>
              <w:pStyle w:val="6"/>
              <w:rPr>
                <w:b w:val="0"/>
                <w:bCs/>
                <w:sz w:val="21"/>
                <w:szCs w:val="20"/>
              </w:rPr>
            </w:pPr>
            <w:r>
              <w:rPr>
                <w:rFonts w:hint="eastAsia"/>
                <w:b w:val="0"/>
                <w:bCs/>
                <w:sz w:val="21"/>
                <w:szCs w:val="20"/>
              </w:rPr>
              <w:t>(6)具备履行合同所必需的设备和专业技术能力</w:t>
            </w:r>
          </w:p>
          <w:p w14:paraId="40608BB3">
            <w:pPr>
              <w:pStyle w:val="6"/>
              <w:rPr>
                <w:b w:val="0"/>
                <w:bCs/>
                <w:sz w:val="21"/>
                <w:szCs w:val="20"/>
              </w:rPr>
            </w:pPr>
            <w:r>
              <w:rPr>
                <w:rFonts w:hint="eastAsia"/>
                <w:b w:val="0"/>
                <w:bCs/>
                <w:sz w:val="21"/>
                <w:szCs w:val="20"/>
              </w:rPr>
              <w:t>(7)参加政府采购活动前3年内，在经营活动中没有重大违法记录</w:t>
            </w:r>
          </w:p>
          <w:p w14:paraId="1E31CE4A">
            <w:pPr>
              <w:pStyle w:val="6"/>
              <w:rPr>
                <w:b w:val="0"/>
                <w:bCs/>
                <w:sz w:val="21"/>
                <w:szCs w:val="20"/>
              </w:rPr>
            </w:pPr>
            <w:r>
              <w:rPr>
                <w:rFonts w:hint="eastAsia"/>
                <w:b w:val="0"/>
                <w:bCs/>
                <w:sz w:val="21"/>
                <w:szCs w:val="20"/>
              </w:rPr>
              <w:t>(8)采购人或代理机构根据《关于在政府采购活动中查询及使用信用记录有关问题的通知》（财库〔2016〕125号）的要求，通过“信用中国”网站（www.creditchina.gov.cn）、“中国政府采购网”网站（www.ccgp.gov.cn）等渠道，查询供应商在响应文件提交截止时间前的信用记录并保存信用记录结果网页截图，拒绝列入失信被执行人名单、重大税收违法案件当事人名单、政府采购严重违法失信行为记录名单中的供应商参加本项目的采购活动。</w:t>
            </w:r>
          </w:p>
          <w:p w14:paraId="6711233E">
            <w:pPr>
              <w:pStyle w:val="6"/>
              <w:rPr>
                <w:sz w:val="36"/>
                <w:szCs w:val="32"/>
              </w:rPr>
            </w:pPr>
            <w:r>
              <w:rPr>
                <w:rFonts w:hint="eastAsia"/>
                <w:b w:val="0"/>
                <w:bCs/>
                <w:sz w:val="21"/>
                <w:szCs w:val="20"/>
              </w:rPr>
              <w:t>(9)供应商应提供《非联合体投标声明》，视为独立投标。</w:t>
            </w:r>
          </w:p>
        </w:tc>
      </w:tr>
      <w:tr w14:paraId="1D622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Merge w:val="restart"/>
            <w:vAlign w:val="center"/>
          </w:tcPr>
          <w:p w14:paraId="2FB524C6">
            <w:pPr>
              <w:jc w:val="center"/>
              <w:rPr>
                <w:rFonts w:ascii="宋体" w:hAnsi="宋体" w:eastAsia="宋体" w:cs="宋体"/>
                <w:sz w:val="21"/>
                <w:szCs w:val="21"/>
              </w:rPr>
            </w:pPr>
            <w:r>
              <w:rPr>
                <w:rFonts w:hint="eastAsia" w:ascii="宋体" w:hAnsi="宋体" w:eastAsia="宋体" w:cs="宋体"/>
                <w:sz w:val="21"/>
                <w:szCs w:val="21"/>
              </w:rPr>
              <w:t>5</w:t>
            </w:r>
          </w:p>
        </w:tc>
        <w:tc>
          <w:tcPr>
            <w:tcW w:w="1710" w:type="dxa"/>
            <w:vMerge w:val="restart"/>
            <w:vAlign w:val="center"/>
          </w:tcPr>
          <w:p w14:paraId="12E4677F">
            <w:pPr>
              <w:jc w:val="left"/>
              <w:rPr>
                <w:rFonts w:ascii="宋体" w:hAnsi="宋体" w:eastAsia="宋体" w:cs="宋体"/>
                <w:bCs/>
                <w:kern w:val="0"/>
                <w:sz w:val="21"/>
                <w:szCs w:val="21"/>
              </w:rPr>
            </w:pPr>
            <w:r>
              <w:rPr>
                <w:rFonts w:hint="eastAsia" w:ascii="宋体" w:hAnsi="宋体" w:eastAsia="宋体" w:cs="宋体"/>
                <w:bCs/>
                <w:kern w:val="0"/>
                <w:sz w:val="21"/>
                <w:szCs w:val="21"/>
              </w:rPr>
              <w:t>是否允许进口产品</w:t>
            </w:r>
          </w:p>
        </w:tc>
        <w:tc>
          <w:tcPr>
            <w:tcW w:w="5907" w:type="dxa"/>
            <w:vAlign w:val="center"/>
          </w:tcPr>
          <w:p w14:paraId="4E5CEC7A">
            <w:pPr>
              <w:jc w:val="left"/>
              <w:rPr>
                <w:rFonts w:ascii="宋体" w:hAnsi="宋体" w:eastAsia="宋体" w:cs="宋体"/>
                <w:bCs/>
                <w:kern w:val="0"/>
                <w:sz w:val="21"/>
                <w:szCs w:val="21"/>
              </w:rPr>
            </w:pPr>
            <w:r>
              <w:rPr>
                <w:rFonts w:hint="eastAsia" w:ascii="宋体" w:hAnsi="宋体" w:eastAsia="宋体" w:cs="宋体"/>
                <w:bCs/>
                <w:kern w:val="0"/>
                <w:sz w:val="21"/>
                <w:szCs w:val="21"/>
              </w:rPr>
              <w:fldChar w:fldCharType="begin"/>
            </w:r>
            <w:r>
              <w:rPr>
                <w:rFonts w:hint="eastAsia" w:ascii="宋体" w:hAnsi="宋体" w:eastAsia="宋体" w:cs="宋体"/>
                <w:bCs/>
                <w:kern w:val="0"/>
                <w:sz w:val="21"/>
                <w:szCs w:val="21"/>
              </w:rPr>
              <w:instrText xml:space="preserve"> eq \o\ac(</w:instrText>
            </w:r>
            <w:r>
              <w:rPr>
                <w:rFonts w:hint="eastAsia" w:ascii="宋体" w:hAnsi="宋体" w:eastAsia="宋体" w:cs="宋体"/>
                <w:bCs/>
                <w:kern w:val="0"/>
                <w:position w:val="-4"/>
                <w:sz w:val="31"/>
                <w:szCs w:val="21"/>
              </w:rPr>
              <w:instrText xml:space="preserve">□</w:instrText>
            </w:r>
            <w:r>
              <w:rPr>
                <w:rFonts w:hint="eastAsia" w:ascii="宋体" w:hAnsi="宋体" w:eastAsia="宋体" w:cs="宋体"/>
                <w:bCs/>
                <w:kern w:val="0"/>
                <w:position w:val="0"/>
                <w:sz w:val="21"/>
                <w:szCs w:val="21"/>
              </w:rPr>
              <w:instrText xml:space="preserve">)</w:instrText>
            </w:r>
            <w:r>
              <w:rPr>
                <w:rFonts w:hint="eastAsia" w:ascii="宋体" w:hAnsi="宋体" w:eastAsia="宋体" w:cs="宋体"/>
                <w:bCs/>
                <w:kern w:val="0"/>
                <w:sz w:val="21"/>
                <w:szCs w:val="21"/>
              </w:rPr>
              <w:fldChar w:fldCharType="end"/>
            </w:r>
            <w:r>
              <w:rPr>
                <w:rFonts w:hint="eastAsia" w:ascii="宋体" w:hAnsi="宋体" w:eastAsia="宋体" w:cs="宋体"/>
                <w:bCs/>
                <w:kern w:val="0"/>
                <w:sz w:val="21"/>
                <w:szCs w:val="21"/>
              </w:rPr>
              <w:t>允许（须提供财政部门审核通过的复印件）</w:t>
            </w:r>
          </w:p>
          <w:p w14:paraId="1F8C8E4A">
            <w:pPr>
              <w:jc w:val="left"/>
              <w:rPr>
                <w:rFonts w:ascii="宋体" w:hAnsi="宋体" w:eastAsia="宋体" w:cs="宋体"/>
                <w:bCs/>
                <w:kern w:val="0"/>
                <w:sz w:val="21"/>
                <w:szCs w:val="21"/>
              </w:rPr>
            </w:pPr>
            <w:r>
              <w:rPr>
                <w:rFonts w:hint="eastAsia" w:ascii="宋体" w:hAnsi="宋体" w:eastAsia="宋体" w:cs="宋体"/>
                <w:bCs/>
                <w:kern w:val="0"/>
                <w:sz w:val="21"/>
                <w:szCs w:val="21"/>
              </w:rPr>
              <w:t>根据《政府采购进口产品管理办法》（财库〔2007〕119号）的规定，采购人采购进口产品时，必须在采购活动开始前向财政部门提出申请并获得财政部门审核同意后，才能开展采购活动。且不得因此排斥国产产品，满足需求的国产产品依然可以参与竞争。“进口产品的认定”参见《关于政府采购进口产品管理有关问题的通知》（财办库〔2008〕248号）文件有关规定。</w:t>
            </w:r>
          </w:p>
        </w:tc>
      </w:tr>
      <w:tr w14:paraId="564CB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Merge w:val="continue"/>
            <w:vAlign w:val="center"/>
          </w:tcPr>
          <w:p w14:paraId="4D83F406">
            <w:pPr>
              <w:jc w:val="center"/>
              <w:rPr>
                <w:rFonts w:ascii="宋体" w:hAnsi="宋体" w:eastAsia="宋体" w:cs="宋体"/>
                <w:sz w:val="21"/>
                <w:szCs w:val="21"/>
              </w:rPr>
            </w:pPr>
          </w:p>
        </w:tc>
        <w:tc>
          <w:tcPr>
            <w:tcW w:w="1710" w:type="dxa"/>
            <w:vMerge w:val="continue"/>
            <w:vAlign w:val="center"/>
          </w:tcPr>
          <w:p w14:paraId="3BE6DCDF">
            <w:pPr>
              <w:jc w:val="left"/>
              <w:rPr>
                <w:rFonts w:ascii="宋体" w:hAnsi="宋体" w:eastAsia="宋体" w:cs="宋体"/>
                <w:bCs/>
                <w:kern w:val="0"/>
                <w:sz w:val="21"/>
                <w:szCs w:val="21"/>
              </w:rPr>
            </w:pPr>
          </w:p>
        </w:tc>
        <w:tc>
          <w:tcPr>
            <w:tcW w:w="5907" w:type="dxa"/>
            <w:vAlign w:val="center"/>
          </w:tcPr>
          <w:p w14:paraId="0A267966">
            <w:pPr>
              <w:jc w:val="left"/>
              <w:rPr>
                <w:rFonts w:ascii="宋体" w:hAnsi="宋体" w:eastAsia="宋体" w:cs="宋体"/>
                <w:bCs/>
                <w:kern w:val="0"/>
                <w:sz w:val="21"/>
                <w:szCs w:val="21"/>
              </w:rPr>
            </w:pPr>
            <w:r>
              <w:rPr>
                <w:rFonts w:hint="eastAsia" w:ascii="宋体" w:hAnsi="宋体" w:eastAsia="宋体" w:cs="宋体"/>
                <w:bCs/>
                <w:kern w:val="0"/>
                <w:sz w:val="21"/>
                <w:szCs w:val="21"/>
              </w:rPr>
              <w:fldChar w:fldCharType="begin"/>
            </w:r>
            <w:r>
              <w:rPr>
                <w:rFonts w:hint="eastAsia" w:ascii="宋体" w:hAnsi="宋体" w:eastAsia="宋体" w:cs="宋体"/>
                <w:bCs/>
                <w:kern w:val="0"/>
                <w:sz w:val="21"/>
                <w:szCs w:val="21"/>
              </w:rPr>
              <w:instrText xml:space="preserve"> eq \o\ac(</w:instrText>
            </w:r>
            <w:r>
              <w:rPr>
                <w:rFonts w:hint="eastAsia" w:ascii="宋体" w:hAnsi="宋体" w:eastAsia="宋体" w:cs="宋体"/>
                <w:bCs/>
                <w:kern w:val="0"/>
                <w:position w:val="-4"/>
                <w:sz w:val="31"/>
                <w:szCs w:val="21"/>
              </w:rPr>
              <w:instrText xml:space="preserve">□</w:instrText>
            </w:r>
            <w:r>
              <w:rPr>
                <w:rFonts w:hint="eastAsia" w:ascii="宋体" w:hAnsi="宋体" w:eastAsia="宋体" w:cs="宋体"/>
                <w:bCs/>
                <w:kern w:val="0"/>
                <w:position w:val="0"/>
                <w:sz w:val="21"/>
                <w:szCs w:val="21"/>
              </w:rPr>
              <w:instrText xml:space="preserve">,√)</w:instrText>
            </w:r>
            <w:r>
              <w:rPr>
                <w:rFonts w:hint="eastAsia" w:ascii="宋体" w:hAnsi="宋体" w:eastAsia="宋体" w:cs="宋体"/>
                <w:bCs/>
                <w:kern w:val="0"/>
                <w:sz w:val="21"/>
                <w:szCs w:val="21"/>
              </w:rPr>
              <w:fldChar w:fldCharType="end"/>
            </w:r>
            <w:r>
              <w:rPr>
                <w:rFonts w:hint="eastAsia" w:ascii="宋体" w:hAnsi="宋体" w:eastAsia="宋体" w:cs="宋体"/>
                <w:bCs/>
                <w:kern w:val="0"/>
                <w:sz w:val="21"/>
                <w:szCs w:val="21"/>
              </w:rPr>
              <w:t>不允许</w:t>
            </w:r>
          </w:p>
          <w:p w14:paraId="5F4E1B08">
            <w:pPr>
              <w:jc w:val="left"/>
              <w:rPr>
                <w:rFonts w:ascii="宋体" w:hAnsi="宋体" w:eastAsia="宋体" w:cs="宋体"/>
                <w:bCs/>
                <w:kern w:val="0"/>
                <w:sz w:val="21"/>
                <w:szCs w:val="21"/>
              </w:rPr>
            </w:pPr>
            <w:r>
              <w:rPr>
                <w:rFonts w:hint="eastAsia" w:ascii="宋体" w:hAnsi="宋体" w:eastAsia="宋体" w:cs="宋体"/>
                <w:bCs/>
                <w:kern w:val="0"/>
                <w:sz w:val="21"/>
                <w:szCs w:val="21"/>
              </w:rPr>
              <w:t>所投产品为进口产品时，将被视为无效投标。</w:t>
            </w:r>
          </w:p>
        </w:tc>
      </w:tr>
      <w:tr w14:paraId="089DD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Merge w:val="restart"/>
            <w:vAlign w:val="center"/>
          </w:tcPr>
          <w:p w14:paraId="7E796DFF">
            <w:pPr>
              <w:jc w:val="center"/>
              <w:rPr>
                <w:rFonts w:ascii="宋体" w:hAnsi="宋体" w:eastAsia="宋体" w:cs="宋体"/>
                <w:sz w:val="21"/>
                <w:szCs w:val="21"/>
              </w:rPr>
            </w:pPr>
            <w:r>
              <w:rPr>
                <w:rFonts w:hint="eastAsia" w:ascii="宋体" w:hAnsi="宋体" w:eastAsia="宋体" w:cs="宋体"/>
                <w:sz w:val="21"/>
                <w:szCs w:val="21"/>
              </w:rPr>
              <w:t>5</w:t>
            </w:r>
          </w:p>
        </w:tc>
        <w:tc>
          <w:tcPr>
            <w:tcW w:w="1710" w:type="dxa"/>
            <w:vMerge w:val="restart"/>
            <w:vAlign w:val="center"/>
          </w:tcPr>
          <w:p w14:paraId="19738382">
            <w:pPr>
              <w:jc w:val="center"/>
              <w:rPr>
                <w:rFonts w:ascii="宋体" w:hAnsi="宋体" w:eastAsia="宋体" w:cs="宋体"/>
                <w:sz w:val="21"/>
                <w:szCs w:val="21"/>
              </w:rPr>
            </w:pPr>
            <w:r>
              <w:rPr>
                <w:rFonts w:hint="eastAsia" w:ascii="宋体" w:hAnsi="宋体" w:eastAsia="宋体" w:cs="宋体"/>
                <w:sz w:val="21"/>
                <w:szCs w:val="21"/>
              </w:rPr>
              <w:t>是否接受联合体投标</w:t>
            </w:r>
          </w:p>
        </w:tc>
        <w:tc>
          <w:tcPr>
            <w:tcW w:w="5907" w:type="dxa"/>
            <w:vAlign w:val="center"/>
          </w:tcPr>
          <w:p w14:paraId="7ED1E9E8">
            <w:pPr>
              <w:jc w:val="left"/>
              <w:rPr>
                <w:rFonts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eq \o\ac(</w:instrText>
            </w:r>
            <w:r>
              <w:rPr>
                <w:rFonts w:hint="eastAsia" w:ascii="宋体" w:hAnsi="宋体" w:eastAsia="宋体" w:cs="宋体"/>
                <w:position w:val="-4"/>
                <w:sz w:val="31"/>
                <w:szCs w:val="21"/>
              </w:rPr>
              <w:instrText xml:space="preserve">□</w:instrText>
            </w:r>
            <w:r>
              <w:rPr>
                <w:rFonts w:hint="eastAsia" w:ascii="宋体" w:hAnsi="宋体" w:eastAsia="宋体" w:cs="宋体"/>
                <w:position w:val="0"/>
                <w:sz w:val="21"/>
                <w:szCs w:val="21"/>
              </w:rPr>
              <w:instrText xml:space="preserve">)</w:instrText>
            </w:r>
            <w:r>
              <w:rPr>
                <w:rFonts w:hint="eastAsia" w:ascii="宋体" w:hAnsi="宋体" w:eastAsia="宋体" w:cs="宋体"/>
                <w:sz w:val="21"/>
                <w:szCs w:val="21"/>
              </w:rPr>
              <w:fldChar w:fldCharType="end"/>
            </w:r>
            <w:r>
              <w:rPr>
                <w:rFonts w:hint="eastAsia" w:ascii="宋体" w:hAnsi="宋体" w:eastAsia="宋体" w:cs="宋体"/>
                <w:sz w:val="21"/>
                <w:szCs w:val="21"/>
              </w:rPr>
              <w:t>接受</w:t>
            </w:r>
          </w:p>
          <w:p w14:paraId="3AC75E60">
            <w:pPr>
              <w:jc w:val="left"/>
              <w:rPr>
                <w:rFonts w:ascii="宋体" w:hAnsi="宋体" w:eastAsia="宋体" w:cs="宋体"/>
                <w:sz w:val="21"/>
                <w:szCs w:val="21"/>
              </w:rPr>
            </w:pPr>
            <w:r>
              <w:rPr>
                <w:rFonts w:hint="eastAsia" w:ascii="宋体" w:hAnsi="宋体" w:eastAsia="宋体" w:cs="宋体"/>
                <w:sz w:val="21"/>
                <w:szCs w:val="21"/>
              </w:rPr>
              <w:t>对于联合体协议或者分包意向协议约定小微企业的合同份额占到合同总金额30%以上的，对联合体或者大中型企业的报价给予</w:t>
            </w:r>
            <w:r>
              <w:rPr>
                <w:rFonts w:hint="eastAsia" w:ascii="宋体" w:hAnsi="宋体" w:eastAsia="宋体" w:cs="宋体"/>
                <w:sz w:val="21"/>
                <w:szCs w:val="21"/>
                <w:u w:val="single"/>
              </w:rPr>
              <w:t xml:space="preserve"> 2 </w:t>
            </w:r>
            <w:r>
              <w:rPr>
                <w:rFonts w:hint="eastAsia" w:ascii="宋体" w:hAnsi="宋体" w:eastAsia="宋体" w:cs="宋体"/>
                <w:sz w:val="21"/>
                <w:szCs w:val="21"/>
              </w:rPr>
              <w:t>% (2% -3%)的扣除，用扣除后的报价参加评审。</w:t>
            </w:r>
          </w:p>
        </w:tc>
      </w:tr>
      <w:tr w14:paraId="54633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905" w:type="dxa"/>
            <w:vMerge w:val="continue"/>
            <w:vAlign w:val="center"/>
          </w:tcPr>
          <w:p w14:paraId="478EC9FD">
            <w:pPr>
              <w:jc w:val="center"/>
              <w:rPr>
                <w:rFonts w:ascii="宋体" w:hAnsi="宋体" w:eastAsia="宋体" w:cs="宋体"/>
                <w:sz w:val="21"/>
                <w:szCs w:val="21"/>
              </w:rPr>
            </w:pPr>
          </w:p>
        </w:tc>
        <w:tc>
          <w:tcPr>
            <w:tcW w:w="1710" w:type="dxa"/>
            <w:vMerge w:val="continue"/>
            <w:vAlign w:val="center"/>
          </w:tcPr>
          <w:p w14:paraId="6034E5F4">
            <w:pPr>
              <w:jc w:val="center"/>
              <w:rPr>
                <w:rFonts w:ascii="宋体" w:hAnsi="宋体" w:eastAsia="宋体" w:cs="宋体"/>
                <w:sz w:val="21"/>
                <w:szCs w:val="21"/>
              </w:rPr>
            </w:pPr>
          </w:p>
        </w:tc>
        <w:tc>
          <w:tcPr>
            <w:tcW w:w="5907" w:type="dxa"/>
            <w:vAlign w:val="center"/>
          </w:tcPr>
          <w:p w14:paraId="13833C3E">
            <w:pPr>
              <w:jc w:val="left"/>
              <w:rPr>
                <w:rFonts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eq \o\ac(</w:instrText>
            </w:r>
            <w:r>
              <w:rPr>
                <w:rFonts w:hint="eastAsia" w:ascii="宋体" w:hAnsi="宋体" w:eastAsia="宋体" w:cs="宋体"/>
                <w:position w:val="-4"/>
                <w:sz w:val="31"/>
                <w:szCs w:val="21"/>
              </w:rPr>
              <w:instrText xml:space="preserve">□</w:instrText>
            </w:r>
            <w:r>
              <w:rPr>
                <w:rFonts w:hint="eastAsia" w:ascii="宋体" w:hAnsi="宋体" w:eastAsia="宋体" w:cs="宋体"/>
                <w:position w:val="0"/>
                <w:sz w:val="21"/>
                <w:szCs w:val="21"/>
              </w:rPr>
              <w:instrText xml:space="preserve">,√)</w:instrText>
            </w:r>
            <w:r>
              <w:rPr>
                <w:rFonts w:hint="eastAsia" w:ascii="宋体" w:hAnsi="宋体" w:eastAsia="宋体" w:cs="宋体"/>
                <w:sz w:val="21"/>
                <w:szCs w:val="21"/>
              </w:rPr>
              <w:fldChar w:fldCharType="end"/>
            </w:r>
            <w:r>
              <w:rPr>
                <w:rFonts w:hint="eastAsia" w:ascii="宋体" w:hAnsi="宋体" w:eastAsia="宋体" w:cs="宋体"/>
                <w:sz w:val="21"/>
                <w:szCs w:val="21"/>
              </w:rPr>
              <w:t>不接受</w:t>
            </w:r>
          </w:p>
        </w:tc>
      </w:tr>
      <w:tr w14:paraId="0377E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05" w:type="dxa"/>
            <w:vAlign w:val="center"/>
          </w:tcPr>
          <w:p w14:paraId="302F0EFA">
            <w:pPr>
              <w:jc w:val="center"/>
              <w:rPr>
                <w:rFonts w:ascii="宋体" w:hAnsi="宋体" w:eastAsia="宋体" w:cs="宋体"/>
                <w:sz w:val="21"/>
                <w:szCs w:val="21"/>
              </w:rPr>
            </w:pPr>
            <w:r>
              <w:rPr>
                <w:rFonts w:hint="eastAsia" w:ascii="宋体" w:hAnsi="宋体" w:eastAsia="宋体" w:cs="宋体"/>
                <w:sz w:val="21"/>
                <w:szCs w:val="21"/>
              </w:rPr>
              <w:t>6</w:t>
            </w:r>
          </w:p>
        </w:tc>
        <w:tc>
          <w:tcPr>
            <w:tcW w:w="1710" w:type="dxa"/>
            <w:vAlign w:val="center"/>
          </w:tcPr>
          <w:p w14:paraId="3319A2E0">
            <w:pPr>
              <w:jc w:val="center"/>
              <w:rPr>
                <w:rFonts w:ascii="宋体" w:hAnsi="宋体" w:eastAsia="宋体" w:cs="宋体"/>
                <w:sz w:val="21"/>
                <w:szCs w:val="21"/>
              </w:rPr>
            </w:pPr>
            <w:r>
              <w:rPr>
                <w:rFonts w:hint="eastAsia" w:ascii="宋体" w:hAnsi="宋体" w:eastAsia="宋体" w:cs="宋体"/>
                <w:sz w:val="21"/>
                <w:szCs w:val="21"/>
              </w:rPr>
              <w:t>履约保证金</w:t>
            </w:r>
          </w:p>
        </w:tc>
        <w:tc>
          <w:tcPr>
            <w:tcW w:w="5907" w:type="dxa"/>
            <w:vAlign w:val="center"/>
          </w:tcPr>
          <w:p w14:paraId="4CDDA634">
            <w:pPr>
              <w:jc w:val="left"/>
              <w:rPr>
                <w:rFonts w:ascii="宋体" w:hAnsi="宋体" w:eastAsia="宋体" w:cs="宋体"/>
                <w:sz w:val="21"/>
                <w:szCs w:val="21"/>
              </w:rPr>
            </w:pPr>
            <w:r>
              <w:rPr>
                <w:rFonts w:hint="eastAsia" w:ascii="宋体" w:hAnsi="宋体" w:eastAsia="宋体" w:cs="宋体"/>
                <w:sz w:val="21"/>
                <w:szCs w:val="21"/>
              </w:rPr>
              <w:t>本项目不要求</w:t>
            </w:r>
          </w:p>
        </w:tc>
      </w:tr>
      <w:tr w14:paraId="7FC21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Align w:val="center"/>
          </w:tcPr>
          <w:p w14:paraId="49D90608">
            <w:pPr>
              <w:jc w:val="center"/>
              <w:rPr>
                <w:rFonts w:ascii="宋体" w:hAnsi="宋体" w:eastAsia="宋体" w:cs="宋体"/>
                <w:sz w:val="21"/>
                <w:szCs w:val="21"/>
              </w:rPr>
            </w:pPr>
            <w:r>
              <w:rPr>
                <w:rFonts w:hint="eastAsia" w:ascii="宋体" w:hAnsi="宋体" w:eastAsia="宋体" w:cs="宋体"/>
                <w:sz w:val="21"/>
                <w:szCs w:val="21"/>
              </w:rPr>
              <w:t>7</w:t>
            </w:r>
          </w:p>
        </w:tc>
        <w:tc>
          <w:tcPr>
            <w:tcW w:w="1710" w:type="dxa"/>
            <w:vAlign w:val="center"/>
          </w:tcPr>
          <w:p w14:paraId="618DA302">
            <w:pPr>
              <w:jc w:val="center"/>
              <w:rPr>
                <w:rFonts w:ascii="宋体" w:hAnsi="宋体" w:eastAsia="宋体" w:cs="宋体"/>
                <w:sz w:val="21"/>
                <w:szCs w:val="21"/>
              </w:rPr>
            </w:pPr>
            <w:r>
              <w:rPr>
                <w:rFonts w:hint="eastAsia" w:ascii="宋体" w:hAnsi="宋体" w:eastAsia="宋体" w:cs="宋体"/>
                <w:sz w:val="21"/>
                <w:szCs w:val="21"/>
              </w:rPr>
              <w:t>现场踏勘和集中答疑</w:t>
            </w:r>
          </w:p>
        </w:tc>
        <w:tc>
          <w:tcPr>
            <w:tcW w:w="5907" w:type="dxa"/>
            <w:vAlign w:val="center"/>
          </w:tcPr>
          <w:p w14:paraId="195B7C2E">
            <w:pPr>
              <w:jc w:val="left"/>
              <w:rPr>
                <w:rFonts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eq \o\ac(</w:instrText>
            </w:r>
            <w:r>
              <w:rPr>
                <w:rFonts w:hint="eastAsia" w:ascii="宋体" w:hAnsi="宋体" w:eastAsia="宋体" w:cs="宋体"/>
                <w:position w:val="-4"/>
                <w:sz w:val="31"/>
                <w:szCs w:val="21"/>
              </w:rPr>
              <w:instrText xml:space="preserve">□</w:instrText>
            </w:r>
            <w:r>
              <w:rPr>
                <w:rFonts w:hint="eastAsia" w:ascii="宋体" w:hAnsi="宋体" w:eastAsia="宋体" w:cs="宋体"/>
                <w:position w:val="0"/>
                <w:sz w:val="21"/>
                <w:szCs w:val="21"/>
              </w:rPr>
              <w:instrText xml:space="preserve">)</w:instrText>
            </w:r>
            <w:r>
              <w:rPr>
                <w:rFonts w:hint="eastAsia" w:ascii="宋体" w:hAnsi="宋体" w:eastAsia="宋体" w:cs="宋体"/>
                <w:sz w:val="21"/>
                <w:szCs w:val="21"/>
              </w:rPr>
              <w:fldChar w:fldCharType="end"/>
            </w:r>
            <w:r>
              <w:rPr>
                <w:rFonts w:hint="eastAsia" w:ascii="宋体" w:hAnsi="宋体" w:eastAsia="宋体" w:cs="宋体"/>
                <w:sz w:val="21"/>
                <w:szCs w:val="21"/>
              </w:rPr>
              <w:t xml:space="preserve"> 组织</w:t>
            </w:r>
          </w:p>
          <w:p w14:paraId="029EF65D">
            <w:pPr>
              <w:jc w:val="left"/>
              <w:rPr>
                <w:rFonts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eq \o\ac(</w:instrText>
            </w:r>
            <w:r>
              <w:rPr>
                <w:rFonts w:hint="eastAsia" w:ascii="宋体" w:hAnsi="宋体" w:eastAsia="宋体" w:cs="宋体"/>
                <w:position w:val="-4"/>
                <w:sz w:val="31"/>
                <w:szCs w:val="21"/>
              </w:rPr>
              <w:instrText xml:space="preserve">□</w:instrText>
            </w:r>
            <w:r>
              <w:rPr>
                <w:rFonts w:hint="eastAsia" w:ascii="宋体" w:hAnsi="宋体" w:eastAsia="宋体" w:cs="宋体"/>
                <w:position w:val="0"/>
                <w:sz w:val="21"/>
                <w:szCs w:val="21"/>
              </w:rPr>
              <w:instrText xml:space="preserve">,√)</w:instrText>
            </w:r>
            <w:r>
              <w:rPr>
                <w:rFonts w:hint="eastAsia" w:ascii="宋体" w:hAnsi="宋体" w:eastAsia="宋体" w:cs="宋体"/>
                <w:sz w:val="21"/>
                <w:szCs w:val="21"/>
              </w:rPr>
              <w:fldChar w:fldCharType="end"/>
            </w:r>
            <w:r>
              <w:rPr>
                <w:rFonts w:hint="eastAsia" w:ascii="宋体" w:hAnsi="宋体" w:eastAsia="宋体" w:cs="宋体"/>
                <w:sz w:val="21"/>
                <w:szCs w:val="21"/>
              </w:rPr>
              <w:t xml:space="preserve"> 不组织</w:t>
            </w:r>
          </w:p>
        </w:tc>
      </w:tr>
      <w:tr w14:paraId="54FAB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Align w:val="center"/>
          </w:tcPr>
          <w:p w14:paraId="39EFBD02">
            <w:pPr>
              <w:jc w:val="center"/>
              <w:rPr>
                <w:rFonts w:ascii="宋体" w:hAnsi="宋体" w:eastAsia="宋体" w:cs="宋体"/>
                <w:sz w:val="21"/>
                <w:szCs w:val="21"/>
              </w:rPr>
            </w:pPr>
            <w:r>
              <w:rPr>
                <w:rFonts w:hint="eastAsia" w:ascii="宋体" w:hAnsi="宋体" w:eastAsia="宋体" w:cs="宋体"/>
                <w:sz w:val="21"/>
                <w:szCs w:val="21"/>
              </w:rPr>
              <w:t>8</w:t>
            </w:r>
          </w:p>
        </w:tc>
        <w:tc>
          <w:tcPr>
            <w:tcW w:w="1710" w:type="dxa"/>
            <w:vAlign w:val="center"/>
          </w:tcPr>
          <w:p w14:paraId="378F3867">
            <w:pPr>
              <w:jc w:val="center"/>
              <w:rPr>
                <w:rFonts w:ascii="宋体" w:hAnsi="宋体" w:eastAsia="宋体" w:cs="宋体"/>
                <w:sz w:val="21"/>
                <w:szCs w:val="21"/>
              </w:rPr>
            </w:pPr>
            <w:r>
              <w:rPr>
                <w:rFonts w:hint="eastAsia" w:ascii="宋体" w:hAnsi="宋体" w:eastAsia="宋体" w:cs="宋体"/>
                <w:sz w:val="21"/>
                <w:szCs w:val="21"/>
              </w:rPr>
              <w:t>价格分比重</w:t>
            </w:r>
          </w:p>
        </w:tc>
        <w:tc>
          <w:tcPr>
            <w:tcW w:w="5907" w:type="dxa"/>
            <w:vAlign w:val="center"/>
          </w:tcPr>
          <w:p w14:paraId="777C5A81">
            <w:pPr>
              <w:jc w:val="left"/>
              <w:rPr>
                <w:rFonts w:ascii="宋体" w:hAnsi="宋体" w:eastAsia="宋体" w:cs="宋体"/>
                <w:sz w:val="21"/>
                <w:szCs w:val="21"/>
              </w:rPr>
            </w:pPr>
            <w:r>
              <w:rPr>
                <w:rFonts w:hint="eastAsia" w:ascii="宋体" w:hAnsi="宋体" w:eastAsia="宋体" w:cs="宋体"/>
                <w:sz w:val="21"/>
                <w:szCs w:val="21"/>
              </w:rPr>
              <w:t>占总分值的</w:t>
            </w:r>
            <w:r>
              <w:rPr>
                <w:rFonts w:hint="eastAsia" w:ascii="宋体" w:hAnsi="宋体" w:eastAsia="宋体" w:cs="宋体"/>
                <w:sz w:val="21"/>
                <w:szCs w:val="21"/>
                <w:u w:val="single"/>
              </w:rPr>
              <w:t xml:space="preserve">  30  </w:t>
            </w:r>
            <w:r>
              <w:rPr>
                <w:rFonts w:hint="eastAsia" w:ascii="宋体" w:hAnsi="宋体" w:eastAsia="宋体" w:cs="宋体"/>
                <w:sz w:val="21"/>
                <w:szCs w:val="21"/>
              </w:rPr>
              <w:t>%</w:t>
            </w:r>
          </w:p>
          <w:p w14:paraId="582992F5">
            <w:pPr>
              <w:jc w:val="left"/>
              <w:rPr>
                <w:rFonts w:ascii="宋体" w:hAnsi="宋体" w:eastAsia="宋体" w:cs="宋体"/>
                <w:sz w:val="21"/>
                <w:szCs w:val="21"/>
              </w:rPr>
            </w:pPr>
            <w:r>
              <w:rPr>
                <w:rFonts w:hint="eastAsia" w:ascii="宋体" w:hAnsi="宋体" w:eastAsia="宋体" w:cs="宋体"/>
                <w:sz w:val="21"/>
                <w:szCs w:val="21"/>
              </w:rPr>
              <w:t>[招标]根据《政府采购货物和服务招标投标管理办法》（财政部87号令）的规定，综合评分法货物项目的价格分值占总分值的比重不得低于30%。执行国家统一定价标准和采用固定价格采购的项目，其价格不列为评审因素。</w:t>
            </w:r>
          </w:p>
        </w:tc>
      </w:tr>
      <w:tr w14:paraId="31E27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905" w:type="dxa"/>
            <w:vAlign w:val="center"/>
          </w:tcPr>
          <w:p w14:paraId="61569530">
            <w:pPr>
              <w:jc w:val="center"/>
              <w:rPr>
                <w:rFonts w:ascii="宋体" w:hAnsi="宋体" w:eastAsia="宋体" w:cs="宋体"/>
                <w:sz w:val="21"/>
                <w:szCs w:val="21"/>
              </w:rPr>
            </w:pPr>
            <w:r>
              <w:rPr>
                <w:rFonts w:hint="eastAsia" w:ascii="宋体" w:hAnsi="宋体" w:eastAsia="宋体" w:cs="宋体"/>
                <w:sz w:val="21"/>
                <w:szCs w:val="21"/>
              </w:rPr>
              <w:t>9</w:t>
            </w:r>
          </w:p>
        </w:tc>
        <w:tc>
          <w:tcPr>
            <w:tcW w:w="1710" w:type="dxa"/>
            <w:vAlign w:val="center"/>
          </w:tcPr>
          <w:p w14:paraId="13D52EC2">
            <w:pPr>
              <w:jc w:val="center"/>
              <w:rPr>
                <w:rFonts w:ascii="宋体" w:hAnsi="宋体" w:eastAsia="宋体" w:cs="宋体"/>
                <w:sz w:val="21"/>
                <w:szCs w:val="21"/>
              </w:rPr>
            </w:pPr>
            <w:r>
              <w:rPr>
                <w:rFonts w:hint="eastAsia" w:ascii="宋体" w:hAnsi="宋体" w:eastAsia="宋体" w:cs="宋体"/>
                <w:sz w:val="21"/>
                <w:szCs w:val="21"/>
              </w:rPr>
              <w:t>合同类型</w:t>
            </w:r>
          </w:p>
        </w:tc>
        <w:tc>
          <w:tcPr>
            <w:tcW w:w="5907" w:type="dxa"/>
            <w:vAlign w:val="center"/>
          </w:tcPr>
          <w:p w14:paraId="7179E456">
            <w:pPr>
              <w:jc w:val="left"/>
              <w:rPr>
                <w:rFonts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eq \o\ac(</w:instrText>
            </w:r>
            <w:r>
              <w:rPr>
                <w:rFonts w:hint="eastAsia" w:ascii="宋体" w:hAnsi="宋体" w:eastAsia="宋体" w:cs="宋体"/>
                <w:position w:val="-6"/>
                <w:sz w:val="48"/>
                <w:szCs w:val="21"/>
              </w:rPr>
              <w:instrText xml:space="preserve">□</w:instrText>
            </w:r>
            <w:r>
              <w:rPr>
                <w:rFonts w:hint="eastAsia" w:ascii="宋体" w:hAnsi="宋体" w:eastAsia="宋体" w:cs="宋体"/>
                <w:position w:val="0"/>
                <w:sz w:val="32"/>
                <w:szCs w:val="21"/>
              </w:rPr>
              <w:instrText xml:space="preserve">,</w:instrText>
            </w:r>
            <w:r>
              <w:rPr>
                <w:rFonts w:hint="eastAsia" w:ascii="宋体" w:hAnsi="宋体" w:eastAsia="宋体" w:cs="宋体"/>
                <w:position w:val="0"/>
                <w:sz w:val="21"/>
                <w:szCs w:val="21"/>
              </w:rPr>
              <w:instrText xml:space="preserve">√)</w:instrText>
            </w:r>
            <w:r>
              <w:rPr>
                <w:rFonts w:hint="eastAsia" w:ascii="宋体" w:hAnsi="宋体" w:eastAsia="宋体" w:cs="宋体"/>
                <w:sz w:val="21"/>
                <w:szCs w:val="21"/>
              </w:rPr>
              <w:fldChar w:fldCharType="end"/>
            </w:r>
            <w:r>
              <w:rPr>
                <w:rFonts w:hint="eastAsia" w:ascii="宋体" w:hAnsi="宋体" w:eastAsia="宋体" w:cs="宋体"/>
                <w:sz w:val="21"/>
                <w:szCs w:val="21"/>
              </w:rPr>
              <w:t xml:space="preserve"> 固定总价</w:t>
            </w:r>
          </w:p>
          <w:p w14:paraId="1BA3A1B2">
            <w:pPr>
              <w:jc w:val="left"/>
              <w:rPr>
                <w:rFonts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eq \o\ac(</w:instrText>
            </w:r>
            <w:r>
              <w:rPr>
                <w:rFonts w:hint="eastAsia" w:ascii="宋体" w:hAnsi="宋体" w:eastAsia="宋体" w:cs="宋体"/>
                <w:position w:val="-4"/>
                <w:sz w:val="31"/>
                <w:szCs w:val="21"/>
              </w:rPr>
              <w:instrText xml:space="preserve">□</w:instrText>
            </w:r>
            <w:r>
              <w:rPr>
                <w:rFonts w:hint="eastAsia" w:ascii="宋体" w:hAnsi="宋体" w:eastAsia="宋体" w:cs="宋体"/>
                <w:position w:val="0"/>
                <w:sz w:val="21"/>
                <w:szCs w:val="21"/>
              </w:rPr>
              <w:instrText xml:space="preserve">)</w:instrText>
            </w:r>
            <w:r>
              <w:rPr>
                <w:rFonts w:hint="eastAsia" w:ascii="宋体" w:hAnsi="宋体" w:eastAsia="宋体" w:cs="宋体"/>
                <w:sz w:val="21"/>
                <w:szCs w:val="21"/>
              </w:rPr>
              <w:fldChar w:fldCharType="end"/>
            </w:r>
            <w:r>
              <w:rPr>
                <w:rFonts w:hint="eastAsia" w:ascii="宋体" w:hAnsi="宋体" w:eastAsia="宋体" w:cs="宋体"/>
                <w:sz w:val="21"/>
                <w:szCs w:val="21"/>
              </w:rPr>
              <w:t xml:space="preserve"> 固定单价</w:t>
            </w:r>
          </w:p>
        </w:tc>
      </w:tr>
      <w:tr w14:paraId="699EA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2" w:hRule="atLeast"/>
        </w:trPr>
        <w:tc>
          <w:tcPr>
            <w:tcW w:w="905" w:type="dxa"/>
            <w:vAlign w:val="center"/>
          </w:tcPr>
          <w:p w14:paraId="6F8740BC">
            <w:pPr>
              <w:jc w:val="center"/>
              <w:rPr>
                <w:rFonts w:ascii="宋体" w:hAnsi="宋体" w:eastAsia="宋体" w:cs="宋体"/>
                <w:sz w:val="21"/>
                <w:szCs w:val="21"/>
              </w:rPr>
            </w:pPr>
            <w:r>
              <w:rPr>
                <w:rFonts w:hint="eastAsia" w:ascii="宋体" w:hAnsi="宋体" w:eastAsia="宋体" w:cs="宋体"/>
                <w:sz w:val="21"/>
                <w:szCs w:val="21"/>
              </w:rPr>
              <w:t>10</w:t>
            </w:r>
          </w:p>
        </w:tc>
        <w:tc>
          <w:tcPr>
            <w:tcW w:w="1710" w:type="dxa"/>
            <w:vAlign w:val="center"/>
          </w:tcPr>
          <w:p w14:paraId="491787BB">
            <w:pPr>
              <w:jc w:val="center"/>
              <w:rPr>
                <w:rFonts w:ascii="宋体" w:hAnsi="宋体" w:eastAsia="宋体" w:cs="宋体"/>
                <w:sz w:val="21"/>
                <w:szCs w:val="21"/>
              </w:rPr>
            </w:pPr>
            <w:r>
              <w:rPr>
                <w:rFonts w:hint="eastAsia" w:ascii="宋体" w:hAnsi="宋体" w:eastAsia="宋体" w:cs="宋体"/>
                <w:sz w:val="21"/>
                <w:szCs w:val="21"/>
              </w:rPr>
              <w:t>争议解决途径</w:t>
            </w:r>
          </w:p>
        </w:tc>
        <w:tc>
          <w:tcPr>
            <w:tcW w:w="5907" w:type="dxa"/>
            <w:vAlign w:val="center"/>
          </w:tcPr>
          <w:p w14:paraId="2AD1E84F">
            <w:pPr>
              <w:jc w:val="left"/>
              <w:rPr>
                <w:rFonts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eq \o\ac(</w:instrText>
            </w:r>
            <w:r>
              <w:rPr>
                <w:rFonts w:hint="eastAsia" w:ascii="宋体" w:hAnsi="宋体" w:eastAsia="宋体" w:cs="宋体"/>
                <w:position w:val="-4"/>
                <w:sz w:val="31"/>
                <w:szCs w:val="21"/>
              </w:rPr>
              <w:instrText xml:space="preserve">□</w:instrText>
            </w:r>
            <w:r>
              <w:rPr>
                <w:rFonts w:hint="eastAsia" w:ascii="宋体" w:hAnsi="宋体" w:eastAsia="宋体" w:cs="宋体"/>
                <w:position w:val="0"/>
                <w:sz w:val="21"/>
                <w:szCs w:val="21"/>
              </w:rPr>
              <w:instrText xml:space="preserve">)</w:instrText>
            </w:r>
            <w:r>
              <w:rPr>
                <w:rFonts w:hint="eastAsia" w:ascii="宋体" w:hAnsi="宋体" w:eastAsia="宋体" w:cs="宋体"/>
                <w:sz w:val="21"/>
                <w:szCs w:val="21"/>
              </w:rPr>
              <w:fldChar w:fldCharType="end"/>
            </w:r>
            <w:r>
              <w:rPr>
                <w:rFonts w:hint="eastAsia" w:ascii="宋体" w:hAnsi="宋体" w:eastAsia="宋体" w:cs="宋体"/>
                <w:sz w:val="21"/>
                <w:szCs w:val="21"/>
              </w:rPr>
              <w:t>向有管辖权的人民法院提起诉讼</w:t>
            </w:r>
          </w:p>
          <w:p w14:paraId="6B3BD17B">
            <w:pPr>
              <w:jc w:val="left"/>
              <w:rPr>
                <w:rFonts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eq \o\ac(</w:instrText>
            </w:r>
            <w:r>
              <w:rPr>
                <w:rFonts w:hint="eastAsia" w:ascii="宋体" w:hAnsi="宋体" w:eastAsia="宋体" w:cs="宋体"/>
                <w:position w:val="-4"/>
                <w:sz w:val="31"/>
                <w:szCs w:val="21"/>
              </w:rPr>
              <w:instrText xml:space="preserve">□</w:instrText>
            </w:r>
            <w:r>
              <w:rPr>
                <w:rFonts w:hint="eastAsia" w:ascii="宋体" w:hAnsi="宋体" w:eastAsia="宋体" w:cs="宋体"/>
                <w:position w:val="0"/>
                <w:sz w:val="21"/>
                <w:szCs w:val="21"/>
              </w:rPr>
              <w:instrText xml:space="preserve">,√)</w:instrText>
            </w:r>
            <w:r>
              <w:rPr>
                <w:rFonts w:hint="eastAsia" w:ascii="宋体" w:hAnsi="宋体" w:eastAsia="宋体" w:cs="宋体"/>
                <w:sz w:val="21"/>
                <w:szCs w:val="21"/>
              </w:rPr>
              <w:fldChar w:fldCharType="end"/>
            </w:r>
            <w:r>
              <w:rPr>
                <w:rFonts w:hint="eastAsia" w:ascii="宋体" w:hAnsi="宋体" w:eastAsia="宋体" w:cs="宋体"/>
                <w:sz w:val="21"/>
                <w:szCs w:val="21"/>
              </w:rPr>
              <w:t>向西安仲裁委员会提请仲裁</w:t>
            </w:r>
          </w:p>
          <w:p w14:paraId="2B6BD283">
            <w:pPr>
              <w:jc w:val="left"/>
              <w:rPr>
                <w:rFonts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eq \o\ac(</w:instrText>
            </w:r>
            <w:r>
              <w:rPr>
                <w:rFonts w:hint="eastAsia" w:ascii="宋体" w:hAnsi="宋体" w:eastAsia="宋体" w:cs="宋体"/>
                <w:position w:val="-4"/>
                <w:sz w:val="31"/>
                <w:szCs w:val="21"/>
              </w:rPr>
              <w:instrText xml:space="preserve">□</w:instrText>
            </w:r>
            <w:r>
              <w:rPr>
                <w:rFonts w:hint="eastAsia" w:ascii="宋体" w:hAnsi="宋体" w:eastAsia="宋体" w:cs="宋体"/>
                <w:position w:val="0"/>
                <w:sz w:val="21"/>
                <w:szCs w:val="21"/>
              </w:rPr>
              <w:instrText xml:space="preserve">)</w:instrText>
            </w:r>
            <w:r>
              <w:rPr>
                <w:rFonts w:hint="eastAsia" w:ascii="宋体" w:hAnsi="宋体" w:eastAsia="宋体" w:cs="宋体"/>
                <w:sz w:val="21"/>
                <w:szCs w:val="21"/>
              </w:rPr>
              <w:fldChar w:fldCharType="end"/>
            </w:r>
            <w:r>
              <w:rPr>
                <w:rFonts w:hint="eastAsia" w:ascii="宋体" w:hAnsi="宋体" w:eastAsia="宋体" w:cs="宋体"/>
                <w:sz w:val="21"/>
                <w:szCs w:val="21"/>
              </w:rPr>
              <w:t>由供应商做出选择</w:t>
            </w:r>
          </w:p>
        </w:tc>
      </w:tr>
      <w:tr w14:paraId="5D958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5" w:type="dxa"/>
            <w:vAlign w:val="center"/>
          </w:tcPr>
          <w:p w14:paraId="2DB5283E">
            <w:pPr>
              <w:jc w:val="center"/>
              <w:rPr>
                <w:rFonts w:ascii="宋体" w:hAnsi="宋体" w:eastAsia="宋体" w:cs="宋体"/>
                <w:sz w:val="21"/>
                <w:szCs w:val="21"/>
              </w:rPr>
            </w:pPr>
            <w:r>
              <w:rPr>
                <w:rFonts w:hint="eastAsia" w:ascii="宋体" w:hAnsi="宋体" w:eastAsia="宋体" w:cs="宋体"/>
                <w:sz w:val="21"/>
                <w:szCs w:val="21"/>
              </w:rPr>
              <w:t>11</w:t>
            </w:r>
          </w:p>
        </w:tc>
        <w:tc>
          <w:tcPr>
            <w:tcW w:w="1710" w:type="dxa"/>
            <w:vAlign w:val="center"/>
          </w:tcPr>
          <w:p w14:paraId="575255D6">
            <w:pPr>
              <w:jc w:val="center"/>
              <w:rPr>
                <w:rFonts w:ascii="宋体" w:hAnsi="宋体" w:eastAsia="宋体" w:cs="宋体"/>
                <w:sz w:val="21"/>
                <w:szCs w:val="21"/>
              </w:rPr>
            </w:pPr>
            <w:r>
              <w:rPr>
                <w:rFonts w:hint="eastAsia" w:ascii="宋体" w:hAnsi="宋体" w:eastAsia="宋体" w:cs="宋体"/>
                <w:sz w:val="21"/>
                <w:szCs w:val="21"/>
              </w:rPr>
              <w:t>联系方式</w:t>
            </w:r>
          </w:p>
        </w:tc>
        <w:tc>
          <w:tcPr>
            <w:tcW w:w="5907" w:type="dxa"/>
            <w:vAlign w:val="center"/>
          </w:tcPr>
          <w:p w14:paraId="4B0938C4">
            <w:pPr>
              <w:jc w:val="left"/>
              <w:rPr>
                <w:rFonts w:ascii="宋体" w:hAnsi="宋体" w:eastAsia="宋体" w:cs="宋体"/>
                <w:sz w:val="21"/>
                <w:szCs w:val="21"/>
                <w:u w:val="single"/>
              </w:rPr>
            </w:pPr>
            <w:r>
              <w:rPr>
                <w:rFonts w:hint="eastAsia" w:ascii="宋体" w:hAnsi="宋体" w:eastAsia="宋体" w:cs="宋体"/>
                <w:sz w:val="21"/>
                <w:szCs w:val="21"/>
              </w:rPr>
              <w:t>项目对接人：</w:t>
            </w:r>
            <w:r>
              <w:rPr>
                <w:rFonts w:hint="eastAsia" w:ascii="宋体" w:hAnsi="宋体" w:eastAsia="宋体" w:cs="宋体"/>
                <w:sz w:val="21"/>
                <w:szCs w:val="21"/>
                <w:u w:val="single"/>
              </w:rPr>
              <w:t xml:space="preserve"> 魏老师      </w:t>
            </w:r>
          </w:p>
          <w:p w14:paraId="16827136">
            <w:pPr>
              <w:jc w:val="left"/>
              <w:rPr>
                <w:rFonts w:ascii="宋体" w:hAnsi="宋体" w:eastAsia="宋体" w:cs="宋体"/>
                <w:sz w:val="21"/>
                <w:szCs w:val="21"/>
                <w:u w:val="single"/>
              </w:rPr>
            </w:pPr>
            <w:r>
              <w:rPr>
                <w:rFonts w:hint="eastAsia" w:ascii="宋体" w:hAnsi="宋体" w:eastAsia="宋体" w:cs="宋体"/>
                <w:sz w:val="21"/>
                <w:szCs w:val="21"/>
              </w:rPr>
              <w:t>联系电话：</w:t>
            </w:r>
            <w:r>
              <w:rPr>
                <w:rFonts w:hint="eastAsia" w:ascii="宋体" w:hAnsi="宋体" w:eastAsia="宋体" w:cs="宋体"/>
                <w:sz w:val="21"/>
                <w:szCs w:val="21"/>
                <w:u w:val="single"/>
              </w:rPr>
              <w:t xml:space="preserve"> </w:t>
            </w:r>
            <w:r>
              <w:rPr>
                <w:rFonts w:ascii="宋体" w:hAnsi="宋体" w:eastAsia="宋体" w:cs="宋体"/>
                <w:sz w:val="21"/>
                <w:szCs w:val="21"/>
                <w:u w:val="single"/>
              </w:rPr>
              <w:t>13109515622</w:t>
            </w:r>
            <w:r>
              <w:rPr>
                <w:rFonts w:hint="eastAsia" w:ascii="宋体" w:hAnsi="宋体" w:eastAsia="宋体" w:cs="宋体"/>
                <w:sz w:val="21"/>
                <w:szCs w:val="21"/>
                <w:u w:val="single"/>
              </w:rPr>
              <w:t xml:space="preserve">   </w:t>
            </w:r>
          </w:p>
          <w:p w14:paraId="1F3D3EA9">
            <w:pPr>
              <w:jc w:val="left"/>
              <w:rPr>
                <w:rFonts w:ascii="宋体" w:hAnsi="宋体" w:eastAsia="宋体" w:cs="宋体"/>
                <w:sz w:val="21"/>
                <w:szCs w:val="21"/>
              </w:rPr>
            </w:pPr>
            <w:r>
              <w:rPr>
                <w:rFonts w:hint="eastAsia" w:ascii="宋体" w:hAnsi="宋体" w:eastAsia="宋体" w:cs="宋体"/>
                <w:sz w:val="21"/>
                <w:szCs w:val="21"/>
              </w:rPr>
              <w:t>电子邮箱：</w:t>
            </w:r>
            <w:r>
              <w:rPr>
                <w:rFonts w:hint="eastAsia" w:ascii="宋体" w:hAnsi="宋体" w:eastAsia="宋体" w:cs="宋体"/>
                <w:sz w:val="21"/>
                <w:szCs w:val="21"/>
                <w:u w:val="single"/>
              </w:rPr>
              <w:t xml:space="preserve"> /             </w:t>
            </w:r>
          </w:p>
        </w:tc>
      </w:tr>
    </w:tbl>
    <w:p w14:paraId="021CC4A2">
      <w:pPr>
        <w:jc w:val="center"/>
        <w:rPr>
          <w:rFonts w:hint="eastAsia"/>
          <w:b/>
          <w:bCs/>
          <w:sz w:val="28"/>
          <w:szCs w:val="36"/>
        </w:rPr>
        <w:sectPr>
          <w:footerReference r:id="rId3" w:type="default"/>
          <w:pgSz w:w="11906" w:h="16838"/>
          <w:pgMar w:top="1440" w:right="1800" w:bottom="1440" w:left="1800" w:header="851" w:footer="992" w:gutter="0"/>
          <w:cols w:space="425" w:num="1"/>
          <w:docGrid w:type="lines" w:linePitch="312" w:charSpace="0"/>
        </w:sectPr>
      </w:pPr>
    </w:p>
    <w:p w14:paraId="48640BCC">
      <w:pPr>
        <w:jc w:val="center"/>
        <w:rPr>
          <w:b/>
          <w:bCs/>
          <w:sz w:val="28"/>
          <w:szCs w:val="36"/>
        </w:rPr>
      </w:pPr>
      <w:r>
        <w:rPr>
          <w:rFonts w:hint="eastAsia"/>
          <w:b/>
          <w:bCs/>
          <w:sz w:val="28"/>
          <w:szCs w:val="36"/>
        </w:rPr>
        <w:t>需求框架（货物类）</w:t>
      </w:r>
    </w:p>
    <w:p w14:paraId="6F196A54">
      <w:pPr>
        <w:numPr>
          <w:ilvl w:val="0"/>
          <w:numId w:val="1"/>
        </w:numPr>
        <w:spacing w:line="360" w:lineRule="auto"/>
        <w:rPr>
          <w:rFonts w:asciiTheme="minorEastAsia" w:hAnsiTheme="minorEastAsia" w:cstheme="minorEastAsia"/>
          <w:color w:val="000000"/>
          <w:szCs w:val="21"/>
        </w:rPr>
      </w:pPr>
      <w:r>
        <w:rPr>
          <w:rFonts w:hint="eastAsia" w:asciiTheme="minorEastAsia" w:hAnsiTheme="minorEastAsia" w:cstheme="minorEastAsia"/>
          <w:b/>
          <w:bCs/>
          <w:szCs w:val="21"/>
        </w:rPr>
        <w:t>项目概况</w:t>
      </w:r>
    </w:p>
    <w:p w14:paraId="78648470">
      <w:pPr>
        <w:pStyle w:val="4"/>
        <w:spacing w:line="360" w:lineRule="auto"/>
        <w:ind w:firstLine="630" w:firstLineChars="300"/>
        <w:rPr>
          <w:rFonts w:asciiTheme="minorEastAsia" w:hAnsiTheme="minorEastAsia" w:cstheme="minorEastAsia"/>
          <w:color w:val="000000"/>
          <w:szCs w:val="21"/>
        </w:rPr>
      </w:pPr>
      <w:r>
        <w:rPr>
          <w:rFonts w:hint="eastAsia" w:asciiTheme="minorEastAsia" w:hAnsiTheme="minorEastAsia" w:cstheme="minorEastAsia"/>
          <w:color w:val="000000"/>
          <w:szCs w:val="21"/>
        </w:rPr>
        <w:t>西安市碑林区铁五第二小学南楼信息化设备采购项目。包括视频监控系统、校园广播系统、无线网络、教学楼网络布线、班班通教学一体机五大系统设备等，旨在提供基础教学环境建设。要求质量符合国家及行业相关标准，满足采购人教学使用。</w:t>
      </w:r>
    </w:p>
    <w:p w14:paraId="4AD07BD2">
      <w:pPr>
        <w:numPr>
          <w:ilvl w:val="0"/>
          <w:numId w:val="1"/>
        </w:numPr>
        <w:tabs>
          <w:tab w:val="left" w:pos="630"/>
        </w:tabs>
        <w:spacing w:line="360" w:lineRule="auto"/>
        <w:rPr>
          <w:rFonts w:asciiTheme="minorEastAsia" w:hAnsiTheme="minorEastAsia" w:cstheme="minorEastAsia"/>
          <w:color w:val="000000"/>
          <w:szCs w:val="21"/>
        </w:rPr>
      </w:pPr>
      <w:r>
        <w:rPr>
          <w:rFonts w:hint="eastAsia" w:asciiTheme="minorEastAsia" w:hAnsiTheme="minorEastAsia" w:cstheme="minorEastAsia"/>
          <w:b/>
          <w:bCs/>
          <w:szCs w:val="21"/>
        </w:rPr>
        <w:t>采购内容</w:t>
      </w:r>
    </w:p>
    <w:p w14:paraId="2649804B">
      <w:pPr>
        <w:tabs>
          <w:tab w:val="left" w:pos="630"/>
        </w:tabs>
        <w:spacing w:line="360" w:lineRule="auto"/>
        <w:ind w:firstLine="630" w:firstLineChars="300"/>
        <w:rPr>
          <w:rFonts w:asciiTheme="minorEastAsia" w:hAnsiTheme="minorEastAsia" w:cstheme="minorEastAsia"/>
          <w:color w:val="000000"/>
          <w:szCs w:val="21"/>
        </w:rPr>
      </w:pPr>
      <w:r>
        <w:rPr>
          <w:rFonts w:hint="eastAsia" w:asciiTheme="minorEastAsia" w:hAnsiTheme="minorEastAsia" w:cstheme="minorEastAsia"/>
          <w:color w:val="000000"/>
          <w:szCs w:val="21"/>
        </w:rPr>
        <w:t>西安市碑林区铁五第二小学南楼信息化设备采购项目，包括视频监控系统、校园广播系统、无线网络、教学楼网络布线、班班通教学一体机五大系统设备等。</w:t>
      </w:r>
    </w:p>
    <w:p w14:paraId="318D92B7">
      <w:pPr>
        <w:numPr>
          <w:ilvl w:val="0"/>
          <w:numId w:val="1"/>
        </w:numPr>
        <w:tabs>
          <w:tab w:val="left" w:pos="630"/>
        </w:tabs>
        <w:spacing w:line="360" w:lineRule="auto"/>
        <w:rPr>
          <w:rFonts w:asciiTheme="minorEastAsia" w:hAnsiTheme="minorEastAsia" w:cstheme="minorEastAsia"/>
          <w:b/>
          <w:bCs/>
          <w:szCs w:val="21"/>
        </w:rPr>
      </w:pPr>
      <w:r>
        <w:rPr>
          <w:rFonts w:hint="eastAsia" w:asciiTheme="minorEastAsia" w:hAnsiTheme="minorEastAsia" w:cstheme="minorEastAsia"/>
          <w:b/>
          <w:bCs/>
          <w:szCs w:val="21"/>
        </w:rPr>
        <w:t>技术要求</w:t>
      </w:r>
    </w:p>
    <w:p w14:paraId="385957F0">
      <w:pPr>
        <w:pStyle w:val="8"/>
        <w:ind w:firstLine="632" w:firstLineChars="300"/>
        <w:rPr>
          <w:rFonts w:hint="eastAsia" w:asciiTheme="minorEastAsia" w:hAnsiTheme="minorEastAsia" w:eastAsiaTheme="minorEastAsia" w:cstheme="minorEastAsia"/>
          <w:b/>
          <w:bCs/>
          <w:sz w:val="21"/>
          <w:szCs w:val="21"/>
          <w:lang w:eastAsia="zh-CN"/>
        </w:rPr>
      </w:pPr>
      <w:r>
        <w:rPr>
          <w:rFonts w:hint="eastAsia" w:asciiTheme="minorEastAsia" w:hAnsiTheme="minorEastAsia" w:cstheme="minorEastAsia"/>
          <w:b/>
          <w:bCs/>
          <w:sz w:val="21"/>
          <w:szCs w:val="21"/>
          <w:lang w:eastAsia="zh-CN"/>
        </w:rPr>
        <w:t>详见招标文件</w:t>
      </w:r>
    </w:p>
    <w:p w14:paraId="6C8DE6F3">
      <w:pPr>
        <w:numPr>
          <w:ilvl w:val="0"/>
          <w:numId w:val="1"/>
        </w:numPr>
        <w:spacing w:line="360" w:lineRule="auto"/>
        <w:rPr>
          <w:rFonts w:asciiTheme="minorEastAsia" w:hAnsiTheme="minorEastAsia" w:cstheme="minorEastAsia"/>
          <w:b/>
          <w:bCs/>
          <w:szCs w:val="21"/>
        </w:rPr>
      </w:pPr>
      <w:r>
        <w:rPr>
          <w:rFonts w:hint="eastAsia" w:asciiTheme="minorEastAsia" w:hAnsiTheme="minorEastAsia" w:cstheme="minorEastAsia"/>
          <w:b/>
          <w:bCs/>
          <w:szCs w:val="21"/>
        </w:rPr>
        <w:t>服务要求</w:t>
      </w:r>
    </w:p>
    <w:p w14:paraId="42D3A7D7">
      <w:pPr>
        <w:spacing w:before="65" w:line="228" w:lineRule="auto"/>
        <w:ind w:left="513"/>
        <w:rPr>
          <w:rFonts w:ascii="宋体" w:hAnsi="宋体" w:eastAsia="宋体" w:cs="宋体"/>
          <w:b/>
          <w:bCs/>
          <w:sz w:val="20"/>
          <w:szCs w:val="20"/>
        </w:rPr>
      </w:pPr>
      <w:r>
        <w:rPr>
          <w:rFonts w:ascii="宋体" w:hAnsi="宋体" w:eastAsia="宋体" w:cs="宋体"/>
          <w:b/>
          <w:bCs/>
          <w:spacing w:val="6"/>
          <w:sz w:val="20"/>
          <w:szCs w:val="20"/>
        </w:rPr>
        <w:t>1</w:t>
      </w:r>
      <w:r>
        <w:rPr>
          <w:rFonts w:hint="eastAsia" w:ascii="宋体" w:hAnsi="宋体" w:eastAsia="宋体" w:cs="宋体"/>
          <w:b/>
          <w:bCs/>
          <w:spacing w:val="6"/>
          <w:sz w:val="20"/>
          <w:szCs w:val="20"/>
        </w:rPr>
        <w:t>.</w:t>
      </w:r>
      <w:r>
        <w:rPr>
          <w:rFonts w:ascii="宋体" w:hAnsi="宋体" w:eastAsia="宋体" w:cs="宋体"/>
          <w:b/>
          <w:bCs/>
          <w:spacing w:val="6"/>
          <w:sz w:val="20"/>
          <w:szCs w:val="20"/>
        </w:rPr>
        <w:t>技术服务要求：</w:t>
      </w:r>
    </w:p>
    <w:p w14:paraId="2B02C7E8">
      <w:pPr>
        <w:tabs>
          <w:tab w:val="left" w:pos="1440"/>
        </w:tabs>
        <w:spacing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中标人应在中标后尽快与采购人联系签订合同并完成安装调试，保证不影响采购人开学使用。</w:t>
      </w:r>
    </w:p>
    <w:p w14:paraId="1B501D82">
      <w:pPr>
        <w:spacing w:before="164" w:line="228" w:lineRule="auto"/>
        <w:ind w:left="513"/>
        <w:rPr>
          <w:rFonts w:ascii="宋体" w:hAnsi="宋体" w:eastAsia="宋体" w:cs="宋体"/>
          <w:b/>
          <w:bCs/>
          <w:sz w:val="20"/>
          <w:szCs w:val="20"/>
        </w:rPr>
      </w:pPr>
      <w:r>
        <w:rPr>
          <w:rFonts w:hint="eastAsia" w:ascii="宋体" w:hAnsi="宋体" w:eastAsia="宋体" w:cs="宋体"/>
          <w:b/>
          <w:bCs/>
          <w:spacing w:val="6"/>
          <w:sz w:val="20"/>
          <w:szCs w:val="20"/>
        </w:rPr>
        <w:t>2.</w:t>
      </w:r>
      <w:r>
        <w:rPr>
          <w:rFonts w:ascii="宋体" w:hAnsi="宋体" w:eastAsia="宋体" w:cs="宋体"/>
          <w:b/>
          <w:bCs/>
          <w:spacing w:val="6"/>
          <w:sz w:val="20"/>
          <w:szCs w:val="20"/>
        </w:rPr>
        <w:t>售后服务要求：</w:t>
      </w:r>
    </w:p>
    <w:p w14:paraId="5DD31D81">
      <w:pPr>
        <w:spacing w:before="161" w:line="227" w:lineRule="auto"/>
        <w:ind w:left="459"/>
        <w:rPr>
          <w:rFonts w:ascii="宋体" w:hAnsi="宋体" w:eastAsia="宋体" w:cs="宋体"/>
          <w:sz w:val="20"/>
          <w:szCs w:val="20"/>
        </w:rPr>
      </w:pPr>
      <w:r>
        <w:rPr>
          <w:rFonts w:ascii="宋体" w:hAnsi="宋体" w:eastAsia="宋体" w:cs="宋体"/>
          <w:spacing w:val="8"/>
          <w:sz w:val="20"/>
          <w:szCs w:val="20"/>
        </w:rPr>
        <w:t>（1）乙方须指派专人负责与采购人联系售后服务事宜；</w:t>
      </w:r>
    </w:p>
    <w:p w14:paraId="58B1398D">
      <w:pPr>
        <w:spacing w:before="162" w:line="227" w:lineRule="auto"/>
        <w:ind w:left="459"/>
        <w:rPr>
          <w:rFonts w:ascii="宋体" w:hAnsi="宋体" w:eastAsia="宋体" w:cs="宋体"/>
          <w:sz w:val="20"/>
          <w:szCs w:val="20"/>
        </w:rPr>
      </w:pPr>
      <w:r>
        <w:rPr>
          <w:rFonts w:ascii="宋体" w:hAnsi="宋体" w:eastAsia="宋体" w:cs="宋体"/>
          <w:spacing w:val="8"/>
          <w:sz w:val="20"/>
          <w:szCs w:val="20"/>
        </w:rPr>
        <w:t>（2）货物（产品）的现场安装、调试和启动监督；</w:t>
      </w:r>
    </w:p>
    <w:p w14:paraId="087CEEC5">
      <w:pPr>
        <w:spacing w:before="161" w:line="340" w:lineRule="auto"/>
        <w:ind w:left="135" w:right="386" w:firstLine="323"/>
        <w:rPr>
          <w:rFonts w:ascii="宋体" w:hAnsi="宋体" w:eastAsia="宋体" w:cs="宋体"/>
          <w:sz w:val="20"/>
          <w:szCs w:val="20"/>
        </w:rPr>
      </w:pPr>
      <w:r>
        <w:rPr>
          <w:rFonts w:ascii="宋体" w:hAnsi="宋体" w:eastAsia="宋体" w:cs="宋体"/>
          <w:spacing w:val="8"/>
          <w:sz w:val="20"/>
          <w:szCs w:val="20"/>
        </w:rPr>
        <w:t>（3）就货物的安装、启动、运行及维护等对采购人的人员进行免费培</w:t>
      </w:r>
      <w:r>
        <w:rPr>
          <w:rFonts w:ascii="宋体" w:hAnsi="宋体" w:eastAsia="宋体" w:cs="宋体"/>
          <w:spacing w:val="7"/>
          <w:sz w:val="20"/>
          <w:szCs w:val="20"/>
        </w:rPr>
        <w:t>训。主要培训内容为货物</w:t>
      </w:r>
      <w:r>
        <w:rPr>
          <w:rFonts w:ascii="宋体" w:hAnsi="宋体" w:eastAsia="宋体" w:cs="宋体"/>
          <w:spacing w:val="8"/>
          <w:sz w:val="20"/>
          <w:szCs w:val="20"/>
        </w:rPr>
        <w:t>的基本结构、性能、主要部件的构造及处理，日常使用操作、保养与管理、常见故障的排除、紧急情况的处理等，如采购人未使用过同类型货物，中标人还需就货物的功能对采购人的人员进行相应</w:t>
      </w:r>
      <w:r>
        <w:rPr>
          <w:rFonts w:ascii="宋体" w:hAnsi="宋体" w:eastAsia="宋体" w:cs="宋体"/>
          <w:spacing w:val="9"/>
          <w:sz w:val="20"/>
          <w:szCs w:val="20"/>
        </w:rPr>
        <w:t>的技术培训，培训地点主要在货物安装现场或由采购人安排；</w:t>
      </w:r>
    </w:p>
    <w:p w14:paraId="6D3E9FFA">
      <w:pPr>
        <w:spacing w:before="161" w:line="340" w:lineRule="auto"/>
        <w:ind w:left="135" w:right="386" w:firstLine="323"/>
        <w:rPr>
          <w:rFonts w:ascii="宋体" w:hAnsi="宋体" w:eastAsia="宋体" w:cs="宋体"/>
          <w:spacing w:val="8"/>
          <w:sz w:val="20"/>
          <w:szCs w:val="20"/>
        </w:rPr>
      </w:pPr>
      <w:r>
        <w:rPr>
          <w:rFonts w:ascii="宋体" w:hAnsi="宋体" w:eastAsia="宋体" w:cs="宋体"/>
          <w:spacing w:val="8"/>
          <w:sz w:val="20"/>
          <w:szCs w:val="20"/>
        </w:rPr>
        <w:t>（4）质保期自采购人在货物质量验收单（终验）上签字之日起计算，质保费用计入总价；</w:t>
      </w:r>
    </w:p>
    <w:p w14:paraId="24CEB30C">
      <w:pPr>
        <w:spacing w:before="161" w:line="340" w:lineRule="auto"/>
        <w:ind w:left="135" w:right="386" w:firstLine="323"/>
        <w:rPr>
          <w:rFonts w:ascii="宋体" w:hAnsi="宋体" w:eastAsia="宋体" w:cs="宋体"/>
          <w:spacing w:val="8"/>
          <w:sz w:val="20"/>
          <w:szCs w:val="20"/>
        </w:rPr>
      </w:pPr>
      <w:r>
        <w:rPr>
          <w:rFonts w:ascii="宋体" w:hAnsi="宋体" w:eastAsia="宋体" w:cs="宋体"/>
          <w:spacing w:val="8"/>
          <w:sz w:val="20"/>
          <w:szCs w:val="20"/>
        </w:rPr>
        <w:t>（5）质保期内，中标人负责对其提供的货物整机进行维修和系统维护，不再收取任何费用，但不可抗力（如火灾、雷击等）造成的故障除外；</w:t>
      </w:r>
    </w:p>
    <w:p w14:paraId="5BE44568">
      <w:pPr>
        <w:spacing w:before="161" w:line="340" w:lineRule="auto"/>
        <w:ind w:left="135" w:right="386" w:firstLine="323"/>
        <w:rPr>
          <w:rFonts w:ascii="宋体" w:hAnsi="宋体" w:eastAsia="宋体" w:cs="宋体"/>
          <w:spacing w:val="8"/>
          <w:sz w:val="20"/>
          <w:szCs w:val="20"/>
        </w:rPr>
      </w:pPr>
      <w:r>
        <w:rPr>
          <w:rFonts w:ascii="宋体" w:hAnsi="宋体" w:eastAsia="宋体" w:cs="宋体"/>
          <w:spacing w:val="8"/>
          <w:sz w:val="20"/>
          <w:szCs w:val="20"/>
        </w:rPr>
        <w:t>（6）货物故障报修的响应时间为：工作期间（星期一至星期五8：00-18：00）为4时；非工作期间为8小时；</w:t>
      </w:r>
    </w:p>
    <w:p w14:paraId="327D9416">
      <w:pPr>
        <w:spacing w:before="161" w:line="340" w:lineRule="auto"/>
        <w:ind w:left="135" w:right="386" w:firstLine="323"/>
        <w:rPr>
          <w:rFonts w:ascii="宋体" w:hAnsi="宋体" w:eastAsia="宋体" w:cs="宋体"/>
          <w:spacing w:val="8"/>
          <w:sz w:val="20"/>
          <w:szCs w:val="20"/>
        </w:rPr>
      </w:pPr>
      <w:r>
        <w:rPr>
          <w:rFonts w:ascii="宋体" w:hAnsi="宋体" w:eastAsia="宋体" w:cs="宋体"/>
          <w:spacing w:val="8"/>
          <w:sz w:val="20"/>
          <w:szCs w:val="20"/>
        </w:rPr>
        <w:t>（7）中标人在接到采购人通知后须72小时内完成维修或更换，并承担修理或更换的费用；</w:t>
      </w:r>
    </w:p>
    <w:p w14:paraId="365011DB">
      <w:pPr>
        <w:spacing w:before="161" w:line="340" w:lineRule="auto"/>
        <w:ind w:left="135" w:right="386" w:firstLine="323"/>
        <w:rPr>
          <w:rFonts w:ascii="宋体" w:hAnsi="宋体" w:eastAsia="宋体" w:cs="宋体"/>
          <w:spacing w:val="8"/>
          <w:sz w:val="20"/>
          <w:szCs w:val="20"/>
        </w:rPr>
      </w:pPr>
      <w:r>
        <w:rPr>
          <w:rFonts w:ascii="宋体" w:hAnsi="宋体" w:eastAsia="宋体" w:cs="宋体"/>
          <w:spacing w:val="8"/>
          <w:sz w:val="20"/>
          <w:szCs w:val="20"/>
        </w:rPr>
        <w:t>（8）所有货物服务方式均为中标人上门服务，即由中标人派员到货物使用现场维修，由此产生的一切费用均由中标人承担；</w:t>
      </w:r>
    </w:p>
    <w:p w14:paraId="1D5C74DA">
      <w:pPr>
        <w:spacing w:before="161" w:line="340" w:lineRule="auto"/>
        <w:ind w:left="135" w:right="386" w:firstLine="323"/>
        <w:rPr>
          <w:rFonts w:ascii="宋体" w:hAnsi="宋体" w:eastAsia="宋体" w:cs="宋体"/>
          <w:spacing w:val="8"/>
          <w:sz w:val="20"/>
          <w:szCs w:val="20"/>
        </w:rPr>
      </w:pPr>
      <w:r>
        <w:rPr>
          <w:rFonts w:ascii="宋体" w:hAnsi="宋体" w:eastAsia="宋体" w:cs="宋体"/>
          <w:spacing w:val="8"/>
          <w:sz w:val="20"/>
          <w:szCs w:val="20"/>
        </w:rPr>
        <w:t>（9）质保期结束后的货物维修、维护由双方协商再定；</w:t>
      </w:r>
    </w:p>
    <w:p w14:paraId="5F86EFE6">
      <w:pPr>
        <w:pStyle w:val="4"/>
        <w:spacing w:line="360" w:lineRule="auto"/>
        <w:ind w:firstLine="0"/>
        <w:rPr>
          <w:rFonts w:asciiTheme="minorEastAsia" w:hAnsiTheme="minorEastAsia" w:cstheme="minorEastAsia"/>
          <w:b/>
          <w:bCs/>
          <w:color w:val="000000"/>
          <w:szCs w:val="21"/>
        </w:rPr>
      </w:pPr>
      <w:r>
        <w:rPr>
          <w:rFonts w:hint="eastAsia" w:asciiTheme="minorEastAsia" w:hAnsiTheme="minorEastAsia" w:cstheme="minorEastAsia"/>
          <w:b/>
          <w:bCs/>
          <w:color w:val="000000"/>
          <w:szCs w:val="21"/>
        </w:rPr>
        <w:t>五、商务要求</w:t>
      </w:r>
    </w:p>
    <w:p w14:paraId="3A33BCDF">
      <w:pPr>
        <w:spacing w:before="161" w:line="340" w:lineRule="auto"/>
        <w:ind w:left="135" w:right="386" w:firstLine="323"/>
        <w:rPr>
          <w:rFonts w:ascii="宋体" w:hAnsi="宋体" w:eastAsia="宋体" w:cs="宋体"/>
          <w:b/>
          <w:bCs/>
          <w:spacing w:val="8"/>
          <w:sz w:val="20"/>
          <w:szCs w:val="20"/>
        </w:rPr>
      </w:pPr>
      <w:r>
        <w:rPr>
          <w:rFonts w:hint="eastAsia" w:ascii="宋体" w:hAnsi="宋体" w:eastAsia="宋体" w:cs="宋体"/>
          <w:b/>
          <w:bCs/>
          <w:spacing w:val="8"/>
          <w:sz w:val="20"/>
          <w:szCs w:val="20"/>
        </w:rPr>
        <w:t>1.进度要求</w:t>
      </w:r>
    </w:p>
    <w:p w14:paraId="3E98263E">
      <w:pPr>
        <w:spacing w:before="161" w:line="340" w:lineRule="auto"/>
        <w:ind w:left="135" w:right="386" w:firstLine="323"/>
        <w:rPr>
          <w:rFonts w:ascii="宋体" w:hAnsi="宋体" w:eastAsia="宋体" w:cs="宋体"/>
          <w:spacing w:val="8"/>
          <w:sz w:val="20"/>
          <w:szCs w:val="20"/>
        </w:rPr>
      </w:pPr>
      <w:r>
        <w:rPr>
          <w:rFonts w:hint="eastAsia" w:ascii="宋体" w:hAnsi="宋体" w:eastAsia="宋体" w:cs="宋体"/>
          <w:spacing w:val="8"/>
          <w:sz w:val="20"/>
          <w:szCs w:val="20"/>
        </w:rPr>
        <w:t>交付期:自合同签订之日起10个日历日完成全部项目内容，并交付采购人验收合格</w:t>
      </w:r>
    </w:p>
    <w:p w14:paraId="607D0F75">
      <w:pPr>
        <w:spacing w:before="161" w:line="340" w:lineRule="auto"/>
        <w:ind w:left="135" w:right="386" w:firstLine="323"/>
        <w:rPr>
          <w:rFonts w:ascii="宋体" w:hAnsi="宋体" w:eastAsia="宋体" w:cs="宋体"/>
          <w:spacing w:val="8"/>
          <w:sz w:val="20"/>
          <w:szCs w:val="20"/>
        </w:rPr>
      </w:pPr>
      <w:r>
        <w:rPr>
          <w:rFonts w:hint="eastAsia" w:ascii="宋体" w:hAnsi="宋体" w:eastAsia="宋体" w:cs="宋体"/>
          <w:spacing w:val="8"/>
          <w:sz w:val="20"/>
          <w:szCs w:val="20"/>
        </w:rPr>
        <w:t>交付地点:采购人指定地点</w:t>
      </w:r>
    </w:p>
    <w:p w14:paraId="37CF4456">
      <w:pPr>
        <w:spacing w:before="161" w:line="340" w:lineRule="auto"/>
        <w:ind w:left="135" w:right="386" w:firstLine="323"/>
        <w:rPr>
          <w:rFonts w:ascii="宋体" w:hAnsi="宋体" w:eastAsia="宋体" w:cs="宋体"/>
          <w:b/>
          <w:bCs/>
          <w:spacing w:val="8"/>
          <w:sz w:val="20"/>
          <w:szCs w:val="20"/>
        </w:rPr>
      </w:pPr>
      <w:r>
        <w:rPr>
          <w:rFonts w:hint="eastAsia" w:ascii="宋体" w:hAnsi="宋体" w:eastAsia="宋体" w:cs="宋体"/>
          <w:b/>
          <w:bCs/>
          <w:spacing w:val="8"/>
          <w:sz w:val="20"/>
          <w:szCs w:val="20"/>
        </w:rPr>
        <w:t>2.款项结算</w:t>
      </w:r>
    </w:p>
    <w:p w14:paraId="77D37D3C">
      <w:pPr>
        <w:pageBreakBefore w:val="0"/>
        <w:kinsoku/>
        <w:wordWrap/>
        <w:overflowPunct/>
        <w:topLinePunct w:val="0"/>
        <w:bidi w:val="0"/>
        <w:adjustRightInd w:val="0"/>
        <w:snapToGrid w:val="0"/>
        <w:spacing w:line="360" w:lineRule="auto"/>
        <w:ind w:right="0"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合同签订后20日内支付合同</w:t>
      </w:r>
      <w:r>
        <w:rPr>
          <w:rFonts w:hint="eastAsia" w:ascii="宋体" w:hAnsi="宋体" w:cs="宋体"/>
          <w:szCs w:val="21"/>
          <w:highlight w:val="none"/>
          <w:lang w:val="en-US" w:eastAsia="zh-CN"/>
        </w:rPr>
        <w:t>总价款的</w:t>
      </w:r>
      <w:r>
        <w:rPr>
          <w:rFonts w:hint="eastAsia" w:ascii="宋体" w:hAnsi="宋体" w:eastAsia="宋体" w:cs="宋体"/>
          <w:szCs w:val="21"/>
          <w:highlight w:val="none"/>
          <w:lang w:val="en-US" w:eastAsia="zh-CN"/>
        </w:rPr>
        <w:t>30%；验收合格后支付到</w:t>
      </w:r>
      <w:r>
        <w:rPr>
          <w:rFonts w:hint="eastAsia" w:ascii="宋体" w:hAnsi="宋体" w:cs="宋体"/>
          <w:szCs w:val="21"/>
          <w:highlight w:val="none"/>
          <w:lang w:val="en-US" w:eastAsia="zh-CN"/>
        </w:rPr>
        <w:t>总价款</w:t>
      </w:r>
      <w:r>
        <w:rPr>
          <w:rFonts w:hint="eastAsia" w:ascii="宋体" w:hAnsi="宋体" w:eastAsia="宋体" w:cs="宋体"/>
          <w:szCs w:val="21"/>
          <w:highlight w:val="none"/>
          <w:lang w:val="en-US" w:eastAsia="zh-CN"/>
        </w:rPr>
        <w:t>100%</w:t>
      </w:r>
      <w:r>
        <w:rPr>
          <w:rFonts w:hint="eastAsia" w:ascii="宋体" w:hAnsi="宋体" w:eastAsia="宋体" w:cs="宋体"/>
          <w:szCs w:val="21"/>
          <w:highlight w:val="none"/>
        </w:rPr>
        <w:t>。</w:t>
      </w:r>
    </w:p>
    <w:p w14:paraId="074EB6D5">
      <w:pPr>
        <w:pStyle w:val="4"/>
        <w:spacing w:line="360" w:lineRule="auto"/>
        <w:ind w:firstLine="0"/>
        <w:rPr>
          <w:rFonts w:asciiTheme="minorEastAsia" w:hAnsiTheme="minorEastAsia" w:cstheme="minorEastAsia"/>
          <w:b/>
          <w:bCs/>
          <w:color w:val="000000"/>
          <w:szCs w:val="21"/>
        </w:rPr>
      </w:pPr>
      <w:r>
        <w:rPr>
          <w:rFonts w:hint="eastAsia" w:asciiTheme="minorEastAsia" w:hAnsiTheme="minorEastAsia" w:cstheme="minorEastAsia"/>
          <w:b/>
          <w:bCs/>
          <w:color w:val="000000"/>
          <w:szCs w:val="21"/>
        </w:rPr>
        <w:t>六、其他</w:t>
      </w:r>
    </w:p>
    <w:p w14:paraId="67A8F63E">
      <w:pPr>
        <w:tabs>
          <w:tab w:val="left" w:pos="1440"/>
        </w:tabs>
        <w:spacing w:line="360" w:lineRule="auto"/>
        <w:ind w:firstLine="422" w:firstLineChars="200"/>
        <w:rPr>
          <w:rFonts w:asciiTheme="minorEastAsia" w:hAnsiTheme="minorEastAsia" w:cstheme="minorEastAsia"/>
          <w:b/>
          <w:bCs/>
          <w:szCs w:val="21"/>
        </w:rPr>
      </w:pPr>
      <w:r>
        <w:rPr>
          <w:rFonts w:hint="eastAsia" w:asciiTheme="minorEastAsia" w:hAnsiTheme="minorEastAsia" w:cstheme="minorEastAsia"/>
          <w:b/>
          <w:bCs/>
          <w:szCs w:val="21"/>
        </w:rPr>
        <w:t>1.对投标的业绩要求</w:t>
      </w:r>
    </w:p>
    <w:p w14:paraId="6CBEB256">
      <w:pPr>
        <w:tabs>
          <w:tab w:val="left" w:pos="1440"/>
        </w:tabs>
        <w:spacing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具有2021年至今同类项目业绩。（</w:t>
      </w:r>
      <w:r>
        <w:rPr>
          <w:rFonts w:hint="eastAsia" w:asciiTheme="minorEastAsia" w:hAnsiTheme="minorEastAsia" w:cstheme="minorEastAsia"/>
          <w:szCs w:val="21"/>
          <w:lang w:eastAsia="zh-CN"/>
        </w:rPr>
        <w:t>详见招标文件</w:t>
      </w:r>
      <w:r>
        <w:rPr>
          <w:rFonts w:hint="eastAsia" w:asciiTheme="minorEastAsia" w:hAnsiTheme="minorEastAsia" w:cstheme="minorEastAsia"/>
          <w:szCs w:val="21"/>
        </w:rPr>
        <w:t>）</w:t>
      </w:r>
    </w:p>
    <w:p w14:paraId="1641B0A0">
      <w:pPr>
        <w:tabs>
          <w:tab w:val="left" w:pos="1440"/>
        </w:tabs>
        <w:spacing w:line="360" w:lineRule="auto"/>
        <w:ind w:firstLine="422" w:firstLineChars="200"/>
        <w:rPr>
          <w:rFonts w:asciiTheme="minorEastAsia" w:hAnsiTheme="minorEastAsia" w:cstheme="minorEastAsia"/>
          <w:b/>
          <w:bCs/>
          <w:szCs w:val="21"/>
        </w:rPr>
      </w:pPr>
      <w:r>
        <w:rPr>
          <w:rFonts w:hint="eastAsia" w:asciiTheme="minorEastAsia" w:hAnsiTheme="minorEastAsia" w:cstheme="minorEastAsia"/>
          <w:b/>
          <w:bCs/>
          <w:szCs w:val="21"/>
        </w:rPr>
        <w:t>2.质量验收标准或规范</w:t>
      </w:r>
    </w:p>
    <w:p w14:paraId="36EE113F">
      <w:pPr>
        <w:pageBreakBefore w:val="0"/>
        <w:kinsoku/>
        <w:wordWrap/>
        <w:overflowPunct/>
        <w:topLinePunct w:val="0"/>
        <w:bidi w:val="0"/>
        <w:adjustRightInd w:val="0"/>
        <w:snapToGrid w:val="0"/>
        <w:spacing w:line="360" w:lineRule="auto"/>
        <w:ind w:right="0" w:firstLine="420" w:firstLineChars="200"/>
        <w:rPr>
          <w:rFonts w:hint="eastAsia" w:ascii="宋体" w:hAnsi="宋体" w:cs="宋体"/>
          <w:szCs w:val="21"/>
          <w:highlight w:val="none"/>
        </w:rPr>
      </w:pPr>
      <w:r>
        <w:rPr>
          <w:rFonts w:hint="eastAsia" w:ascii="宋体" w:hAnsi="宋体" w:cs="宋体"/>
          <w:szCs w:val="21"/>
          <w:highlight w:val="none"/>
        </w:rPr>
        <w:t>1、所有设备必须保证安全环保、质量可靠、进货渠道正常，符合国家相关标准，满足质量要求。</w:t>
      </w:r>
    </w:p>
    <w:p w14:paraId="7E59B9A2">
      <w:pPr>
        <w:pageBreakBefore w:val="0"/>
        <w:kinsoku/>
        <w:wordWrap/>
        <w:overflowPunct/>
        <w:topLinePunct w:val="0"/>
        <w:bidi w:val="0"/>
        <w:adjustRightInd w:val="0"/>
        <w:snapToGrid w:val="0"/>
        <w:spacing w:line="360" w:lineRule="auto"/>
        <w:ind w:right="0" w:firstLine="420" w:firstLineChars="200"/>
        <w:rPr>
          <w:rFonts w:hint="eastAsia" w:ascii="宋体" w:hAnsi="宋体" w:cs="宋体"/>
          <w:szCs w:val="21"/>
          <w:highlight w:val="none"/>
        </w:rPr>
      </w:pPr>
      <w:r>
        <w:rPr>
          <w:rFonts w:hint="eastAsia" w:ascii="宋体" w:hAnsi="宋体" w:cs="宋体"/>
          <w:szCs w:val="21"/>
          <w:highlight w:val="none"/>
        </w:rPr>
        <w:t>2、整个安装工作符合国家有关规范，确保质量合格。</w:t>
      </w:r>
    </w:p>
    <w:p w14:paraId="569A5F7F">
      <w:pPr>
        <w:pageBreakBefore w:val="0"/>
        <w:kinsoku/>
        <w:wordWrap/>
        <w:overflowPunct/>
        <w:topLinePunct w:val="0"/>
        <w:bidi w:val="0"/>
        <w:adjustRightInd w:val="0"/>
        <w:snapToGrid w:val="0"/>
        <w:spacing w:line="360" w:lineRule="auto"/>
        <w:ind w:right="0" w:firstLine="420" w:firstLineChars="200"/>
        <w:rPr>
          <w:rFonts w:hint="eastAsia" w:ascii="宋体" w:hAnsi="宋体" w:cs="宋体"/>
          <w:szCs w:val="21"/>
          <w:highlight w:val="none"/>
        </w:rPr>
      </w:pPr>
      <w:r>
        <w:rPr>
          <w:rFonts w:hint="eastAsia" w:ascii="宋体" w:hAnsi="宋体" w:cs="宋体"/>
          <w:szCs w:val="21"/>
          <w:highlight w:val="none"/>
        </w:rPr>
        <w:t>3、保修期满足甲方要求，按国家行业有关规定执行。</w:t>
      </w:r>
    </w:p>
    <w:p w14:paraId="742D3F4E">
      <w:pPr>
        <w:pageBreakBefore w:val="0"/>
        <w:kinsoku/>
        <w:wordWrap/>
        <w:overflowPunct/>
        <w:topLinePunct w:val="0"/>
        <w:bidi w:val="0"/>
        <w:adjustRightInd w:val="0"/>
        <w:snapToGrid w:val="0"/>
        <w:spacing w:line="360" w:lineRule="auto"/>
        <w:ind w:right="0" w:firstLine="420" w:firstLineChars="200"/>
        <w:rPr>
          <w:rFonts w:asciiTheme="minorEastAsia" w:hAnsiTheme="minorEastAsia" w:cstheme="minorEastAsia"/>
          <w:szCs w:val="21"/>
        </w:rPr>
      </w:pPr>
      <w:r>
        <w:rPr>
          <w:rFonts w:hint="eastAsia" w:ascii="宋体" w:hAnsi="宋体" w:cs="宋体"/>
          <w:szCs w:val="21"/>
          <w:highlight w:val="none"/>
        </w:rPr>
        <w:t>4、终身维护。</w:t>
      </w:r>
    </w:p>
    <w:p w14:paraId="2E255A82">
      <w:pPr>
        <w:tabs>
          <w:tab w:val="left" w:pos="1440"/>
        </w:tabs>
        <w:spacing w:line="360" w:lineRule="auto"/>
        <w:ind w:firstLine="422" w:firstLineChars="200"/>
        <w:rPr>
          <w:rFonts w:asciiTheme="minorEastAsia" w:hAnsiTheme="minorEastAsia" w:cstheme="minorEastAsia"/>
          <w:b/>
          <w:bCs/>
          <w:szCs w:val="21"/>
        </w:rPr>
      </w:pPr>
      <w:r>
        <w:rPr>
          <w:rFonts w:hint="eastAsia" w:asciiTheme="minorEastAsia" w:hAnsiTheme="minorEastAsia" w:cstheme="minorEastAsia"/>
          <w:b/>
          <w:bCs/>
          <w:szCs w:val="21"/>
          <w:lang w:val="en-US" w:eastAsia="zh-CN"/>
        </w:rPr>
        <w:t>3</w:t>
      </w:r>
      <w:bookmarkStart w:id="0" w:name="_GoBack"/>
      <w:bookmarkEnd w:id="0"/>
      <w:r>
        <w:rPr>
          <w:rFonts w:hint="eastAsia" w:asciiTheme="minorEastAsia" w:hAnsiTheme="minorEastAsia" w:cstheme="minorEastAsia"/>
          <w:b/>
          <w:bCs/>
          <w:szCs w:val="21"/>
        </w:rPr>
        <w:t>.本项目需要落实的政府采购政策</w:t>
      </w:r>
    </w:p>
    <w:p w14:paraId="782C93F5">
      <w:pPr>
        <w:pStyle w:val="8"/>
        <w:spacing w:line="360" w:lineRule="auto"/>
        <w:jc w:val="both"/>
        <w:rPr>
          <w:rFonts w:asciiTheme="minorEastAsia" w:hAnsiTheme="minorEastAsia" w:cstheme="minorEastAsia"/>
          <w:b w:val="0"/>
          <w:bCs w:val="0"/>
          <w:color w:val="000000"/>
          <w:sz w:val="21"/>
          <w:szCs w:val="21"/>
        </w:rPr>
      </w:pPr>
      <w:r>
        <w:rPr>
          <w:rFonts w:hint="eastAsia" w:asciiTheme="minorEastAsia" w:hAnsiTheme="minorEastAsia" w:cstheme="minorEastAsia"/>
          <w:b w:val="0"/>
          <w:bCs w:val="0"/>
          <w:color w:val="000000"/>
          <w:sz w:val="21"/>
          <w:szCs w:val="21"/>
        </w:rPr>
        <w:t>（1）《政府采购促进中小企业发展管理办法》（财库〔2020〕46号）；</w:t>
      </w:r>
    </w:p>
    <w:p w14:paraId="092FEC4A">
      <w:pPr>
        <w:pStyle w:val="8"/>
        <w:spacing w:line="360" w:lineRule="auto"/>
        <w:jc w:val="both"/>
        <w:rPr>
          <w:rFonts w:hint="eastAsia" w:asciiTheme="minorEastAsia" w:hAnsiTheme="minorEastAsia" w:cstheme="minorEastAsia"/>
          <w:b w:val="0"/>
          <w:bCs w:val="0"/>
          <w:color w:val="000000"/>
          <w:sz w:val="21"/>
          <w:szCs w:val="21"/>
        </w:rPr>
      </w:pPr>
      <w:r>
        <w:rPr>
          <w:rFonts w:hint="eastAsia" w:asciiTheme="minorEastAsia" w:hAnsiTheme="minorEastAsia" w:cstheme="minorEastAsia"/>
          <w:b w:val="0"/>
          <w:bCs w:val="0"/>
          <w:color w:val="000000"/>
          <w:sz w:val="21"/>
          <w:szCs w:val="21"/>
        </w:rPr>
        <w:t>（2）《财政部司法部关于政府采购支持监狱企业发展有关问题的通知》（财库〔2014〕68号）；    </w:t>
      </w:r>
    </w:p>
    <w:p w14:paraId="4C35B762">
      <w:pPr>
        <w:pStyle w:val="8"/>
        <w:spacing w:line="360" w:lineRule="auto"/>
        <w:jc w:val="both"/>
        <w:rPr>
          <w:rFonts w:hint="eastAsia" w:asciiTheme="minorEastAsia" w:hAnsiTheme="minorEastAsia" w:cstheme="minorEastAsia"/>
          <w:b w:val="0"/>
          <w:bCs w:val="0"/>
          <w:color w:val="000000"/>
          <w:sz w:val="21"/>
          <w:szCs w:val="21"/>
        </w:rPr>
      </w:pPr>
      <w:r>
        <w:rPr>
          <w:rFonts w:hint="eastAsia" w:asciiTheme="minorEastAsia" w:hAnsiTheme="minorEastAsia" w:cstheme="minorEastAsia"/>
          <w:b w:val="0"/>
          <w:bCs w:val="0"/>
          <w:color w:val="000000"/>
          <w:sz w:val="21"/>
          <w:szCs w:val="21"/>
        </w:rPr>
        <w:t>（3）《财政部 发展改革委 生态环境部 市场监管总局关于调整优化节能产品、环境标志产品政府采购执行机制的通知》（财库〔2019〕9号）；</w:t>
      </w:r>
    </w:p>
    <w:p w14:paraId="34B42153">
      <w:pPr>
        <w:pStyle w:val="8"/>
        <w:spacing w:line="360" w:lineRule="auto"/>
        <w:jc w:val="both"/>
        <w:rPr>
          <w:rFonts w:hint="eastAsia" w:asciiTheme="minorEastAsia" w:hAnsiTheme="minorEastAsia" w:cstheme="minorEastAsia"/>
          <w:b w:val="0"/>
          <w:bCs w:val="0"/>
          <w:color w:val="000000"/>
          <w:sz w:val="21"/>
          <w:szCs w:val="21"/>
        </w:rPr>
      </w:pPr>
      <w:r>
        <w:rPr>
          <w:rFonts w:hint="eastAsia" w:asciiTheme="minorEastAsia" w:hAnsiTheme="minorEastAsia" w:cstheme="minorEastAsia"/>
          <w:b w:val="0"/>
          <w:bCs w:val="0"/>
          <w:color w:val="000000"/>
          <w:sz w:val="21"/>
          <w:szCs w:val="21"/>
        </w:rPr>
        <w:t>（4）《财政部、民政部、中国残疾人联合会关于促进残疾人就业政府采购政策的通知》（财库〔2017〕141号）；</w:t>
      </w:r>
    </w:p>
    <w:p w14:paraId="49DD44CC">
      <w:pPr>
        <w:pStyle w:val="8"/>
        <w:spacing w:line="360" w:lineRule="auto"/>
        <w:jc w:val="both"/>
        <w:rPr>
          <w:rFonts w:hint="eastAsia" w:asciiTheme="minorEastAsia" w:hAnsiTheme="minorEastAsia" w:cstheme="minorEastAsia"/>
          <w:b w:val="0"/>
          <w:bCs w:val="0"/>
          <w:color w:val="000000"/>
          <w:sz w:val="21"/>
          <w:szCs w:val="21"/>
        </w:rPr>
      </w:pPr>
      <w:r>
        <w:rPr>
          <w:rFonts w:hint="eastAsia" w:asciiTheme="minorEastAsia" w:hAnsiTheme="minorEastAsia" w:cstheme="minorEastAsia"/>
          <w:b w:val="0"/>
          <w:bCs w:val="0"/>
          <w:color w:val="000000"/>
          <w:sz w:val="21"/>
          <w:szCs w:val="21"/>
        </w:rPr>
        <w:t>（5）《关于运用政府采购政策支持乡村产业振兴的通知》（财库〔2021〕19 号）</w:t>
      </w:r>
    </w:p>
    <w:p w14:paraId="11C47309">
      <w:pPr>
        <w:pStyle w:val="8"/>
        <w:spacing w:line="360" w:lineRule="auto"/>
        <w:jc w:val="both"/>
        <w:rPr>
          <w:rFonts w:hint="eastAsia" w:asciiTheme="minorEastAsia" w:hAnsiTheme="minorEastAsia" w:cstheme="minorEastAsia"/>
          <w:b w:val="0"/>
          <w:bCs w:val="0"/>
          <w:color w:val="000000"/>
          <w:sz w:val="21"/>
          <w:szCs w:val="21"/>
        </w:rPr>
      </w:pPr>
      <w:r>
        <w:rPr>
          <w:rFonts w:hint="eastAsia" w:asciiTheme="minorEastAsia" w:hAnsiTheme="minorEastAsia" w:cstheme="minorEastAsia"/>
          <w:b w:val="0"/>
          <w:bCs w:val="0"/>
          <w:color w:val="000000"/>
          <w:sz w:val="21"/>
          <w:szCs w:val="21"/>
        </w:rPr>
        <w:t>（6）陕西省财政厅关于印发《陕西省中小企业政府采购信用融资办法》（陕财办采〔2018〕23号）；</w:t>
      </w:r>
    </w:p>
    <w:p w14:paraId="212AC894">
      <w:pPr>
        <w:pStyle w:val="8"/>
        <w:spacing w:line="360" w:lineRule="auto"/>
        <w:jc w:val="both"/>
        <w:rPr>
          <w:rFonts w:hint="eastAsia" w:asciiTheme="minorEastAsia" w:hAnsiTheme="minorEastAsia" w:cstheme="minorEastAsia"/>
          <w:b w:val="0"/>
          <w:bCs w:val="0"/>
          <w:color w:val="000000"/>
          <w:sz w:val="21"/>
          <w:szCs w:val="21"/>
        </w:rPr>
      </w:pPr>
      <w:r>
        <w:rPr>
          <w:rFonts w:hint="eastAsia" w:asciiTheme="minorEastAsia" w:hAnsiTheme="minorEastAsia" w:cstheme="minorEastAsia"/>
          <w:b w:val="0"/>
          <w:bCs w:val="0"/>
          <w:color w:val="000000"/>
          <w:sz w:val="21"/>
          <w:szCs w:val="21"/>
        </w:rPr>
        <w:t>（7）陕西省财政厅《关于进一步加强政府绿色采购有关问题的通知》（陕财办采〔2021〕29号）；</w:t>
      </w:r>
    </w:p>
    <w:p w14:paraId="0EE9999E">
      <w:pPr>
        <w:pStyle w:val="8"/>
        <w:spacing w:line="360" w:lineRule="auto"/>
        <w:jc w:val="both"/>
        <w:rPr>
          <w:rFonts w:hint="eastAsia" w:asciiTheme="minorEastAsia" w:hAnsiTheme="minorEastAsia" w:cstheme="minorEastAsia"/>
          <w:b w:val="0"/>
          <w:bCs w:val="0"/>
          <w:color w:val="000000"/>
          <w:sz w:val="21"/>
          <w:szCs w:val="21"/>
        </w:rPr>
      </w:pPr>
      <w:r>
        <w:rPr>
          <w:rFonts w:hint="eastAsia" w:asciiTheme="minorEastAsia" w:hAnsiTheme="minorEastAsia" w:cstheme="minorEastAsia"/>
          <w:b w:val="0"/>
          <w:bCs w:val="0"/>
          <w:color w:val="000000"/>
          <w:sz w:val="21"/>
          <w:szCs w:val="21"/>
        </w:rPr>
        <w:t>（8）《财政部 国家发展改革委关于印发&lt;节能产品政府采购实施意见&gt;的通知》(财库〔2004〕185号) ；</w:t>
      </w:r>
    </w:p>
    <w:p w14:paraId="397FF24A">
      <w:pPr>
        <w:pStyle w:val="8"/>
        <w:spacing w:line="360" w:lineRule="auto"/>
        <w:jc w:val="both"/>
        <w:rPr>
          <w:rFonts w:hint="eastAsia" w:asciiTheme="minorEastAsia" w:hAnsiTheme="minorEastAsia" w:cstheme="minorEastAsia"/>
          <w:b w:val="0"/>
          <w:bCs w:val="0"/>
          <w:color w:val="000000"/>
          <w:sz w:val="21"/>
          <w:szCs w:val="21"/>
        </w:rPr>
      </w:pPr>
      <w:r>
        <w:rPr>
          <w:rFonts w:hint="eastAsia" w:asciiTheme="minorEastAsia" w:hAnsiTheme="minorEastAsia" w:cstheme="minorEastAsia"/>
          <w:b w:val="0"/>
          <w:bCs w:val="0"/>
          <w:color w:val="000000"/>
          <w:sz w:val="21"/>
          <w:szCs w:val="21"/>
        </w:rPr>
        <w:t>（9）《国务院办公厅关于建立政府强制采购节能产品制度的通知》(国办发〔2007〕51号) ；</w:t>
      </w:r>
    </w:p>
    <w:p w14:paraId="01A05FC3">
      <w:pPr>
        <w:pStyle w:val="8"/>
        <w:spacing w:line="360" w:lineRule="auto"/>
        <w:jc w:val="both"/>
        <w:rPr>
          <w:rFonts w:hint="eastAsia" w:asciiTheme="minorEastAsia" w:hAnsiTheme="minorEastAsia" w:cstheme="minorEastAsia"/>
          <w:b w:val="0"/>
          <w:bCs w:val="0"/>
          <w:color w:val="000000"/>
          <w:sz w:val="21"/>
          <w:szCs w:val="21"/>
        </w:rPr>
      </w:pPr>
      <w:r>
        <w:rPr>
          <w:rFonts w:hint="eastAsia" w:asciiTheme="minorEastAsia" w:hAnsiTheme="minorEastAsia" w:cstheme="minorEastAsia"/>
          <w:b w:val="0"/>
          <w:bCs w:val="0"/>
          <w:color w:val="000000"/>
          <w:sz w:val="21"/>
          <w:szCs w:val="21"/>
        </w:rPr>
        <w:t>（10）《财政部环保总局关于环境标志产品政府采购实施的章见》(财库〔2006〕90号) ；</w:t>
      </w:r>
    </w:p>
    <w:p w14:paraId="0D86DF07">
      <w:pPr>
        <w:pStyle w:val="8"/>
        <w:spacing w:line="360" w:lineRule="auto"/>
        <w:jc w:val="both"/>
        <w:rPr>
          <w:rFonts w:hint="eastAsia" w:asciiTheme="minorEastAsia" w:hAnsiTheme="minorEastAsia" w:cstheme="minorEastAsia"/>
          <w:b w:val="0"/>
          <w:bCs w:val="0"/>
          <w:color w:val="000000"/>
          <w:sz w:val="21"/>
          <w:szCs w:val="21"/>
        </w:rPr>
      </w:pPr>
      <w:r>
        <w:rPr>
          <w:rFonts w:hint="eastAsia" w:asciiTheme="minorEastAsia" w:hAnsiTheme="minorEastAsia" w:cstheme="minorEastAsia"/>
          <w:b w:val="0"/>
          <w:bCs w:val="0"/>
          <w:color w:val="000000"/>
          <w:sz w:val="21"/>
          <w:szCs w:val="21"/>
        </w:rPr>
        <w:t>（11）《关于进一步加大政府采购支持中小企业力度的通知》（财库〔2022〕19号）；</w:t>
      </w:r>
    </w:p>
    <w:p w14:paraId="2E2A3868">
      <w:pPr>
        <w:pStyle w:val="8"/>
        <w:spacing w:line="360" w:lineRule="auto"/>
        <w:jc w:val="both"/>
        <w:rPr>
          <w:rFonts w:hint="eastAsia" w:asciiTheme="minorEastAsia" w:hAnsiTheme="minorEastAsia" w:cstheme="minorEastAsia"/>
          <w:b w:val="0"/>
          <w:bCs w:val="0"/>
          <w:color w:val="000000"/>
          <w:sz w:val="21"/>
          <w:szCs w:val="21"/>
        </w:rPr>
      </w:pPr>
      <w:r>
        <w:rPr>
          <w:rFonts w:hint="eastAsia" w:asciiTheme="minorEastAsia" w:hAnsiTheme="minorEastAsia" w:cstheme="minorEastAsia"/>
          <w:b w:val="0"/>
          <w:bCs w:val="0"/>
          <w:color w:val="000000"/>
          <w:sz w:val="21"/>
          <w:szCs w:val="21"/>
        </w:rPr>
        <w:t>（12）《陕西省财政厅关于加快推进我省中小企业政府采购信用融资工作的通知》（陕财办采〔2020〕15号）</w:t>
      </w:r>
    </w:p>
    <w:p w14:paraId="36EC9F8D">
      <w:pPr>
        <w:pStyle w:val="8"/>
        <w:spacing w:line="360" w:lineRule="auto"/>
        <w:jc w:val="both"/>
        <w:rPr>
          <w:rFonts w:hint="eastAsia" w:asciiTheme="minorEastAsia" w:hAnsiTheme="minorEastAsia" w:cstheme="minorEastAsia"/>
          <w:b w:val="0"/>
          <w:bCs w:val="0"/>
          <w:color w:val="000000"/>
          <w:sz w:val="21"/>
          <w:szCs w:val="21"/>
        </w:rPr>
      </w:pPr>
      <w:r>
        <w:rPr>
          <w:rFonts w:hint="eastAsia" w:asciiTheme="minorEastAsia" w:hAnsiTheme="minorEastAsia" w:cstheme="minorEastAsia"/>
          <w:b w:val="0"/>
          <w:bCs w:val="0"/>
          <w:color w:val="000000"/>
          <w:sz w:val="21"/>
          <w:szCs w:val="21"/>
        </w:rPr>
        <w:t>（13） 《财政部关于在政府采购活动中查询及使用信用记录有关问题的通知》（财库〔2016〕125号）</w:t>
      </w:r>
    </w:p>
    <w:p w14:paraId="5C9DDB36">
      <w:pPr>
        <w:pStyle w:val="8"/>
        <w:spacing w:line="360" w:lineRule="auto"/>
        <w:jc w:val="both"/>
        <w:rPr>
          <w:rFonts w:hint="eastAsia" w:asciiTheme="minorEastAsia" w:hAnsiTheme="minorEastAsia" w:cstheme="minorEastAsia"/>
          <w:b w:val="0"/>
          <w:bCs w:val="0"/>
          <w:color w:val="000000"/>
          <w:sz w:val="21"/>
          <w:szCs w:val="21"/>
        </w:rPr>
      </w:pPr>
      <w:r>
        <w:rPr>
          <w:rFonts w:hint="eastAsia" w:asciiTheme="minorEastAsia" w:hAnsiTheme="minorEastAsia" w:cstheme="minorEastAsia"/>
          <w:b w:val="0"/>
          <w:bCs w:val="0"/>
          <w:color w:val="000000"/>
          <w:sz w:val="21"/>
          <w:szCs w:val="21"/>
        </w:rPr>
        <w:t>（14）其他落实的政府采购政策。若享受以上政策优惠的企业，需提供相应声明函或品目清单范围内产品的有效认证证书。</w:t>
      </w:r>
    </w:p>
    <w:p w14:paraId="68F568A2">
      <w:pPr>
        <w:pStyle w:val="8"/>
        <w:spacing w:line="360" w:lineRule="auto"/>
        <w:jc w:val="both"/>
        <w:rPr>
          <w:rFonts w:asciiTheme="minorEastAsia" w:hAnsiTheme="minorEastAsia" w:cstheme="minorEastAsia"/>
          <w:b/>
          <w:bCs/>
          <w:color w:val="000000"/>
          <w:sz w:val="21"/>
          <w:szCs w:val="21"/>
        </w:rPr>
      </w:pPr>
    </w:p>
    <w:p w14:paraId="44388829">
      <w:pPr>
        <w:pStyle w:val="8"/>
        <w:spacing w:line="360" w:lineRule="auto"/>
        <w:jc w:val="right"/>
        <w:rPr>
          <w:rFonts w:asciiTheme="minorEastAsia" w:hAnsiTheme="minorEastAsia" w:cstheme="minorEastAsia"/>
          <w:color w:val="000000"/>
          <w:sz w:val="21"/>
          <w:szCs w:val="21"/>
        </w:rPr>
      </w:pPr>
      <w:r>
        <w:rPr>
          <w:rFonts w:hint="eastAsia" w:asciiTheme="minorEastAsia" w:hAnsiTheme="minorEastAsia" w:cstheme="minorEastAsia"/>
          <w:color w:val="000000"/>
          <w:sz w:val="21"/>
          <w:szCs w:val="21"/>
        </w:rPr>
        <w:t>西安市碑林区铁五第二小学</w:t>
      </w:r>
    </w:p>
    <w:p w14:paraId="0025A1B1">
      <w:pPr>
        <w:spacing w:line="360" w:lineRule="auto"/>
        <w:ind w:firstLine="420" w:firstLineChars="200"/>
        <w:jc w:val="right"/>
        <w:rPr>
          <w:rFonts w:asciiTheme="minorEastAsia" w:hAnsiTheme="minorEastAsia" w:cstheme="minorEastAsia"/>
          <w:szCs w:val="21"/>
        </w:rPr>
      </w:pPr>
      <w:r>
        <w:rPr>
          <w:rFonts w:hint="eastAsia" w:asciiTheme="minorEastAsia" w:hAnsiTheme="minorEastAsia" w:cstheme="minorEastAsia"/>
          <w:szCs w:val="21"/>
        </w:rPr>
        <w:t>2024年0</w:t>
      </w:r>
      <w:r>
        <w:rPr>
          <w:rFonts w:asciiTheme="minorEastAsia" w:hAnsiTheme="minorEastAsia" w:cstheme="minorEastAsia"/>
          <w:szCs w:val="21"/>
        </w:rPr>
        <w:t>7</w:t>
      </w:r>
      <w:r>
        <w:rPr>
          <w:rFonts w:hint="eastAsia" w:asciiTheme="minorEastAsia" w:hAnsiTheme="minorEastAsia" w:cstheme="minorEastAsia"/>
          <w:szCs w:val="21"/>
        </w:rPr>
        <w:t>月</w:t>
      </w:r>
      <w:r>
        <w:rPr>
          <w:rFonts w:hint="eastAsia" w:asciiTheme="minorEastAsia" w:hAnsiTheme="minorEastAsia" w:cstheme="minorEastAsia"/>
          <w:szCs w:val="21"/>
          <w:lang w:val="en-US" w:eastAsia="zh-CN"/>
        </w:rPr>
        <w:t>15</w:t>
      </w:r>
      <w:r>
        <w:rPr>
          <w:rFonts w:hint="eastAsia" w:asciiTheme="minorEastAsia" w:hAnsiTheme="minorEastAsia" w:cstheme="minorEastAsia"/>
          <w:szCs w:val="21"/>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D0923">
    <w:pPr>
      <w:pStyle w:val="8"/>
      <w:jc w:val="center"/>
    </w:pPr>
    <w:r>
      <w:rPr>
        <w:b/>
        <w:bCs/>
      </w:rPr>
      <w:fldChar w:fldCharType="begin"/>
    </w:r>
    <w:r>
      <w:rPr>
        <w:b/>
        <w:bCs/>
      </w:rPr>
      <w:instrText xml:space="preserve">PAGE  \* Arabic  \* MERGEFORMAT</w:instrText>
    </w:r>
    <w:r>
      <w:rPr>
        <w:b/>
        <w:bCs/>
      </w:rPr>
      <w:fldChar w:fldCharType="separate"/>
    </w:r>
    <w:r>
      <w:rPr>
        <w:b/>
        <w:bCs/>
        <w:lang w:val="zh-CN"/>
      </w:rPr>
      <w:t>18</w:t>
    </w:r>
    <w:r>
      <w:rPr>
        <w:b/>
        <w:bCs/>
      </w:rPr>
      <w:fldChar w:fldCharType="end"/>
    </w:r>
    <w:r>
      <w:rPr>
        <w:lang w:val="zh-CN"/>
      </w:rPr>
      <w:t xml:space="preserve"> / </w:t>
    </w:r>
    <w:r>
      <w:rPr>
        <w:b/>
        <w:bCs/>
      </w:rPr>
      <w:fldChar w:fldCharType="begin"/>
    </w:r>
    <w:r>
      <w:rPr>
        <w:b/>
        <w:bCs/>
      </w:rPr>
      <w:instrText xml:space="preserve">NUMPAGES  \* Arabic  \* MERGEFORMAT</w:instrText>
    </w:r>
    <w:r>
      <w:rPr>
        <w:b/>
        <w:bCs/>
      </w:rPr>
      <w:fldChar w:fldCharType="separate"/>
    </w:r>
    <w:r>
      <w:rPr>
        <w:b/>
        <w:bCs/>
        <w:lang w:val="zh-CN"/>
      </w:rPr>
      <w:t>38</w:t>
    </w:r>
    <w:r>
      <w:rPr>
        <w:b/>
        <w:bCs/>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566FF5"/>
    <w:multiLevelType w:val="singleLevel"/>
    <w:tmpl w:val="CA566FF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JiZWNiMmE2ZThlNzQxZWQ4MWY5Yzg4NzMyN2IwZTkifQ=="/>
  </w:docVars>
  <w:rsids>
    <w:rsidRoot w:val="003A79C2"/>
    <w:rsid w:val="00035E6A"/>
    <w:rsid w:val="0005185D"/>
    <w:rsid w:val="00314691"/>
    <w:rsid w:val="003A79C2"/>
    <w:rsid w:val="00402F1E"/>
    <w:rsid w:val="004B4876"/>
    <w:rsid w:val="005907AC"/>
    <w:rsid w:val="007C2F5F"/>
    <w:rsid w:val="0080312A"/>
    <w:rsid w:val="008924E8"/>
    <w:rsid w:val="00955318"/>
    <w:rsid w:val="00A413CD"/>
    <w:rsid w:val="00A93C9D"/>
    <w:rsid w:val="00B83E84"/>
    <w:rsid w:val="00B87B35"/>
    <w:rsid w:val="00B94065"/>
    <w:rsid w:val="00CD442C"/>
    <w:rsid w:val="00CF1C6F"/>
    <w:rsid w:val="00E20B9D"/>
    <w:rsid w:val="0949606C"/>
    <w:rsid w:val="11BA3663"/>
    <w:rsid w:val="134C29E0"/>
    <w:rsid w:val="1D9E6BB3"/>
    <w:rsid w:val="30A86696"/>
    <w:rsid w:val="36EC01C4"/>
    <w:rsid w:val="3EE83323"/>
    <w:rsid w:val="41BE244C"/>
    <w:rsid w:val="42F621A2"/>
    <w:rsid w:val="47287878"/>
    <w:rsid w:val="56334D5F"/>
    <w:rsid w:val="5B525C87"/>
    <w:rsid w:val="61263D9E"/>
    <w:rsid w:val="671464E6"/>
    <w:rsid w:val="74A0760B"/>
    <w:rsid w:val="74DF0134"/>
    <w:rsid w:val="7B5741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hint="eastAsia" w:ascii="宋体" w:hAnsi="Courier New"/>
      <w:sz w:val="24"/>
    </w:rPr>
  </w:style>
  <w:style w:type="paragraph" w:styleId="4">
    <w:name w:val="Normal Indent"/>
    <w:basedOn w:val="1"/>
    <w:qFormat/>
    <w:uiPriority w:val="0"/>
    <w:pPr>
      <w:ind w:firstLine="420"/>
    </w:pPr>
    <w:rPr>
      <w:szCs w:val="20"/>
    </w:rPr>
  </w:style>
  <w:style w:type="paragraph" w:styleId="5">
    <w:name w:val="annotation text"/>
    <w:basedOn w:val="1"/>
    <w:link w:val="31"/>
    <w:qFormat/>
    <w:uiPriority w:val="0"/>
    <w:pPr>
      <w:jc w:val="left"/>
    </w:pPr>
  </w:style>
  <w:style w:type="paragraph" w:styleId="6">
    <w:name w:val="Body Text"/>
    <w:basedOn w:val="1"/>
    <w:next w:val="1"/>
    <w:link w:val="35"/>
    <w:unhideWhenUsed/>
    <w:qFormat/>
    <w:uiPriority w:val="99"/>
    <w:rPr>
      <w:b/>
      <w:sz w:val="28"/>
    </w:rPr>
  </w:style>
  <w:style w:type="paragraph" w:styleId="7">
    <w:name w:val="Balloon Text"/>
    <w:basedOn w:val="1"/>
    <w:link w:val="33"/>
    <w:qFormat/>
    <w:uiPriority w:val="0"/>
    <w:rPr>
      <w:sz w:val="18"/>
      <w:szCs w:val="18"/>
    </w:rPr>
  </w:style>
  <w:style w:type="paragraph" w:styleId="8">
    <w:name w:val="footer"/>
    <w:basedOn w:val="1"/>
    <w:unhideWhenUsed/>
    <w:qFormat/>
    <w:uiPriority w:val="99"/>
    <w:pPr>
      <w:snapToGrid w:val="0"/>
      <w:jc w:val="left"/>
    </w:pPr>
    <w:rPr>
      <w:sz w:val="18"/>
      <w:szCs w:val="18"/>
    </w:rPr>
  </w:style>
  <w:style w:type="paragraph" w:styleId="9">
    <w:name w:val="header"/>
    <w:basedOn w:val="1"/>
    <w:link w:val="34"/>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Autospacing="1" w:after="100" w:afterAutospacing="1"/>
      <w:jc w:val="left"/>
    </w:pPr>
    <w:rPr>
      <w:rFonts w:ascii="宋体" w:hAnsi="宋体"/>
      <w:kern w:val="0"/>
      <w:sz w:val="24"/>
    </w:rPr>
  </w:style>
  <w:style w:type="paragraph" w:styleId="11">
    <w:name w:val="annotation subject"/>
    <w:basedOn w:val="5"/>
    <w:next w:val="5"/>
    <w:link w:val="32"/>
    <w:qFormat/>
    <w:uiPriority w:val="0"/>
    <w:rPr>
      <w:b/>
      <w:bCs/>
    </w:rPr>
  </w:style>
  <w:style w:type="paragraph" w:styleId="12">
    <w:name w:val="Body Text First Indent"/>
    <w:basedOn w:val="6"/>
    <w:qFormat/>
    <w:uiPriority w:val="0"/>
    <w:rPr>
      <w:rFonts w:hAnsi="宋体"/>
      <w:sz w:val="18"/>
      <w:szCs w:val="18"/>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annotation reference"/>
    <w:basedOn w:val="15"/>
    <w:qFormat/>
    <w:uiPriority w:val="0"/>
    <w:rPr>
      <w:sz w:val="21"/>
      <w:szCs w:val="21"/>
    </w:rPr>
  </w:style>
  <w:style w:type="paragraph" w:customStyle="1" w:styleId="17">
    <w:name w:val="Other|1"/>
    <w:basedOn w:val="1"/>
    <w:qFormat/>
    <w:uiPriority w:val="0"/>
    <w:pPr>
      <w:spacing w:line="396" w:lineRule="auto"/>
      <w:ind w:firstLine="400"/>
    </w:pPr>
    <w:rPr>
      <w:rFonts w:ascii="宋体" w:hAnsi="宋体" w:eastAsia="宋体" w:cs="宋体"/>
      <w:sz w:val="30"/>
      <w:szCs w:val="30"/>
      <w:lang w:val="zh-TW" w:eastAsia="zh-TW" w:bidi="zh-TW"/>
    </w:rPr>
  </w:style>
  <w:style w:type="paragraph" w:customStyle="1" w:styleId="18">
    <w:name w:val="Body text|1"/>
    <w:basedOn w:val="1"/>
    <w:qFormat/>
    <w:uiPriority w:val="0"/>
    <w:pPr>
      <w:spacing w:line="396" w:lineRule="auto"/>
      <w:ind w:firstLine="400"/>
    </w:pPr>
    <w:rPr>
      <w:rFonts w:ascii="宋体" w:hAnsi="宋体" w:eastAsia="宋体" w:cs="宋体"/>
      <w:sz w:val="30"/>
      <w:szCs w:val="30"/>
      <w:lang w:val="zh-TW" w:eastAsia="zh-TW" w:bidi="zh-TW"/>
    </w:rPr>
  </w:style>
  <w:style w:type="paragraph" w:customStyle="1" w:styleId="19">
    <w:name w:val="样式 首行缩进:  2 字符"/>
    <w:basedOn w:val="1"/>
    <w:qFormat/>
    <w:uiPriority w:val="0"/>
    <w:pPr>
      <w:spacing w:line="400" w:lineRule="exact"/>
      <w:ind w:firstLine="200" w:firstLineChars="200"/>
    </w:pPr>
    <w:rPr>
      <w:rFonts w:cs="宋体"/>
      <w:sz w:val="24"/>
    </w:rPr>
  </w:style>
  <w:style w:type="character" w:customStyle="1" w:styleId="20">
    <w:name w:val="font41"/>
    <w:basedOn w:val="15"/>
    <w:qFormat/>
    <w:uiPriority w:val="0"/>
    <w:rPr>
      <w:rFonts w:hint="eastAsia" w:ascii="宋体" w:hAnsi="宋体" w:eastAsia="宋体" w:cs="宋体"/>
      <w:color w:val="000000"/>
      <w:sz w:val="16"/>
      <w:szCs w:val="16"/>
      <w:u w:val="none"/>
    </w:rPr>
  </w:style>
  <w:style w:type="character" w:customStyle="1" w:styleId="21">
    <w:name w:val="font31"/>
    <w:basedOn w:val="15"/>
    <w:qFormat/>
    <w:uiPriority w:val="0"/>
    <w:rPr>
      <w:rFonts w:hint="eastAsia" w:ascii="宋体" w:hAnsi="宋体" w:eastAsia="宋体" w:cs="宋体"/>
      <w:color w:val="000000"/>
      <w:sz w:val="16"/>
      <w:szCs w:val="16"/>
      <w:u w:val="none"/>
    </w:rPr>
  </w:style>
  <w:style w:type="character" w:customStyle="1" w:styleId="22">
    <w:name w:val="font112"/>
    <w:basedOn w:val="15"/>
    <w:qFormat/>
    <w:uiPriority w:val="0"/>
    <w:rPr>
      <w:rFonts w:hint="eastAsia" w:ascii="宋体" w:hAnsi="宋体" w:eastAsia="宋体" w:cs="宋体"/>
      <w:color w:val="000000"/>
      <w:sz w:val="16"/>
      <w:szCs w:val="16"/>
      <w:u w:val="none"/>
    </w:rPr>
  </w:style>
  <w:style w:type="character" w:customStyle="1" w:styleId="23">
    <w:name w:val="font81"/>
    <w:basedOn w:val="15"/>
    <w:qFormat/>
    <w:uiPriority w:val="0"/>
    <w:rPr>
      <w:rFonts w:hint="eastAsia" w:ascii="宋体" w:hAnsi="宋体" w:eastAsia="宋体" w:cs="宋体"/>
      <w:b/>
      <w:bCs/>
      <w:color w:val="000000"/>
      <w:sz w:val="16"/>
      <w:szCs w:val="16"/>
      <w:u w:val="none"/>
    </w:rPr>
  </w:style>
  <w:style w:type="character" w:customStyle="1" w:styleId="24">
    <w:name w:val="font61"/>
    <w:basedOn w:val="15"/>
    <w:qFormat/>
    <w:uiPriority w:val="0"/>
    <w:rPr>
      <w:rFonts w:hint="eastAsia" w:ascii="宋体" w:hAnsi="宋体" w:eastAsia="宋体" w:cs="宋体"/>
      <w:color w:val="000000"/>
      <w:sz w:val="16"/>
      <w:szCs w:val="16"/>
      <w:u w:val="none"/>
    </w:rPr>
  </w:style>
  <w:style w:type="character" w:customStyle="1" w:styleId="25">
    <w:name w:val="font121"/>
    <w:basedOn w:val="15"/>
    <w:qFormat/>
    <w:uiPriority w:val="0"/>
    <w:rPr>
      <w:rFonts w:hint="eastAsia" w:ascii="宋体" w:hAnsi="宋体" w:eastAsia="宋体" w:cs="宋体"/>
      <w:b/>
      <w:bCs/>
      <w:color w:val="000000"/>
      <w:sz w:val="16"/>
      <w:szCs w:val="16"/>
      <w:u w:val="none"/>
    </w:rPr>
  </w:style>
  <w:style w:type="character" w:customStyle="1" w:styleId="26">
    <w:name w:val="font131"/>
    <w:basedOn w:val="15"/>
    <w:qFormat/>
    <w:uiPriority w:val="0"/>
    <w:rPr>
      <w:rFonts w:hint="eastAsia" w:ascii="宋体" w:hAnsi="宋体" w:eastAsia="宋体" w:cs="宋体"/>
      <w:b/>
      <w:bCs/>
      <w:color w:val="000000"/>
      <w:sz w:val="16"/>
      <w:szCs w:val="16"/>
      <w:u w:val="none"/>
    </w:rPr>
  </w:style>
  <w:style w:type="character" w:customStyle="1" w:styleId="27">
    <w:name w:val="font91"/>
    <w:basedOn w:val="15"/>
    <w:qFormat/>
    <w:uiPriority w:val="0"/>
    <w:rPr>
      <w:rFonts w:hint="eastAsia" w:ascii="宋体" w:hAnsi="宋体" w:eastAsia="宋体" w:cs="宋体"/>
      <w:color w:val="000000"/>
      <w:sz w:val="16"/>
      <w:szCs w:val="16"/>
      <w:u w:val="none"/>
    </w:rPr>
  </w:style>
  <w:style w:type="character" w:customStyle="1" w:styleId="28">
    <w:name w:val="font141"/>
    <w:basedOn w:val="15"/>
    <w:qFormat/>
    <w:uiPriority w:val="0"/>
    <w:rPr>
      <w:rFonts w:hint="eastAsia" w:ascii="宋体" w:hAnsi="宋体" w:eastAsia="宋体" w:cs="宋体"/>
      <w:color w:val="000000"/>
      <w:sz w:val="16"/>
      <w:szCs w:val="16"/>
      <w:u w:val="none"/>
    </w:rPr>
  </w:style>
  <w:style w:type="paragraph" w:customStyle="1" w:styleId="29">
    <w:name w:val="Table Text"/>
    <w:basedOn w:val="1"/>
    <w:semiHidden/>
    <w:qFormat/>
    <w:uiPriority w:val="0"/>
    <w:rPr>
      <w:rFonts w:ascii="宋体" w:hAnsi="宋体" w:eastAsia="宋体" w:cs="宋体"/>
      <w:sz w:val="20"/>
      <w:szCs w:val="20"/>
      <w:lang w:eastAsia="en-US"/>
    </w:rPr>
  </w:style>
  <w:style w:type="table" w:customStyle="1" w:styleId="30">
    <w:name w:val="Table Normal"/>
    <w:semiHidden/>
    <w:unhideWhenUsed/>
    <w:qFormat/>
    <w:uiPriority w:val="0"/>
    <w:tblPr>
      <w:tblCellMar>
        <w:top w:w="0" w:type="dxa"/>
        <w:left w:w="0" w:type="dxa"/>
        <w:bottom w:w="0" w:type="dxa"/>
        <w:right w:w="0" w:type="dxa"/>
      </w:tblCellMar>
    </w:tblPr>
  </w:style>
  <w:style w:type="character" w:customStyle="1" w:styleId="31">
    <w:name w:val="批注文字 字符"/>
    <w:basedOn w:val="15"/>
    <w:link w:val="5"/>
    <w:qFormat/>
    <w:uiPriority w:val="0"/>
    <w:rPr>
      <w:rFonts w:asciiTheme="minorHAnsi" w:hAnsiTheme="minorHAnsi" w:eastAsiaTheme="minorEastAsia" w:cstheme="minorBidi"/>
      <w:kern w:val="2"/>
      <w:sz w:val="21"/>
      <w:szCs w:val="24"/>
    </w:rPr>
  </w:style>
  <w:style w:type="character" w:customStyle="1" w:styleId="32">
    <w:name w:val="批注主题 字符"/>
    <w:basedOn w:val="31"/>
    <w:link w:val="11"/>
    <w:qFormat/>
    <w:uiPriority w:val="0"/>
    <w:rPr>
      <w:rFonts w:asciiTheme="minorHAnsi" w:hAnsiTheme="minorHAnsi" w:eastAsiaTheme="minorEastAsia" w:cstheme="minorBidi"/>
      <w:b/>
      <w:bCs/>
      <w:kern w:val="2"/>
      <w:sz w:val="21"/>
      <w:szCs w:val="24"/>
    </w:rPr>
  </w:style>
  <w:style w:type="character" w:customStyle="1" w:styleId="33">
    <w:name w:val="批注框文本 字符"/>
    <w:basedOn w:val="15"/>
    <w:link w:val="7"/>
    <w:qFormat/>
    <w:uiPriority w:val="0"/>
    <w:rPr>
      <w:rFonts w:asciiTheme="minorHAnsi" w:hAnsiTheme="minorHAnsi" w:eastAsiaTheme="minorEastAsia" w:cstheme="minorBidi"/>
      <w:kern w:val="2"/>
      <w:sz w:val="18"/>
      <w:szCs w:val="18"/>
    </w:rPr>
  </w:style>
  <w:style w:type="character" w:customStyle="1" w:styleId="34">
    <w:name w:val="页眉 字符"/>
    <w:basedOn w:val="15"/>
    <w:link w:val="9"/>
    <w:qFormat/>
    <w:uiPriority w:val="0"/>
    <w:rPr>
      <w:rFonts w:asciiTheme="minorHAnsi" w:hAnsiTheme="minorHAnsi" w:eastAsiaTheme="minorEastAsia" w:cstheme="minorBidi"/>
      <w:kern w:val="2"/>
      <w:sz w:val="18"/>
      <w:szCs w:val="18"/>
    </w:rPr>
  </w:style>
  <w:style w:type="character" w:customStyle="1" w:styleId="35">
    <w:name w:val="正文文本 字符"/>
    <w:basedOn w:val="15"/>
    <w:link w:val="6"/>
    <w:qFormat/>
    <w:uiPriority w:val="99"/>
    <w:rPr>
      <w:rFonts w:asciiTheme="minorHAnsi" w:hAnsiTheme="minorHAnsi" w:eastAsiaTheme="minorEastAsia" w:cstheme="minorBidi"/>
      <w:b/>
      <w:kern w:val="2"/>
      <w:sz w:val="2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3474</Words>
  <Characters>3701</Characters>
  <Lines>251</Lines>
  <Paragraphs>70</Paragraphs>
  <TotalTime>2</TotalTime>
  <ScaleCrop>false</ScaleCrop>
  <LinksUpToDate>false</LinksUpToDate>
  <CharactersWithSpaces>3762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2024-07-10T07:06:00Z</dcterms:created>
  <dc:creator>Administrator</dc:creator>
  <cp:lastModifiedBy>周周呀</cp:lastModifiedBy>
  <dcterms:modified xsi:type="dcterms:W3CDTF">2024-07-15T09:56:30Z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9FE9FE920CEB4A4F80124E38750F3EE4_13</vt:lpwstr>
  </property>
</Properties>
</file>