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62846">
      <w:pPr>
        <w:jc w:val="center"/>
        <w:rPr>
          <w:b/>
          <w:bCs/>
          <w:sz w:val="32"/>
          <w:szCs w:val="40"/>
        </w:rPr>
      </w:pPr>
      <w:r>
        <w:rPr>
          <w:rFonts w:hint="eastAsia"/>
          <w:b/>
          <w:bCs/>
          <w:sz w:val="32"/>
          <w:szCs w:val="40"/>
        </w:rPr>
        <w:t>政府采购需求书（货物类）</w:t>
      </w:r>
      <w:bookmarkStart w:id="0" w:name="_GoBack"/>
      <w:bookmarkEnd w:id="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10"/>
        <w:gridCol w:w="6565"/>
      </w:tblGrid>
      <w:tr w14:paraId="6710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14:paraId="2856DD11">
            <w:pPr>
              <w:jc w:val="center"/>
              <w:rPr>
                <w:rFonts w:ascii="宋体" w:hAnsi="宋体" w:eastAsia="宋体" w:cs="宋体"/>
                <w:color w:val="auto"/>
                <w:sz w:val="18"/>
                <w:szCs w:val="18"/>
              </w:rPr>
            </w:pPr>
            <w:r>
              <w:rPr>
                <w:rFonts w:hint="eastAsia" w:ascii="宋体" w:hAnsi="宋体" w:eastAsia="宋体" w:cs="宋体"/>
                <w:color w:val="auto"/>
                <w:sz w:val="18"/>
                <w:szCs w:val="18"/>
              </w:rPr>
              <w:t>序号</w:t>
            </w:r>
          </w:p>
        </w:tc>
        <w:tc>
          <w:tcPr>
            <w:tcW w:w="1710" w:type="dxa"/>
            <w:vAlign w:val="center"/>
          </w:tcPr>
          <w:p w14:paraId="0722CAF4">
            <w:pPr>
              <w:jc w:val="center"/>
              <w:rPr>
                <w:rFonts w:ascii="宋体" w:hAnsi="宋体" w:eastAsia="宋体" w:cs="宋体"/>
                <w:color w:val="auto"/>
                <w:sz w:val="18"/>
                <w:szCs w:val="18"/>
              </w:rPr>
            </w:pPr>
            <w:r>
              <w:rPr>
                <w:rFonts w:hint="eastAsia" w:ascii="宋体" w:hAnsi="宋体" w:eastAsia="宋体" w:cs="宋体"/>
                <w:color w:val="auto"/>
                <w:sz w:val="18"/>
                <w:szCs w:val="18"/>
              </w:rPr>
              <w:t>关键事项</w:t>
            </w:r>
          </w:p>
        </w:tc>
        <w:tc>
          <w:tcPr>
            <w:tcW w:w="6565" w:type="dxa"/>
            <w:vAlign w:val="center"/>
          </w:tcPr>
          <w:p w14:paraId="3FA3B7E8">
            <w:pPr>
              <w:jc w:val="center"/>
              <w:rPr>
                <w:rFonts w:ascii="宋体" w:hAnsi="宋体" w:eastAsia="宋体" w:cs="宋体"/>
                <w:color w:val="auto"/>
                <w:sz w:val="18"/>
                <w:szCs w:val="18"/>
              </w:rPr>
            </w:pPr>
            <w:r>
              <w:rPr>
                <w:rFonts w:hint="eastAsia" w:ascii="宋体" w:hAnsi="宋体" w:eastAsia="宋体" w:cs="宋体"/>
                <w:color w:val="auto"/>
                <w:sz w:val="18"/>
                <w:szCs w:val="18"/>
              </w:rPr>
              <w:t>说明和要求</w:t>
            </w:r>
          </w:p>
        </w:tc>
      </w:tr>
      <w:tr w14:paraId="2122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14:paraId="26EFF7F1">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1710" w:type="dxa"/>
            <w:vAlign w:val="center"/>
          </w:tcPr>
          <w:p w14:paraId="5369D089">
            <w:pPr>
              <w:jc w:val="center"/>
              <w:rPr>
                <w:rFonts w:ascii="宋体" w:hAnsi="宋体" w:eastAsia="宋体" w:cs="宋体"/>
                <w:color w:val="auto"/>
                <w:sz w:val="18"/>
                <w:szCs w:val="18"/>
              </w:rPr>
            </w:pPr>
            <w:r>
              <w:rPr>
                <w:rFonts w:hint="eastAsia" w:ascii="宋体" w:hAnsi="宋体" w:eastAsia="宋体" w:cs="宋体"/>
                <w:color w:val="auto"/>
                <w:sz w:val="18"/>
                <w:szCs w:val="18"/>
              </w:rPr>
              <w:t>采购预算</w:t>
            </w:r>
          </w:p>
        </w:tc>
        <w:tc>
          <w:tcPr>
            <w:tcW w:w="6565" w:type="dxa"/>
            <w:vAlign w:val="center"/>
          </w:tcPr>
          <w:p w14:paraId="3D139F7B">
            <w:pPr>
              <w:rPr>
                <w:rFonts w:ascii="宋体" w:hAnsi="宋体" w:eastAsia="宋体" w:cs="宋体"/>
                <w:color w:val="auto"/>
                <w:sz w:val="18"/>
                <w:szCs w:val="18"/>
              </w:rPr>
            </w:pPr>
            <w:r>
              <w:rPr>
                <w:rFonts w:hint="eastAsia" w:ascii="宋体" w:hAnsi="宋体" w:eastAsia="宋体" w:cs="宋体"/>
                <w:color w:val="auto"/>
                <w:sz w:val="18"/>
                <w:szCs w:val="18"/>
              </w:rPr>
              <w:t>人民币</w:t>
            </w:r>
            <w:r>
              <w:rPr>
                <w:rFonts w:hint="eastAsia" w:ascii="宋体" w:hAnsi="宋体" w:eastAsia="宋体" w:cs="宋体"/>
                <w:color w:val="auto"/>
                <w:sz w:val="18"/>
                <w:szCs w:val="18"/>
                <w:u w:val="single"/>
              </w:rPr>
              <w:t xml:space="preserve"> 900000.00 </w:t>
            </w:r>
            <w:r>
              <w:rPr>
                <w:rFonts w:hint="eastAsia" w:ascii="宋体" w:hAnsi="宋体" w:eastAsia="宋体" w:cs="宋体"/>
                <w:color w:val="auto"/>
                <w:sz w:val="18"/>
                <w:szCs w:val="18"/>
              </w:rPr>
              <w:t>元</w:t>
            </w:r>
          </w:p>
          <w:p w14:paraId="634AA652">
            <w:pPr>
              <w:jc w:val="left"/>
              <w:rPr>
                <w:rFonts w:ascii="宋体" w:hAnsi="宋体" w:eastAsia="宋体" w:cs="宋体"/>
                <w:color w:val="auto"/>
                <w:sz w:val="18"/>
                <w:szCs w:val="18"/>
              </w:rPr>
            </w:pPr>
            <w:r>
              <w:rPr>
                <w:rFonts w:hint="eastAsia" w:ascii="宋体" w:hAnsi="宋体" w:eastAsia="宋体" w:cs="宋体"/>
                <w:color w:val="auto"/>
                <w:sz w:val="18"/>
                <w:szCs w:val="18"/>
              </w:rPr>
              <w:t>仅指与本次采购标的直接相关的费用，前期勘察费、设计费等已发生的费用，以及监理费、接口费等为未来预留费用，不应当包含在本项目采购预算内，甲方须向本级财政部门经费业务科室申请办理经费剥离手续。</w:t>
            </w:r>
          </w:p>
        </w:tc>
      </w:tr>
      <w:tr w14:paraId="0DAB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76D6E3B">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1710" w:type="dxa"/>
            <w:vAlign w:val="center"/>
          </w:tcPr>
          <w:p w14:paraId="78ACE1C3">
            <w:pPr>
              <w:jc w:val="center"/>
              <w:rPr>
                <w:rFonts w:ascii="宋体" w:hAnsi="宋体" w:eastAsia="宋体" w:cs="宋体"/>
                <w:color w:val="auto"/>
                <w:sz w:val="18"/>
                <w:szCs w:val="18"/>
              </w:rPr>
            </w:pPr>
            <w:r>
              <w:rPr>
                <w:rFonts w:hint="eastAsia" w:ascii="宋体" w:hAnsi="宋体" w:eastAsia="宋体" w:cs="宋体"/>
                <w:color w:val="auto"/>
                <w:sz w:val="18"/>
                <w:szCs w:val="18"/>
              </w:rPr>
              <w:t>最高限价</w:t>
            </w:r>
          </w:p>
        </w:tc>
        <w:tc>
          <w:tcPr>
            <w:tcW w:w="6565" w:type="dxa"/>
            <w:vAlign w:val="center"/>
          </w:tcPr>
          <w:p w14:paraId="60C13796">
            <w:pPr>
              <w:rPr>
                <w:rFonts w:ascii="宋体" w:hAnsi="宋体" w:eastAsia="宋体" w:cs="宋体"/>
                <w:color w:val="auto"/>
                <w:sz w:val="18"/>
                <w:szCs w:val="18"/>
              </w:rPr>
            </w:pPr>
            <w:r>
              <w:rPr>
                <w:rFonts w:hint="eastAsia" w:ascii="宋体" w:hAnsi="宋体" w:eastAsia="宋体" w:cs="宋体"/>
                <w:color w:val="auto"/>
                <w:sz w:val="18"/>
                <w:szCs w:val="18"/>
              </w:rPr>
              <w:t>人民币</w:t>
            </w:r>
            <w:r>
              <w:rPr>
                <w:rFonts w:hint="eastAsia" w:ascii="宋体" w:hAnsi="宋体" w:eastAsia="宋体" w:cs="宋体"/>
                <w:color w:val="auto"/>
                <w:sz w:val="18"/>
                <w:szCs w:val="18"/>
                <w:u w:val="single"/>
              </w:rPr>
              <w:t xml:space="preserve"> 900000.00 </w:t>
            </w:r>
            <w:r>
              <w:rPr>
                <w:rFonts w:hint="eastAsia" w:ascii="宋体" w:hAnsi="宋体" w:eastAsia="宋体" w:cs="宋体"/>
                <w:color w:val="auto"/>
                <w:sz w:val="18"/>
                <w:szCs w:val="18"/>
              </w:rPr>
              <w:t>元</w:t>
            </w:r>
          </w:p>
          <w:p w14:paraId="66234688">
            <w:pPr>
              <w:jc w:val="left"/>
              <w:rPr>
                <w:rFonts w:ascii="宋体" w:hAnsi="宋体" w:eastAsia="宋体" w:cs="宋体"/>
                <w:color w:val="auto"/>
                <w:sz w:val="18"/>
                <w:szCs w:val="18"/>
              </w:rPr>
            </w:pPr>
            <w:r>
              <w:rPr>
                <w:rFonts w:hint="eastAsia" w:ascii="宋体" w:hAnsi="宋体" w:eastAsia="宋体" w:cs="宋体"/>
                <w:color w:val="auto"/>
                <w:sz w:val="18"/>
                <w:szCs w:val="18"/>
              </w:rPr>
              <w:t>供应商投标报价高于最高限价的则其投标文件将按无效投标文件处理。</w:t>
            </w:r>
          </w:p>
        </w:tc>
      </w:tr>
      <w:tr w14:paraId="1CA7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14BC00E6">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1710" w:type="dxa"/>
            <w:vMerge w:val="restart"/>
            <w:vAlign w:val="center"/>
          </w:tcPr>
          <w:p w14:paraId="49AB9210">
            <w:pPr>
              <w:jc w:val="center"/>
              <w:rPr>
                <w:rFonts w:ascii="宋体" w:hAnsi="宋体" w:eastAsia="宋体" w:cs="宋体"/>
                <w:color w:val="auto"/>
                <w:sz w:val="18"/>
                <w:szCs w:val="18"/>
              </w:rPr>
            </w:pPr>
            <w:r>
              <w:rPr>
                <w:rFonts w:hint="eastAsia" w:ascii="宋体" w:hAnsi="宋体" w:eastAsia="宋体" w:cs="宋体"/>
                <w:color w:val="auto"/>
                <w:sz w:val="18"/>
                <w:szCs w:val="18"/>
              </w:rPr>
              <w:t>项目性质</w:t>
            </w:r>
          </w:p>
        </w:tc>
        <w:tc>
          <w:tcPr>
            <w:tcW w:w="6565" w:type="dxa"/>
            <w:vAlign w:val="center"/>
          </w:tcPr>
          <w:p w14:paraId="0C634DDA">
            <w:pPr>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ins w:id="0" w:author="tetete特特" w:date="2024-07-25T19:15:03Z">
              <w:r>
                <w:rPr>
                  <w:rFonts w:hint="eastAsia" w:ascii="宋体" w:hAnsi="宋体" w:eastAsia="宋体" w:cs="宋体"/>
                  <w:color w:val="auto"/>
                  <w:position w:val="-3"/>
                  <w:sz w:val="27"/>
                  <w:szCs w:val="18"/>
                  <w:lang w:eastAsia="zh-CN"/>
                </w:rPr>
                <w:instrText xml:space="preserve">,</w:instrText>
              </w:r>
            </w:ins>
            <w:ins w:id="1" w:author="tetete特特" w:date="2024-07-25T19:15:03Z">
              <w:r>
                <w:rPr>
                  <w:rFonts w:hint="eastAsia" w:ascii="宋体" w:hAnsi="宋体" w:eastAsia="宋体" w:cs="宋体"/>
                  <w:color w:val="auto"/>
                  <w:position w:val="0"/>
                  <w:sz w:val="18"/>
                  <w:szCs w:val="18"/>
                  <w:lang w:eastAsia="zh-CN"/>
                </w:rPr>
                <w:instrText xml:space="preserve">√</w:instrText>
              </w:r>
            </w:ins>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 xml:space="preserve"> 专门面向中小企业采购</w:t>
            </w:r>
          </w:p>
          <w:p w14:paraId="18428ECF">
            <w:pPr>
              <w:rPr>
                <w:rFonts w:ascii="宋体" w:hAnsi="宋体" w:eastAsia="宋体" w:cs="宋体"/>
                <w:color w:val="auto"/>
                <w:sz w:val="18"/>
                <w:szCs w:val="18"/>
              </w:rPr>
            </w:pPr>
            <w:r>
              <w:rPr>
                <w:rFonts w:hint="eastAsia" w:ascii="宋体" w:hAnsi="宋体" w:eastAsia="宋体" w:cs="宋体"/>
                <w:color w:val="auto"/>
                <w:sz w:val="18"/>
                <w:szCs w:val="18"/>
              </w:rPr>
              <w:t>仅允许中小企业或小型、微型企业参与投标</w:t>
            </w:r>
          </w:p>
        </w:tc>
      </w:tr>
      <w:tr w14:paraId="5455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5BB92AED">
            <w:pPr>
              <w:jc w:val="center"/>
              <w:rPr>
                <w:rFonts w:ascii="宋体" w:hAnsi="宋体" w:eastAsia="宋体" w:cs="宋体"/>
                <w:color w:val="auto"/>
                <w:sz w:val="18"/>
                <w:szCs w:val="18"/>
              </w:rPr>
            </w:pPr>
          </w:p>
        </w:tc>
        <w:tc>
          <w:tcPr>
            <w:tcW w:w="1710" w:type="dxa"/>
            <w:vMerge w:val="continue"/>
            <w:vAlign w:val="center"/>
          </w:tcPr>
          <w:p w14:paraId="08AACDFE">
            <w:pPr>
              <w:jc w:val="center"/>
              <w:rPr>
                <w:rFonts w:ascii="宋体" w:hAnsi="宋体" w:eastAsia="宋体" w:cs="宋体"/>
                <w:color w:val="auto"/>
                <w:sz w:val="18"/>
                <w:szCs w:val="18"/>
              </w:rPr>
            </w:pPr>
          </w:p>
        </w:tc>
        <w:tc>
          <w:tcPr>
            <w:tcW w:w="6565" w:type="dxa"/>
            <w:vAlign w:val="center"/>
          </w:tcPr>
          <w:p w14:paraId="37C46EDC">
            <w:pPr>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 xml:space="preserve"> 非专门面向中小企业采购</w:t>
            </w:r>
          </w:p>
          <w:p w14:paraId="4D99614F">
            <w:pPr>
              <w:rPr>
                <w:rFonts w:ascii="宋体" w:hAnsi="宋体" w:eastAsia="宋体" w:cs="宋体"/>
                <w:color w:val="auto"/>
                <w:sz w:val="18"/>
                <w:szCs w:val="18"/>
              </w:rPr>
            </w:pPr>
            <w:r>
              <w:rPr>
                <w:rFonts w:hint="eastAsia" w:ascii="宋体" w:hAnsi="宋体" w:eastAsia="宋体" w:cs="宋体"/>
                <w:color w:val="auto"/>
                <w:sz w:val="18"/>
                <w:szCs w:val="18"/>
              </w:rPr>
              <w:t>对符合《政府采购促进中小企业发展管理办法》（财库〔2020〕 46 号）规定的小微企业（监狱企业视同小型、微型企业）的报价给予</w:t>
            </w:r>
            <w:r>
              <w:rPr>
                <w:rFonts w:hint="eastAsia" w:ascii="宋体" w:hAnsi="宋体" w:eastAsia="宋体" w:cs="宋体"/>
                <w:color w:val="auto"/>
                <w:sz w:val="18"/>
                <w:szCs w:val="18"/>
                <w:u w:val="single"/>
              </w:rPr>
              <w:t xml:space="preserve">   </w:t>
            </w:r>
            <w:r>
              <w:rPr>
                <w:rFonts w:hint="eastAsia" w:ascii="宋体" w:hAnsi="宋体" w:eastAsia="宋体" w:cs="宋体"/>
                <w:color w:val="auto"/>
                <w:sz w:val="18"/>
                <w:szCs w:val="18"/>
              </w:rPr>
              <w:t>% （6%-10%）的扣除，用扣除后的价格参加评审。</w:t>
            </w:r>
          </w:p>
        </w:tc>
      </w:tr>
      <w:tr w14:paraId="3EDC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3607645">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1710" w:type="dxa"/>
            <w:vAlign w:val="center"/>
          </w:tcPr>
          <w:p w14:paraId="79F6B7ED">
            <w:pPr>
              <w:jc w:val="center"/>
              <w:rPr>
                <w:rFonts w:ascii="宋体" w:hAnsi="宋体" w:eastAsia="宋体" w:cs="宋体"/>
                <w:color w:val="auto"/>
                <w:sz w:val="18"/>
                <w:szCs w:val="18"/>
              </w:rPr>
            </w:pPr>
            <w:r>
              <w:rPr>
                <w:rFonts w:hint="eastAsia" w:ascii="宋体" w:hAnsi="宋体" w:eastAsia="宋体" w:cs="宋体"/>
                <w:color w:val="auto"/>
                <w:sz w:val="18"/>
                <w:szCs w:val="18"/>
              </w:rPr>
              <w:t>对供应商的资格要求</w:t>
            </w:r>
          </w:p>
        </w:tc>
        <w:tc>
          <w:tcPr>
            <w:tcW w:w="6565" w:type="dxa"/>
            <w:vAlign w:val="center"/>
          </w:tcPr>
          <w:p w14:paraId="35A6FE0A">
            <w:pPr>
              <w:pStyle w:val="12"/>
              <w:spacing w:line="240" w:lineRule="auto"/>
              <w:ind w:firstLine="0"/>
              <w:jc w:val="left"/>
              <w:rPr>
                <w:b/>
                <w:bCs/>
                <w:color w:val="auto"/>
                <w:sz w:val="18"/>
                <w:szCs w:val="18"/>
                <w:lang w:val="zh-CN"/>
              </w:rPr>
            </w:pPr>
            <w:r>
              <w:rPr>
                <w:rFonts w:hint="eastAsia"/>
                <w:b/>
                <w:bCs/>
                <w:color w:val="auto"/>
                <w:sz w:val="18"/>
                <w:szCs w:val="18"/>
                <w:lang w:val="zh-CN"/>
              </w:rPr>
              <w:t>一、基本资格条件</w:t>
            </w:r>
          </w:p>
          <w:p w14:paraId="730A6585">
            <w:pPr>
              <w:pStyle w:val="12"/>
              <w:spacing w:line="240" w:lineRule="auto"/>
              <w:ind w:firstLine="0"/>
              <w:jc w:val="left"/>
              <w:rPr>
                <w:color w:val="auto"/>
                <w:sz w:val="18"/>
                <w:szCs w:val="18"/>
                <w:lang w:val="zh-CN"/>
              </w:rPr>
            </w:pPr>
            <w:r>
              <w:rPr>
                <w:rFonts w:hint="eastAsia"/>
                <w:color w:val="auto"/>
                <w:sz w:val="18"/>
                <w:szCs w:val="18"/>
                <w:lang w:val="zh-CN"/>
              </w:rPr>
              <w:t>1.提供合格有效的法人或者其他组织的营业执照等证明文件或自然人的身份证明；</w:t>
            </w:r>
          </w:p>
          <w:p w14:paraId="1E4F844F">
            <w:pPr>
              <w:pStyle w:val="12"/>
              <w:spacing w:line="240" w:lineRule="auto"/>
              <w:ind w:firstLine="0"/>
              <w:jc w:val="left"/>
              <w:rPr>
                <w:color w:val="auto"/>
                <w:sz w:val="18"/>
                <w:szCs w:val="18"/>
                <w:lang w:val="zh-CN"/>
              </w:rPr>
            </w:pPr>
            <w:r>
              <w:rPr>
                <w:rFonts w:hint="eastAsia"/>
                <w:color w:val="auto"/>
                <w:sz w:val="18"/>
                <w:szCs w:val="18"/>
                <w:lang w:val="en-US" w:eastAsia="zh-CN"/>
              </w:rPr>
              <w:t>2</w:t>
            </w:r>
            <w:r>
              <w:rPr>
                <w:rFonts w:hint="eastAsia"/>
                <w:color w:val="auto"/>
                <w:sz w:val="18"/>
                <w:szCs w:val="18"/>
                <w:lang w:val="zh-CN"/>
              </w:rPr>
              <w:t>.财务状况报告：提供</w:t>
            </w:r>
            <w:r>
              <w:rPr>
                <w:rFonts w:hint="eastAsia"/>
                <w:color w:val="auto"/>
                <w:sz w:val="18"/>
                <w:szCs w:val="18"/>
                <w:lang w:val="en-US" w:eastAsia="zh-CN"/>
              </w:rPr>
              <w:t>2023年度</w:t>
            </w:r>
            <w:r>
              <w:rPr>
                <w:rFonts w:hint="eastAsia"/>
                <w:color w:val="auto"/>
                <w:sz w:val="18"/>
                <w:szCs w:val="18"/>
                <w:lang w:val="zh-CN"/>
              </w:rPr>
              <w:t>经审计的财务会计报告（包括审计报告、资产负债表、利润表、现金流量表、所有者权益变动表及其附注，成立时间至提交投标文件截止时间不足一年的可提供成立后任意时段的资产负债表），或其开标前1个月内银行出具的资信证明；</w:t>
            </w:r>
          </w:p>
          <w:p w14:paraId="1E1E69C8">
            <w:pPr>
              <w:pStyle w:val="12"/>
              <w:spacing w:line="240" w:lineRule="auto"/>
              <w:ind w:firstLine="0"/>
              <w:jc w:val="left"/>
              <w:rPr>
                <w:color w:val="auto"/>
                <w:sz w:val="18"/>
                <w:szCs w:val="18"/>
                <w:lang w:val="zh-CN"/>
              </w:rPr>
            </w:pPr>
            <w:r>
              <w:rPr>
                <w:rFonts w:hint="eastAsia"/>
                <w:color w:val="auto"/>
                <w:sz w:val="18"/>
                <w:szCs w:val="18"/>
                <w:lang w:val="en-US" w:eastAsia="zh-CN"/>
              </w:rPr>
              <w:t>3</w:t>
            </w:r>
            <w:r>
              <w:rPr>
                <w:rFonts w:hint="eastAsia"/>
                <w:color w:val="auto"/>
                <w:sz w:val="18"/>
                <w:szCs w:val="18"/>
                <w:lang w:val="zh-CN"/>
              </w:rPr>
              <w:t>.税收缴纳证明：提供投标人202</w:t>
            </w:r>
            <w:r>
              <w:rPr>
                <w:rFonts w:hint="eastAsia"/>
                <w:color w:val="auto"/>
                <w:sz w:val="18"/>
                <w:szCs w:val="18"/>
                <w:lang w:val="en-US" w:eastAsia="zh-CN"/>
              </w:rPr>
              <w:t>3</w:t>
            </w:r>
            <w:r>
              <w:rPr>
                <w:rFonts w:hint="eastAsia"/>
                <w:color w:val="auto"/>
                <w:sz w:val="18"/>
                <w:szCs w:val="18"/>
                <w:lang w:val="zh-CN"/>
              </w:rPr>
              <w:t>年</w:t>
            </w:r>
            <w:r>
              <w:rPr>
                <w:rFonts w:hint="eastAsia"/>
                <w:color w:val="auto"/>
                <w:sz w:val="18"/>
                <w:szCs w:val="18"/>
                <w:lang w:val="en-US" w:eastAsia="zh-CN"/>
              </w:rPr>
              <w:t>7</w:t>
            </w:r>
            <w:r>
              <w:rPr>
                <w:rFonts w:hint="eastAsia"/>
                <w:color w:val="auto"/>
                <w:sz w:val="18"/>
                <w:szCs w:val="18"/>
                <w:lang w:val="zh-CN"/>
              </w:rPr>
              <w:t>月至今任意1个月已缴纳完税凭证或税务机关开具的完税证明（任意税种）；依法免税的应提供相关文件证明；</w:t>
            </w:r>
          </w:p>
          <w:p w14:paraId="0FCF135B">
            <w:pPr>
              <w:pStyle w:val="12"/>
              <w:spacing w:line="240" w:lineRule="auto"/>
              <w:ind w:firstLine="0"/>
              <w:jc w:val="left"/>
              <w:rPr>
                <w:color w:val="auto"/>
                <w:sz w:val="18"/>
                <w:szCs w:val="18"/>
                <w:lang w:val="zh-CN"/>
              </w:rPr>
            </w:pPr>
            <w:r>
              <w:rPr>
                <w:rFonts w:hint="eastAsia"/>
                <w:color w:val="auto"/>
                <w:sz w:val="18"/>
                <w:szCs w:val="18"/>
                <w:lang w:val="en-US" w:eastAsia="zh-CN"/>
              </w:rPr>
              <w:t>4</w:t>
            </w:r>
            <w:r>
              <w:rPr>
                <w:rFonts w:hint="eastAsia"/>
                <w:color w:val="auto"/>
                <w:sz w:val="18"/>
                <w:szCs w:val="18"/>
                <w:lang w:val="zh-CN"/>
              </w:rPr>
              <w:t>.社会保障资金缴纳证明：提供投标人202</w:t>
            </w:r>
            <w:r>
              <w:rPr>
                <w:rFonts w:hint="eastAsia"/>
                <w:color w:val="auto"/>
                <w:sz w:val="18"/>
                <w:szCs w:val="18"/>
                <w:lang w:val="en-US" w:eastAsia="zh-CN"/>
              </w:rPr>
              <w:t>3</w:t>
            </w:r>
            <w:r>
              <w:rPr>
                <w:rFonts w:hint="eastAsia"/>
                <w:color w:val="auto"/>
                <w:sz w:val="18"/>
                <w:szCs w:val="18"/>
                <w:lang w:val="zh-CN"/>
              </w:rPr>
              <w:t>年</w:t>
            </w:r>
            <w:r>
              <w:rPr>
                <w:rFonts w:hint="eastAsia"/>
                <w:color w:val="auto"/>
                <w:sz w:val="18"/>
                <w:szCs w:val="18"/>
                <w:lang w:val="en-US" w:eastAsia="zh-CN"/>
              </w:rPr>
              <w:t>7</w:t>
            </w:r>
            <w:r>
              <w:rPr>
                <w:rFonts w:hint="eastAsia"/>
                <w:color w:val="auto"/>
                <w:sz w:val="18"/>
                <w:szCs w:val="18"/>
                <w:lang w:val="zh-CN"/>
              </w:rPr>
              <w:t>月至今任意</w:t>
            </w:r>
            <w:r>
              <w:rPr>
                <w:rFonts w:hint="eastAsia"/>
                <w:color w:val="auto"/>
                <w:sz w:val="18"/>
                <w:szCs w:val="18"/>
                <w:lang w:val="en-US" w:eastAsia="zh-CN"/>
              </w:rPr>
              <w:t>1</w:t>
            </w:r>
            <w:r>
              <w:rPr>
                <w:rFonts w:hint="eastAsia"/>
                <w:color w:val="auto"/>
                <w:sz w:val="18"/>
                <w:szCs w:val="18"/>
                <w:lang w:val="zh-CN"/>
              </w:rPr>
              <w:t>个月已缴纳的社会保障资金缴存单据或社保机构开具的社会保险参保缴费情况证明；依法不需要缴纳社会保障资金的应提供相关文件证明；</w:t>
            </w:r>
          </w:p>
          <w:p w14:paraId="2618CFC4">
            <w:pPr>
              <w:pStyle w:val="12"/>
              <w:spacing w:line="240" w:lineRule="auto"/>
              <w:ind w:firstLine="0"/>
              <w:jc w:val="left"/>
              <w:rPr>
                <w:color w:val="auto"/>
                <w:sz w:val="18"/>
                <w:szCs w:val="18"/>
                <w:lang w:val="zh-CN"/>
              </w:rPr>
            </w:pPr>
            <w:r>
              <w:rPr>
                <w:rFonts w:hint="eastAsia"/>
                <w:color w:val="auto"/>
                <w:sz w:val="18"/>
                <w:szCs w:val="18"/>
                <w:lang w:val="en-US" w:eastAsia="zh-CN"/>
              </w:rPr>
              <w:t>5.</w:t>
            </w:r>
            <w:r>
              <w:rPr>
                <w:rFonts w:hint="eastAsia"/>
                <w:color w:val="auto"/>
                <w:sz w:val="18"/>
                <w:szCs w:val="18"/>
                <w:lang w:val="zh-CN"/>
              </w:rPr>
              <w:t>提供投标人具备履行合同所必需的设备和专业技术能力的证明；</w:t>
            </w:r>
          </w:p>
          <w:p w14:paraId="484BF551">
            <w:pPr>
              <w:pStyle w:val="12"/>
              <w:spacing w:line="240" w:lineRule="auto"/>
              <w:ind w:firstLine="0"/>
              <w:jc w:val="left"/>
              <w:rPr>
                <w:color w:val="auto"/>
                <w:sz w:val="18"/>
                <w:szCs w:val="18"/>
                <w:lang w:val="zh-CN"/>
              </w:rPr>
            </w:pPr>
            <w:r>
              <w:rPr>
                <w:rFonts w:hint="eastAsia"/>
                <w:color w:val="auto"/>
                <w:sz w:val="18"/>
                <w:szCs w:val="18"/>
                <w:lang w:val="en-US" w:eastAsia="zh-CN"/>
              </w:rPr>
              <w:t>6.</w:t>
            </w:r>
            <w:r>
              <w:rPr>
                <w:rFonts w:hint="eastAsia"/>
                <w:color w:val="auto"/>
                <w:sz w:val="18"/>
                <w:szCs w:val="18"/>
                <w:lang w:val="zh-CN"/>
              </w:rPr>
              <w:t>参加本次招标前3年内，在经营活动中没有重大违法记录的书面声明；</w:t>
            </w:r>
          </w:p>
          <w:p w14:paraId="6DE1AB8B">
            <w:pPr>
              <w:pStyle w:val="12"/>
              <w:spacing w:line="240" w:lineRule="auto"/>
              <w:ind w:firstLine="0"/>
              <w:jc w:val="left"/>
              <w:rPr>
                <w:b/>
                <w:bCs/>
                <w:color w:val="auto"/>
                <w:sz w:val="18"/>
                <w:szCs w:val="18"/>
                <w:lang w:val="zh-CN"/>
              </w:rPr>
            </w:pPr>
            <w:r>
              <w:rPr>
                <w:rFonts w:hint="eastAsia"/>
                <w:b/>
                <w:bCs/>
                <w:color w:val="auto"/>
                <w:sz w:val="18"/>
                <w:szCs w:val="18"/>
                <w:lang w:val="zh-CN"/>
              </w:rPr>
              <w:t>二、落实政府采购政策需满足的资格要求：</w:t>
            </w:r>
          </w:p>
          <w:p w14:paraId="47E6BC72">
            <w:pPr>
              <w:pStyle w:val="12"/>
              <w:spacing w:line="240" w:lineRule="auto"/>
              <w:ind w:firstLine="0"/>
              <w:jc w:val="left"/>
              <w:rPr>
                <w:color w:val="auto"/>
                <w:sz w:val="18"/>
                <w:szCs w:val="18"/>
                <w:lang w:val="zh-CN"/>
              </w:rPr>
            </w:pPr>
            <w:r>
              <w:rPr>
                <w:rFonts w:hint="eastAsia"/>
                <w:color w:val="auto"/>
                <w:sz w:val="18"/>
                <w:szCs w:val="18"/>
                <w:lang w:val="zh-CN"/>
              </w:rPr>
              <w:t>本项目专门面向中小企业采购，投标人应为中小企业或者为残疾人福利性单位或者为监狱企业。</w:t>
            </w:r>
          </w:p>
          <w:p w14:paraId="51593401">
            <w:pPr>
              <w:jc w:val="left"/>
              <w:rPr>
                <w:rFonts w:ascii="宋体" w:hAnsi="宋体" w:eastAsia="宋体" w:cs="宋体"/>
                <w:color w:val="auto"/>
                <w:sz w:val="18"/>
                <w:szCs w:val="18"/>
                <w:lang w:val="zh-CN"/>
              </w:rPr>
            </w:pPr>
            <w:r>
              <w:rPr>
                <w:rFonts w:hint="eastAsia" w:ascii="宋体" w:hAnsi="宋体" w:eastAsia="宋体" w:cs="宋体"/>
                <w:color w:val="auto"/>
                <w:sz w:val="18"/>
                <w:szCs w:val="18"/>
                <w:lang w:val="zh-CN"/>
              </w:rPr>
              <w:t>根据《政府釆购促进中小企业发展管理办法》（财库</w:t>
            </w:r>
            <w:r>
              <w:rPr>
                <w:rFonts w:hint="eastAsia" w:ascii="宋体" w:hAnsi="宋体" w:eastAsia="宋体" w:cs="宋体"/>
                <w:color w:val="auto"/>
                <w:sz w:val="18"/>
                <w:szCs w:val="18"/>
              </w:rPr>
              <w:t xml:space="preserve">[2020] </w:t>
            </w:r>
            <w:r>
              <w:rPr>
                <w:rFonts w:hint="eastAsia" w:ascii="宋体" w:hAnsi="宋体" w:eastAsia="宋体" w:cs="宋体"/>
                <w:color w:val="auto"/>
                <w:sz w:val="18"/>
                <w:szCs w:val="18"/>
                <w:lang w:val="zh-CN"/>
              </w:rPr>
              <w:t>46号）的规定，不得以企业注册资本、资产总额、营业收入、从业人员、利润、纳税额等规模条件和财务指标作为供应商的资格要求或者评审因素，不得在企业股权结构、经营年限等方面对中小企业实行差别待遇或者歧视待遇。</w:t>
            </w:r>
          </w:p>
          <w:p w14:paraId="66F8508B">
            <w:pPr>
              <w:pStyle w:val="2"/>
              <w:numPr>
                <w:ilvl w:val="0"/>
                <w:numId w:val="1"/>
              </w:numPr>
              <w:rPr>
                <w:rFonts w:ascii="宋体" w:hAnsi="宋体" w:eastAsia="宋体" w:cs="宋体"/>
                <w:color w:val="auto"/>
                <w:sz w:val="18"/>
                <w:szCs w:val="18"/>
              </w:rPr>
            </w:pPr>
            <w:r>
              <w:rPr>
                <w:rFonts w:hint="eastAsia" w:ascii="宋体" w:hAnsi="宋体" w:eastAsia="宋体" w:cs="宋体"/>
                <w:color w:val="auto"/>
                <w:sz w:val="18"/>
                <w:szCs w:val="18"/>
              </w:rPr>
              <w:t>特定资格条件</w:t>
            </w:r>
          </w:p>
          <w:p w14:paraId="3D36098F">
            <w:pPr>
              <w:numPr>
                <w:ilvl w:val="0"/>
                <w:numId w:val="2"/>
              </w:numPr>
              <w:rPr>
                <w:rFonts w:ascii="宋体" w:hAnsi="宋体" w:eastAsia="宋体" w:cs="宋体"/>
                <w:color w:val="auto"/>
                <w:sz w:val="18"/>
                <w:szCs w:val="18"/>
                <w:lang w:bidi="zh-TW"/>
              </w:rPr>
            </w:pPr>
            <w:r>
              <w:rPr>
                <w:rFonts w:hint="eastAsia" w:ascii="宋体" w:hAnsi="宋体" w:eastAsia="宋体" w:cs="宋体"/>
                <w:color w:val="auto"/>
                <w:sz w:val="18"/>
                <w:szCs w:val="18"/>
                <w:lang w:bidi="zh-TW"/>
              </w:rPr>
              <w:t>法定代表人授权书（附法定代表人、被授权人身份证复印件）及被授权人身份证（法定代表人直接参加磋商，须提供法定代表人身份证明及身份证原件）；</w:t>
            </w:r>
          </w:p>
          <w:p w14:paraId="28FDB705">
            <w:pPr>
              <w:numPr>
                <w:ilvl w:val="0"/>
                <w:numId w:val="2"/>
              </w:numPr>
              <w:rPr>
                <w:color w:val="auto"/>
              </w:rPr>
            </w:pPr>
            <w:r>
              <w:rPr>
                <w:rFonts w:hint="eastAsia" w:ascii="宋体" w:hAnsi="宋体" w:eastAsia="宋体" w:cs="宋体"/>
                <w:color w:val="auto"/>
                <w:sz w:val="18"/>
                <w:szCs w:val="18"/>
                <w:lang w:bidi="zh-TW"/>
              </w:rPr>
              <w:t>供应商未被“信用中国”网站（www.creditchina.gov.cn）列入失信被执行人和重大税收违法失信主体，未被中国政府采购网（www.ccgp.gov.cn）列入政府采购严重违法失信行为记录名单；</w:t>
            </w:r>
          </w:p>
          <w:p w14:paraId="57D6F17B">
            <w:pPr>
              <w:pStyle w:val="2"/>
              <w:rPr>
                <w:color w:val="auto"/>
              </w:rPr>
            </w:pPr>
            <w:r>
              <w:rPr>
                <w:rFonts w:hint="eastAsia" w:ascii="宋体" w:hAnsi="宋体" w:eastAsia="宋体" w:cs="宋体"/>
                <w:b w:val="0"/>
                <w:color w:val="auto"/>
                <w:sz w:val="18"/>
                <w:szCs w:val="18"/>
                <w:lang w:bidi="zh-TW"/>
              </w:rPr>
              <w:t>3.非联合体磋商：本项目不接受联合体磋商（提供非联合体声明函）。</w:t>
            </w:r>
          </w:p>
        </w:tc>
      </w:tr>
      <w:tr w14:paraId="686A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1D0D9D14">
            <w:pPr>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1710" w:type="dxa"/>
            <w:vMerge w:val="restart"/>
            <w:vAlign w:val="center"/>
          </w:tcPr>
          <w:p w14:paraId="72576494">
            <w:pPr>
              <w:jc w:val="left"/>
              <w:rPr>
                <w:rFonts w:ascii="宋体" w:hAnsi="宋体" w:eastAsia="宋体" w:cs="宋体"/>
                <w:bCs/>
                <w:color w:val="auto"/>
                <w:kern w:val="0"/>
                <w:sz w:val="18"/>
                <w:szCs w:val="18"/>
              </w:rPr>
            </w:pPr>
            <w:r>
              <w:rPr>
                <w:rFonts w:hint="eastAsia" w:ascii="宋体" w:hAnsi="宋体" w:eastAsia="宋体" w:cs="宋体"/>
                <w:bCs/>
                <w:color w:val="auto"/>
                <w:kern w:val="0"/>
                <w:sz w:val="18"/>
                <w:szCs w:val="18"/>
              </w:rPr>
              <w:t>是否允许进口产品</w:t>
            </w:r>
          </w:p>
        </w:tc>
        <w:tc>
          <w:tcPr>
            <w:tcW w:w="6565" w:type="dxa"/>
            <w:vAlign w:val="center"/>
          </w:tcPr>
          <w:p w14:paraId="78BCA750">
            <w:pPr>
              <w:jc w:val="left"/>
              <w:rPr>
                <w:rFonts w:ascii="宋体" w:hAnsi="宋体" w:eastAsia="宋体" w:cs="宋体"/>
                <w:bCs/>
                <w:color w:val="auto"/>
                <w:kern w:val="0"/>
                <w:sz w:val="18"/>
                <w:szCs w:val="18"/>
              </w:rPr>
            </w:pPr>
            <w:r>
              <w:rPr>
                <w:rFonts w:hint="eastAsia" w:ascii="宋体" w:hAnsi="宋体" w:eastAsia="宋体" w:cs="宋体"/>
                <w:bCs/>
                <w:color w:val="auto"/>
                <w:kern w:val="0"/>
                <w:sz w:val="18"/>
                <w:szCs w:val="18"/>
              </w:rPr>
              <w:fldChar w:fldCharType="begin"/>
            </w:r>
            <w:r>
              <w:rPr>
                <w:rFonts w:hint="eastAsia" w:ascii="宋体" w:hAnsi="宋体" w:eastAsia="宋体" w:cs="宋体"/>
                <w:bCs/>
                <w:color w:val="auto"/>
                <w:kern w:val="0"/>
                <w:sz w:val="18"/>
                <w:szCs w:val="18"/>
              </w:rPr>
              <w:instrText xml:space="preserve"> eq \o\ac(</w:instrText>
            </w:r>
            <w:r>
              <w:rPr>
                <w:rFonts w:hint="eastAsia" w:ascii="宋体" w:hAnsi="宋体" w:eastAsia="宋体" w:cs="宋体"/>
                <w:bCs/>
                <w:color w:val="auto"/>
                <w:kern w:val="0"/>
                <w:position w:val="-3"/>
                <w:sz w:val="27"/>
                <w:szCs w:val="18"/>
              </w:rPr>
              <w:instrText xml:space="preserve">□</w:instrText>
            </w:r>
            <w:r>
              <w:rPr>
                <w:rFonts w:hint="eastAsia" w:ascii="宋体" w:hAnsi="宋体" w:eastAsia="宋体" w:cs="宋体"/>
                <w:bCs/>
                <w:color w:val="auto"/>
                <w:kern w:val="0"/>
                <w:sz w:val="18"/>
                <w:szCs w:val="18"/>
              </w:rPr>
              <w:instrText xml:space="preserve">)</w:instrText>
            </w:r>
            <w:r>
              <w:rPr>
                <w:rFonts w:hint="eastAsia" w:ascii="宋体" w:hAnsi="宋体" w:eastAsia="宋体" w:cs="宋体"/>
                <w:bCs/>
                <w:color w:val="auto"/>
                <w:kern w:val="0"/>
                <w:sz w:val="18"/>
                <w:szCs w:val="18"/>
              </w:rPr>
              <w:fldChar w:fldCharType="end"/>
            </w:r>
            <w:r>
              <w:rPr>
                <w:rFonts w:hint="eastAsia" w:ascii="宋体" w:hAnsi="宋体" w:eastAsia="宋体" w:cs="宋体"/>
                <w:bCs/>
                <w:color w:val="auto"/>
                <w:kern w:val="0"/>
                <w:sz w:val="18"/>
                <w:szCs w:val="18"/>
              </w:rPr>
              <w:t>允许（须提供财政部门审核通过的复印件）</w:t>
            </w:r>
          </w:p>
          <w:p w14:paraId="4C1E90E9">
            <w:pPr>
              <w:jc w:val="left"/>
              <w:rPr>
                <w:rFonts w:ascii="宋体" w:hAnsi="宋体" w:eastAsia="宋体" w:cs="宋体"/>
                <w:bCs/>
                <w:color w:val="auto"/>
                <w:kern w:val="0"/>
                <w:sz w:val="18"/>
                <w:szCs w:val="18"/>
              </w:rPr>
            </w:pPr>
            <w:r>
              <w:rPr>
                <w:rFonts w:hint="eastAsia" w:ascii="宋体" w:hAnsi="宋体" w:eastAsia="宋体" w:cs="宋体"/>
                <w:bCs/>
                <w:color w:val="auto"/>
                <w:kern w:val="0"/>
                <w:sz w:val="18"/>
                <w:szCs w:val="18"/>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14:paraId="050C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5DC96BA7">
            <w:pPr>
              <w:jc w:val="center"/>
              <w:rPr>
                <w:rFonts w:ascii="宋体" w:hAnsi="宋体" w:eastAsia="宋体" w:cs="宋体"/>
                <w:color w:val="auto"/>
                <w:sz w:val="18"/>
                <w:szCs w:val="18"/>
              </w:rPr>
            </w:pPr>
          </w:p>
        </w:tc>
        <w:tc>
          <w:tcPr>
            <w:tcW w:w="1710" w:type="dxa"/>
            <w:vMerge w:val="continue"/>
            <w:vAlign w:val="center"/>
          </w:tcPr>
          <w:p w14:paraId="7204F847">
            <w:pPr>
              <w:jc w:val="left"/>
              <w:rPr>
                <w:rFonts w:ascii="宋体" w:hAnsi="宋体" w:eastAsia="宋体" w:cs="宋体"/>
                <w:bCs/>
                <w:color w:val="auto"/>
                <w:kern w:val="0"/>
                <w:sz w:val="18"/>
                <w:szCs w:val="18"/>
              </w:rPr>
            </w:pPr>
          </w:p>
        </w:tc>
        <w:tc>
          <w:tcPr>
            <w:tcW w:w="6565" w:type="dxa"/>
            <w:vAlign w:val="center"/>
          </w:tcPr>
          <w:p w14:paraId="793C5CF3">
            <w:pPr>
              <w:jc w:val="left"/>
              <w:rPr>
                <w:rFonts w:ascii="宋体" w:hAnsi="宋体" w:eastAsia="宋体" w:cs="宋体"/>
                <w:bCs/>
                <w:color w:val="auto"/>
                <w:kern w:val="0"/>
                <w:sz w:val="18"/>
                <w:szCs w:val="18"/>
              </w:rPr>
            </w:pPr>
            <w:r>
              <w:rPr>
                <w:rFonts w:hint="eastAsia" w:ascii="宋体" w:hAnsi="宋体" w:eastAsia="宋体" w:cs="宋体"/>
                <w:bCs/>
                <w:color w:val="auto"/>
                <w:kern w:val="0"/>
                <w:sz w:val="18"/>
                <w:szCs w:val="18"/>
              </w:rPr>
              <w:fldChar w:fldCharType="begin"/>
            </w:r>
            <w:r>
              <w:rPr>
                <w:rFonts w:hint="eastAsia" w:ascii="宋体" w:hAnsi="宋体" w:eastAsia="宋体" w:cs="宋体"/>
                <w:bCs/>
                <w:color w:val="auto"/>
                <w:kern w:val="0"/>
                <w:sz w:val="18"/>
                <w:szCs w:val="18"/>
              </w:rPr>
              <w:instrText xml:space="preserve"> eq \o\ac(</w:instrText>
            </w:r>
            <w:r>
              <w:rPr>
                <w:rFonts w:hint="eastAsia" w:ascii="宋体" w:hAnsi="宋体" w:eastAsia="宋体" w:cs="宋体"/>
                <w:bCs/>
                <w:color w:val="auto"/>
                <w:kern w:val="0"/>
                <w:position w:val="-3"/>
                <w:sz w:val="27"/>
                <w:szCs w:val="18"/>
              </w:rPr>
              <w:instrText xml:space="preserve">□,</w:instrText>
            </w:r>
            <w:r>
              <w:rPr>
                <w:rFonts w:hint="eastAsia" w:ascii="宋体" w:hAnsi="宋体" w:eastAsia="宋体" w:cs="宋体"/>
                <w:bCs/>
                <w:color w:val="auto"/>
                <w:kern w:val="0"/>
                <w:sz w:val="18"/>
                <w:szCs w:val="18"/>
              </w:rPr>
              <w:instrText xml:space="preserve">√)</w:instrText>
            </w:r>
            <w:r>
              <w:rPr>
                <w:rFonts w:hint="eastAsia" w:ascii="宋体" w:hAnsi="宋体" w:eastAsia="宋体" w:cs="宋体"/>
                <w:bCs/>
                <w:color w:val="auto"/>
                <w:kern w:val="0"/>
                <w:sz w:val="18"/>
                <w:szCs w:val="18"/>
              </w:rPr>
              <w:fldChar w:fldCharType="end"/>
            </w:r>
            <w:r>
              <w:rPr>
                <w:rFonts w:hint="eastAsia" w:ascii="宋体" w:hAnsi="宋体" w:eastAsia="宋体" w:cs="宋体"/>
                <w:bCs/>
                <w:color w:val="auto"/>
                <w:kern w:val="0"/>
                <w:sz w:val="18"/>
                <w:szCs w:val="18"/>
              </w:rPr>
              <w:t>不允许</w:t>
            </w:r>
          </w:p>
          <w:p w14:paraId="7A965C52">
            <w:pPr>
              <w:jc w:val="left"/>
              <w:rPr>
                <w:rFonts w:ascii="宋体" w:hAnsi="宋体" w:eastAsia="宋体" w:cs="宋体"/>
                <w:bCs/>
                <w:color w:val="auto"/>
                <w:kern w:val="0"/>
                <w:sz w:val="18"/>
                <w:szCs w:val="18"/>
              </w:rPr>
            </w:pPr>
            <w:r>
              <w:rPr>
                <w:rFonts w:hint="eastAsia" w:ascii="宋体" w:hAnsi="宋体" w:eastAsia="宋体" w:cs="宋体"/>
                <w:bCs/>
                <w:color w:val="auto"/>
                <w:kern w:val="0"/>
                <w:sz w:val="18"/>
                <w:szCs w:val="18"/>
              </w:rPr>
              <w:t>所投产品为进口产品时，将被视为无效投标。</w:t>
            </w:r>
          </w:p>
        </w:tc>
      </w:tr>
      <w:tr w14:paraId="3D25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602F0F6A">
            <w:pPr>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1710" w:type="dxa"/>
            <w:vMerge w:val="restart"/>
            <w:vAlign w:val="center"/>
          </w:tcPr>
          <w:p w14:paraId="3E4F4571">
            <w:pPr>
              <w:jc w:val="center"/>
              <w:rPr>
                <w:rFonts w:ascii="宋体" w:hAnsi="宋体" w:eastAsia="宋体" w:cs="宋体"/>
                <w:color w:val="auto"/>
                <w:sz w:val="18"/>
                <w:szCs w:val="18"/>
              </w:rPr>
            </w:pPr>
            <w:r>
              <w:rPr>
                <w:rFonts w:hint="eastAsia" w:ascii="宋体" w:hAnsi="宋体" w:eastAsia="宋体" w:cs="宋体"/>
                <w:color w:val="auto"/>
                <w:sz w:val="18"/>
                <w:szCs w:val="18"/>
              </w:rPr>
              <w:t>是否接受联合体投标</w:t>
            </w:r>
          </w:p>
        </w:tc>
        <w:tc>
          <w:tcPr>
            <w:tcW w:w="6565" w:type="dxa"/>
            <w:vAlign w:val="center"/>
          </w:tcPr>
          <w:p w14:paraId="594AF71D">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接受</w:t>
            </w:r>
          </w:p>
          <w:p w14:paraId="43633512">
            <w:pPr>
              <w:jc w:val="left"/>
              <w:rPr>
                <w:rFonts w:ascii="宋体" w:hAnsi="宋体" w:eastAsia="宋体" w:cs="宋体"/>
                <w:color w:val="auto"/>
                <w:sz w:val="18"/>
                <w:szCs w:val="18"/>
              </w:rPr>
            </w:pPr>
            <w:r>
              <w:rPr>
                <w:rFonts w:hint="eastAsia" w:ascii="宋体" w:hAnsi="宋体" w:eastAsia="宋体" w:cs="宋体"/>
                <w:color w:val="auto"/>
                <w:sz w:val="18"/>
                <w:szCs w:val="18"/>
              </w:rPr>
              <w:t>对于联合体协议或者分包意向协议约定小微企业的合同份额占到合同总金额30%以上的，对联合体或者大中型企业的报价给予</w:t>
            </w:r>
            <w:r>
              <w:rPr>
                <w:rFonts w:hint="eastAsia" w:ascii="宋体" w:hAnsi="宋体" w:eastAsia="宋体" w:cs="宋体"/>
                <w:color w:val="auto"/>
                <w:sz w:val="18"/>
                <w:szCs w:val="18"/>
                <w:u w:val="single"/>
              </w:rPr>
              <w:t xml:space="preserve"> 2 </w:t>
            </w:r>
            <w:r>
              <w:rPr>
                <w:rFonts w:hint="eastAsia" w:ascii="宋体" w:hAnsi="宋体" w:eastAsia="宋体" w:cs="宋体"/>
                <w:color w:val="auto"/>
                <w:sz w:val="18"/>
                <w:szCs w:val="18"/>
              </w:rPr>
              <w:t>% (2% -3%)的扣除，用扣除后的报价参加评审。</w:t>
            </w:r>
          </w:p>
        </w:tc>
      </w:tr>
      <w:tr w14:paraId="359E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5" w:type="dxa"/>
            <w:vMerge w:val="continue"/>
            <w:vAlign w:val="center"/>
          </w:tcPr>
          <w:p w14:paraId="001DB9FE">
            <w:pPr>
              <w:jc w:val="center"/>
              <w:rPr>
                <w:rFonts w:ascii="宋体" w:hAnsi="宋体" w:eastAsia="宋体" w:cs="宋体"/>
                <w:color w:val="auto"/>
                <w:sz w:val="18"/>
                <w:szCs w:val="18"/>
              </w:rPr>
            </w:pPr>
          </w:p>
        </w:tc>
        <w:tc>
          <w:tcPr>
            <w:tcW w:w="1710" w:type="dxa"/>
            <w:vMerge w:val="continue"/>
            <w:vAlign w:val="center"/>
          </w:tcPr>
          <w:p w14:paraId="0F9C97B3">
            <w:pPr>
              <w:jc w:val="center"/>
              <w:rPr>
                <w:rFonts w:ascii="宋体" w:hAnsi="宋体" w:eastAsia="宋体" w:cs="宋体"/>
                <w:color w:val="auto"/>
                <w:sz w:val="18"/>
                <w:szCs w:val="18"/>
              </w:rPr>
            </w:pPr>
          </w:p>
        </w:tc>
        <w:tc>
          <w:tcPr>
            <w:tcW w:w="6565" w:type="dxa"/>
            <w:vAlign w:val="center"/>
          </w:tcPr>
          <w:p w14:paraId="1981795A">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不接受</w:t>
            </w:r>
          </w:p>
        </w:tc>
      </w:tr>
      <w:tr w14:paraId="128D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5" w:type="dxa"/>
            <w:vAlign w:val="center"/>
          </w:tcPr>
          <w:p w14:paraId="539835CA">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1710" w:type="dxa"/>
            <w:vAlign w:val="center"/>
          </w:tcPr>
          <w:p w14:paraId="74D26990">
            <w:pPr>
              <w:jc w:val="center"/>
              <w:rPr>
                <w:rFonts w:ascii="宋体" w:hAnsi="宋体" w:eastAsia="宋体" w:cs="宋体"/>
                <w:color w:val="auto"/>
                <w:sz w:val="18"/>
                <w:szCs w:val="18"/>
              </w:rPr>
            </w:pPr>
            <w:r>
              <w:rPr>
                <w:rFonts w:hint="eastAsia" w:ascii="宋体" w:hAnsi="宋体" w:eastAsia="宋体" w:cs="宋体"/>
                <w:color w:val="auto"/>
                <w:sz w:val="18"/>
                <w:szCs w:val="18"/>
              </w:rPr>
              <w:t>履约保证金</w:t>
            </w:r>
          </w:p>
        </w:tc>
        <w:tc>
          <w:tcPr>
            <w:tcW w:w="6565" w:type="dxa"/>
            <w:vAlign w:val="center"/>
          </w:tcPr>
          <w:p w14:paraId="42C1CB4D">
            <w:pPr>
              <w:jc w:val="left"/>
              <w:rPr>
                <w:rFonts w:ascii="宋体" w:hAnsi="宋体" w:eastAsia="宋体" w:cs="宋体"/>
                <w:color w:val="auto"/>
                <w:sz w:val="18"/>
                <w:szCs w:val="18"/>
              </w:rPr>
            </w:pPr>
            <w:r>
              <w:rPr>
                <w:rFonts w:hint="eastAsia" w:ascii="宋体" w:hAnsi="宋体" w:eastAsia="宋体" w:cs="宋体"/>
                <w:color w:val="auto"/>
                <w:sz w:val="18"/>
                <w:szCs w:val="18"/>
              </w:rPr>
              <w:t>本项目不要求</w:t>
            </w:r>
          </w:p>
        </w:tc>
      </w:tr>
      <w:tr w14:paraId="5D10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1FCCA71">
            <w:pPr>
              <w:jc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1710" w:type="dxa"/>
            <w:vAlign w:val="center"/>
          </w:tcPr>
          <w:p w14:paraId="3F0E0C02">
            <w:pPr>
              <w:jc w:val="center"/>
              <w:rPr>
                <w:rFonts w:ascii="宋体" w:hAnsi="宋体" w:eastAsia="宋体" w:cs="宋体"/>
                <w:color w:val="auto"/>
                <w:sz w:val="18"/>
                <w:szCs w:val="18"/>
              </w:rPr>
            </w:pPr>
            <w:r>
              <w:rPr>
                <w:rFonts w:hint="eastAsia" w:ascii="宋体" w:hAnsi="宋体" w:eastAsia="宋体" w:cs="宋体"/>
                <w:color w:val="auto"/>
                <w:sz w:val="18"/>
                <w:szCs w:val="18"/>
              </w:rPr>
              <w:t>现场踏勘和集中答疑</w:t>
            </w:r>
          </w:p>
        </w:tc>
        <w:tc>
          <w:tcPr>
            <w:tcW w:w="6565" w:type="dxa"/>
            <w:vAlign w:val="center"/>
          </w:tcPr>
          <w:p w14:paraId="6E356052">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 xml:space="preserve"> 组织</w:t>
            </w:r>
          </w:p>
          <w:p w14:paraId="6AFD2E97">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 xml:space="preserve"> 不组织</w:t>
            </w:r>
          </w:p>
        </w:tc>
      </w:tr>
      <w:tr w14:paraId="0694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F1BF3DB">
            <w:pPr>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1710" w:type="dxa"/>
            <w:vAlign w:val="center"/>
          </w:tcPr>
          <w:p w14:paraId="78388483">
            <w:pPr>
              <w:jc w:val="center"/>
              <w:rPr>
                <w:rFonts w:ascii="宋体" w:hAnsi="宋体" w:eastAsia="宋体" w:cs="宋体"/>
                <w:color w:val="auto"/>
                <w:sz w:val="18"/>
                <w:szCs w:val="18"/>
              </w:rPr>
            </w:pPr>
            <w:r>
              <w:rPr>
                <w:rFonts w:hint="eastAsia" w:ascii="宋体" w:hAnsi="宋体" w:eastAsia="宋体" w:cs="宋体"/>
                <w:color w:val="auto"/>
                <w:sz w:val="18"/>
                <w:szCs w:val="18"/>
              </w:rPr>
              <w:t>价格分比重</w:t>
            </w:r>
          </w:p>
        </w:tc>
        <w:tc>
          <w:tcPr>
            <w:tcW w:w="6565" w:type="dxa"/>
            <w:vAlign w:val="center"/>
          </w:tcPr>
          <w:p w14:paraId="0F138A81">
            <w:pPr>
              <w:jc w:val="left"/>
              <w:rPr>
                <w:rFonts w:ascii="宋体" w:hAnsi="宋体" w:eastAsia="宋体" w:cs="宋体"/>
                <w:color w:val="auto"/>
                <w:sz w:val="18"/>
                <w:szCs w:val="18"/>
              </w:rPr>
            </w:pPr>
            <w:r>
              <w:rPr>
                <w:rFonts w:hint="eastAsia" w:ascii="宋体" w:hAnsi="宋体" w:eastAsia="宋体" w:cs="宋体"/>
                <w:color w:val="auto"/>
                <w:sz w:val="18"/>
                <w:szCs w:val="18"/>
              </w:rPr>
              <w:t>占总分值的</w:t>
            </w:r>
            <w:r>
              <w:rPr>
                <w:rFonts w:hint="eastAsia" w:ascii="宋体" w:hAnsi="宋体" w:eastAsia="宋体" w:cs="宋体"/>
                <w:color w:val="auto"/>
                <w:sz w:val="18"/>
                <w:szCs w:val="18"/>
                <w:u w:val="single"/>
              </w:rPr>
              <w:t xml:space="preserve">  30  </w:t>
            </w:r>
            <w:r>
              <w:rPr>
                <w:rFonts w:hint="eastAsia" w:ascii="宋体" w:hAnsi="宋体" w:eastAsia="宋体" w:cs="宋体"/>
                <w:color w:val="auto"/>
                <w:sz w:val="18"/>
                <w:szCs w:val="18"/>
              </w:rPr>
              <w:t>%</w:t>
            </w:r>
          </w:p>
          <w:p w14:paraId="37728D0F">
            <w:pPr>
              <w:jc w:val="left"/>
              <w:rPr>
                <w:rFonts w:ascii="宋体" w:hAnsi="宋体" w:eastAsia="宋体" w:cs="宋体"/>
                <w:color w:val="auto"/>
                <w:sz w:val="18"/>
                <w:szCs w:val="18"/>
              </w:rPr>
            </w:pPr>
            <w:r>
              <w:rPr>
                <w:rFonts w:hint="eastAsia" w:ascii="宋体" w:hAnsi="宋体" w:eastAsia="宋体" w:cs="宋体"/>
                <w:color w:val="auto"/>
                <w:sz w:val="18"/>
                <w:szCs w:val="18"/>
              </w:rPr>
              <w:t>[招标]根据《政府采购货物和服务招标投标管理办法》（财政部87号令）的规定，综合评分法货物项目的价格分值占总分值的比重不得低于30%。执行国家统一定价标准和采用固定价格采购的项目，其价格不列为评审因素。</w:t>
            </w:r>
          </w:p>
        </w:tc>
      </w:tr>
      <w:tr w14:paraId="7E0C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05" w:type="dxa"/>
            <w:vAlign w:val="center"/>
          </w:tcPr>
          <w:p w14:paraId="1D505BDD">
            <w:pPr>
              <w:jc w:val="center"/>
              <w:rPr>
                <w:rFonts w:ascii="宋体" w:hAnsi="宋体" w:eastAsia="宋体" w:cs="宋体"/>
                <w:color w:val="auto"/>
                <w:sz w:val="18"/>
                <w:szCs w:val="18"/>
              </w:rPr>
            </w:pPr>
            <w:r>
              <w:rPr>
                <w:rFonts w:hint="eastAsia" w:ascii="宋体" w:hAnsi="宋体" w:eastAsia="宋体" w:cs="宋体"/>
                <w:color w:val="auto"/>
                <w:sz w:val="18"/>
                <w:szCs w:val="18"/>
              </w:rPr>
              <w:t>9</w:t>
            </w:r>
          </w:p>
        </w:tc>
        <w:tc>
          <w:tcPr>
            <w:tcW w:w="1710" w:type="dxa"/>
            <w:vAlign w:val="center"/>
          </w:tcPr>
          <w:p w14:paraId="5BD249C8">
            <w:pPr>
              <w:jc w:val="center"/>
              <w:rPr>
                <w:rFonts w:ascii="宋体" w:hAnsi="宋体" w:eastAsia="宋体" w:cs="宋体"/>
                <w:color w:val="auto"/>
                <w:sz w:val="18"/>
                <w:szCs w:val="18"/>
              </w:rPr>
            </w:pPr>
            <w:r>
              <w:rPr>
                <w:rFonts w:hint="eastAsia" w:ascii="宋体" w:hAnsi="宋体" w:eastAsia="宋体" w:cs="宋体"/>
                <w:color w:val="auto"/>
                <w:sz w:val="18"/>
                <w:szCs w:val="18"/>
              </w:rPr>
              <w:t>合同类型</w:t>
            </w:r>
          </w:p>
        </w:tc>
        <w:tc>
          <w:tcPr>
            <w:tcW w:w="6565" w:type="dxa"/>
            <w:vAlign w:val="center"/>
          </w:tcPr>
          <w:p w14:paraId="1126ECC5">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 xml:space="preserve"> 固定总价</w:t>
            </w:r>
          </w:p>
          <w:p w14:paraId="52D6F0B8">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 xml:space="preserve"> 固定单价</w:t>
            </w:r>
          </w:p>
        </w:tc>
      </w:tr>
      <w:tr w14:paraId="399C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905" w:type="dxa"/>
            <w:vAlign w:val="center"/>
          </w:tcPr>
          <w:p w14:paraId="5577270A">
            <w:pPr>
              <w:jc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1710" w:type="dxa"/>
            <w:vAlign w:val="center"/>
          </w:tcPr>
          <w:p w14:paraId="24A00D7F">
            <w:pPr>
              <w:jc w:val="center"/>
              <w:rPr>
                <w:rFonts w:ascii="宋体" w:hAnsi="宋体" w:eastAsia="宋体" w:cs="宋体"/>
                <w:color w:val="auto"/>
                <w:sz w:val="18"/>
                <w:szCs w:val="18"/>
              </w:rPr>
            </w:pPr>
            <w:r>
              <w:rPr>
                <w:rFonts w:hint="eastAsia" w:ascii="宋体" w:hAnsi="宋体" w:eastAsia="宋体" w:cs="宋体"/>
                <w:color w:val="auto"/>
                <w:sz w:val="18"/>
                <w:szCs w:val="18"/>
              </w:rPr>
              <w:t>争议解决途径</w:t>
            </w:r>
          </w:p>
        </w:tc>
        <w:tc>
          <w:tcPr>
            <w:tcW w:w="6565" w:type="dxa"/>
            <w:vAlign w:val="center"/>
          </w:tcPr>
          <w:p w14:paraId="0D77C773">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position w:val="-3"/>
                <w:sz w:val="27"/>
                <w:szCs w:val="18"/>
                <w:lang w:eastAsia="zh-CN"/>
              </w:rPr>
              <w:instrText xml:space="preserve">,</w:instrText>
            </w:r>
            <w:r>
              <w:rPr>
                <w:rFonts w:hint="eastAsia" w:ascii="宋体" w:hAnsi="宋体" w:eastAsia="宋体" w:cs="宋体"/>
                <w:color w:val="auto"/>
                <w:position w:val="0"/>
                <w:sz w:val="18"/>
                <w:szCs w:val="18"/>
                <w:lang w:eastAsia="zh-CN"/>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向有管辖权的人民法院提起诉讼</w:t>
            </w:r>
          </w:p>
          <w:p w14:paraId="67E938BF">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向西安仲裁委员会提请仲裁</w:t>
            </w:r>
          </w:p>
          <w:p w14:paraId="741E4C43">
            <w:pPr>
              <w:jc w:val="left"/>
              <w:rPr>
                <w:rFonts w:ascii="宋体" w:hAnsi="宋体" w:eastAsia="宋体" w:cs="宋体"/>
                <w:color w:val="auto"/>
                <w:sz w:val="18"/>
                <w:szCs w:val="18"/>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eq \o\ac(</w:instrText>
            </w:r>
            <w:r>
              <w:rPr>
                <w:rFonts w:hint="eastAsia" w:ascii="宋体" w:hAnsi="宋体" w:eastAsia="宋体" w:cs="宋体"/>
                <w:color w:val="auto"/>
                <w:position w:val="-3"/>
                <w:sz w:val="27"/>
                <w:szCs w:val="18"/>
              </w:rPr>
              <w:instrText xml:space="preserve">□</w:instrText>
            </w:r>
            <w:r>
              <w:rPr>
                <w:rFonts w:hint="eastAsia" w:ascii="宋体" w:hAnsi="宋体" w:eastAsia="宋体" w:cs="宋体"/>
                <w:color w:val="auto"/>
                <w:sz w:val="18"/>
                <w:szCs w:val="18"/>
              </w:rPr>
              <w:instrText xml:space="preserve">)</w:instrTex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rPr>
              <w:t>由供应商做出选择</w:t>
            </w:r>
          </w:p>
        </w:tc>
      </w:tr>
      <w:tr w14:paraId="4097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vAlign w:val="center"/>
          </w:tcPr>
          <w:p w14:paraId="70BB23A3">
            <w:pPr>
              <w:jc w:val="center"/>
              <w:rPr>
                <w:rFonts w:ascii="宋体" w:hAnsi="宋体" w:eastAsia="宋体" w:cs="宋体"/>
                <w:color w:val="auto"/>
                <w:sz w:val="18"/>
                <w:szCs w:val="18"/>
              </w:rPr>
            </w:pPr>
            <w:r>
              <w:rPr>
                <w:rFonts w:hint="eastAsia" w:ascii="宋体" w:hAnsi="宋体" w:eastAsia="宋体" w:cs="宋体"/>
                <w:color w:val="auto"/>
                <w:sz w:val="18"/>
                <w:szCs w:val="18"/>
              </w:rPr>
              <w:t>11</w:t>
            </w:r>
          </w:p>
        </w:tc>
        <w:tc>
          <w:tcPr>
            <w:tcW w:w="1710" w:type="dxa"/>
            <w:vAlign w:val="center"/>
          </w:tcPr>
          <w:p w14:paraId="655E7917">
            <w:pPr>
              <w:jc w:val="center"/>
              <w:rPr>
                <w:rFonts w:ascii="宋体" w:hAnsi="宋体" w:eastAsia="宋体" w:cs="宋体"/>
                <w:color w:val="auto"/>
                <w:sz w:val="18"/>
                <w:szCs w:val="18"/>
              </w:rPr>
            </w:pPr>
            <w:r>
              <w:rPr>
                <w:rFonts w:hint="eastAsia" w:ascii="宋体" w:hAnsi="宋体" w:eastAsia="宋体" w:cs="宋体"/>
                <w:color w:val="auto"/>
                <w:sz w:val="18"/>
                <w:szCs w:val="18"/>
              </w:rPr>
              <w:t>联系方式</w:t>
            </w:r>
          </w:p>
        </w:tc>
        <w:tc>
          <w:tcPr>
            <w:tcW w:w="6565" w:type="dxa"/>
            <w:vAlign w:val="center"/>
          </w:tcPr>
          <w:p w14:paraId="102386E0">
            <w:pPr>
              <w:jc w:val="left"/>
              <w:rPr>
                <w:rFonts w:ascii="宋体" w:hAnsi="宋体" w:eastAsia="宋体" w:cs="宋体"/>
                <w:color w:val="auto"/>
                <w:sz w:val="18"/>
                <w:szCs w:val="18"/>
                <w:u w:val="single"/>
              </w:rPr>
            </w:pPr>
            <w:r>
              <w:rPr>
                <w:rFonts w:hint="eastAsia" w:ascii="宋体" w:hAnsi="宋体" w:eastAsia="宋体" w:cs="宋体"/>
                <w:color w:val="auto"/>
                <w:sz w:val="18"/>
                <w:szCs w:val="18"/>
              </w:rPr>
              <w:t>项目对接人：</w:t>
            </w:r>
            <w:r>
              <w:rPr>
                <w:rFonts w:hint="eastAsia" w:ascii="宋体" w:hAnsi="宋体" w:eastAsia="宋体" w:cs="宋体"/>
                <w:color w:val="auto"/>
                <w:sz w:val="18"/>
                <w:szCs w:val="18"/>
                <w:u w:val="single"/>
              </w:rPr>
              <w:t xml:space="preserve"> 苟老师      </w:t>
            </w:r>
          </w:p>
          <w:p w14:paraId="7522080F">
            <w:pPr>
              <w:jc w:val="left"/>
              <w:rPr>
                <w:rFonts w:ascii="宋体" w:hAnsi="宋体" w:eastAsia="宋体" w:cs="宋体"/>
                <w:color w:val="auto"/>
                <w:sz w:val="18"/>
                <w:szCs w:val="18"/>
                <w:u w:val="single"/>
              </w:rPr>
            </w:pPr>
            <w:r>
              <w:rPr>
                <w:rFonts w:hint="eastAsia" w:ascii="宋体" w:hAnsi="宋体" w:eastAsia="宋体" w:cs="宋体"/>
                <w:color w:val="auto"/>
                <w:sz w:val="18"/>
                <w:szCs w:val="18"/>
              </w:rPr>
              <w:t>联系电话：</w:t>
            </w:r>
            <w:r>
              <w:rPr>
                <w:rFonts w:hint="eastAsia" w:ascii="宋体" w:hAnsi="宋体" w:eastAsia="宋体" w:cs="宋体"/>
                <w:color w:val="auto"/>
                <w:sz w:val="18"/>
                <w:szCs w:val="18"/>
                <w:u w:val="single"/>
              </w:rPr>
              <w:t xml:space="preserve"> 18992803753   </w:t>
            </w:r>
          </w:p>
          <w:p w14:paraId="5ECB4F25">
            <w:pPr>
              <w:jc w:val="left"/>
              <w:rPr>
                <w:rFonts w:ascii="宋体" w:hAnsi="宋体" w:eastAsia="宋体" w:cs="宋体"/>
                <w:color w:val="auto"/>
                <w:sz w:val="18"/>
                <w:szCs w:val="18"/>
              </w:rPr>
            </w:pPr>
            <w:r>
              <w:rPr>
                <w:rFonts w:hint="eastAsia" w:ascii="宋体" w:hAnsi="宋体" w:eastAsia="宋体" w:cs="宋体"/>
                <w:color w:val="auto"/>
                <w:sz w:val="18"/>
                <w:szCs w:val="18"/>
              </w:rPr>
              <w:t>电子邮箱：</w:t>
            </w:r>
            <w:r>
              <w:rPr>
                <w:rFonts w:hint="eastAsia" w:ascii="宋体" w:hAnsi="宋体" w:eastAsia="宋体" w:cs="宋体"/>
                <w:color w:val="auto"/>
                <w:sz w:val="18"/>
                <w:szCs w:val="18"/>
                <w:u w:val="single"/>
              </w:rPr>
              <w:t xml:space="preserve"> /             </w:t>
            </w:r>
          </w:p>
        </w:tc>
      </w:tr>
    </w:tbl>
    <w:p w14:paraId="6FFF8244">
      <w:r>
        <w:rPr>
          <w:rFonts w:hint="eastAsia"/>
        </w:rPr>
        <w:br w:type="page"/>
      </w:r>
    </w:p>
    <w:p w14:paraId="4172AA52">
      <w:pPr>
        <w:jc w:val="center"/>
        <w:rPr>
          <w:b/>
          <w:bCs/>
          <w:sz w:val="28"/>
          <w:szCs w:val="36"/>
        </w:rPr>
      </w:pPr>
      <w:r>
        <w:rPr>
          <w:rFonts w:hint="eastAsia"/>
          <w:b/>
          <w:bCs/>
          <w:sz w:val="28"/>
          <w:szCs w:val="36"/>
        </w:rPr>
        <w:t>需求框架（货物类）</w:t>
      </w:r>
    </w:p>
    <w:p w14:paraId="295DAD4D">
      <w:pPr>
        <w:numPr>
          <w:ilvl w:val="0"/>
          <w:numId w:val="3"/>
        </w:numPr>
        <w:spacing w:line="360" w:lineRule="auto"/>
        <w:rPr>
          <w:rFonts w:asciiTheme="minorEastAsia" w:hAnsiTheme="minorEastAsia" w:cstheme="minorEastAsia"/>
          <w:color w:val="000000"/>
          <w:szCs w:val="21"/>
        </w:rPr>
      </w:pPr>
      <w:r>
        <w:rPr>
          <w:rFonts w:hint="eastAsia" w:asciiTheme="minorEastAsia" w:hAnsiTheme="minorEastAsia" w:cstheme="minorEastAsia"/>
          <w:b/>
          <w:bCs/>
          <w:szCs w:val="21"/>
        </w:rPr>
        <w:t>项目概况</w:t>
      </w:r>
    </w:p>
    <w:p w14:paraId="3F36E10A">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西安市碑林区第六中学</w:t>
      </w:r>
      <w:r>
        <w:rPr>
          <w:rFonts w:hint="eastAsia" w:asciiTheme="minorEastAsia" w:hAnsiTheme="minorEastAsia" w:cstheme="minorEastAsia"/>
          <w:szCs w:val="21"/>
          <w:lang w:eastAsia="zh-CN"/>
        </w:rPr>
        <w:t>校园安全体验室项目</w:t>
      </w:r>
      <w:r>
        <w:rPr>
          <w:rFonts w:hint="eastAsia" w:asciiTheme="minorEastAsia" w:hAnsiTheme="minorEastAsia" w:cstheme="minorEastAsia"/>
          <w:szCs w:val="21"/>
        </w:rPr>
        <w:t>。包括沉浸式 VR 安全体验系统、自然灾害系统等八大主题设备等，旨在加强学生安全防范意识。要求质量符合国家及行业相关标准，满足采购人教学使用。</w:t>
      </w:r>
    </w:p>
    <w:p w14:paraId="45CDD9CA">
      <w:pPr>
        <w:numPr>
          <w:ilvl w:val="0"/>
          <w:numId w:val="3"/>
        </w:numPr>
        <w:tabs>
          <w:tab w:val="left" w:pos="630"/>
        </w:tabs>
        <w:spacing w:line="360" w:lineRule="auto"/>
        <w:rPr>
          <w:rFonts w:asciiTheme="minorEastAsia" w:hAnsiTheme="minorEastAsia" w:cstheme="minorEastAsia"/>
          <w:color w:val="000000"/>
          <w:szCs w:val="21"/>
        </w:rPr>
      </w:pPr>
      <w:r>
        <w:rPr>
          <w:rFonts w:hint="eastAsia" w:asciiTheme="minorEastAsia" w:hAnsiTheme="minorEastAsia" w:cstheme="minorEastAsia"/>
          <w:b/>
          <w:bCs/>
          <w:szCs w:val="21"/>
        </w:rPr>
        <w:t>采购内容</w:t>
      </w:r>
    </w:p>
    <w:p w14:paraId="6C8B6ED6">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西安市碑林区第六中学</w:t>
      </w:r>
      <w:r>
        <w:rPr>
          <w:rFonts w:hint="eastAsia" w:asciiTheme="minorEastAsia" w:hAnsiTheme="minorEastAsia" w:cstheme="minorEastAsia"/>
          <w:szCs w:val="21"/>
          <w:lang w:eastAsia="zh-CN"/>
        </w:rPr>
        <w:t>校园安全体验室项目</w:t>
      </w:r>
      <w:r>
        <w:rPr>
          <w:rFonts w:hint="eastAsia" w:asciiTheme="minorEastAsia" w:hAnsiTheme="minorEastAsia" w:cstheme="minorEastAsia"/>
          <w:szCs w:val="21"/>
        </w:rPr>
        <w:t>，包括沉浸式 VR 安全体验系统、自然灾害系统等八大主题设备等。</w:t>
      </w:r>
    </w:p>
    <w:p w14:paraId="76A0E184">
      <w:pPr>
        <w:numPr>
          <w:ilvl w:val="0"/>
          <w:numId w:val="3"/>
        </w:numPr>
        <w:tabs>
          <w:tab w:val="left" w:pos="630"/>
        </w:tabs>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技术要求</w:t>
      </w:r>
    </w:p>
    <w:p w14:paraId="47E2B98B">
      <w:pPr>
        <w:tabs>
          <w:tab w:val="left" w:pos="1440"/>
        </w:tabs>
        <w:spacing w:line="360" w:lineRule="auto"/>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详见招标文件</w:t>
      </w:r>
    </w:p>
    <w:p w14:paraId="61A94B2A">
      <w:pPr>
        <w:numPr>
          <w:ilvl w:val="0"/>
          <w:numId w:val="3"/>
        </w:num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服务要求</w:t>
      </w:r>
    </w:p>
    <w:p w14:paraId="7B505292">
      <w:pPr>
        <w:spacing w:before="65" w:line="228" w:lineRule="auto"/>
        <w:ind w:left="513"/>
        <w:rPr>
          <w:rFonts w:ascii="宋体" w:hAnsi="宋体" w:eastAsia="宋体" w:cs="宋体"/>
          <w:b/>
          <w:bCs/>
          <w:sz w:val="20"/>
          <w:szCs w:val="20"/>
        </w:rPr>
      </w:pPr>
      <w:r>
        <w:rPr>
          <w:rFonts w:ascii="宋体" w:hAnsi="宋体" w:eastAsia="宋体" w:cs="宋体"/>
          <w:b/>
          <w:bCs/>
          <w:spacing w:val="6"/>
          <w:sz w:val="20"/>
          <w:szCs w:val="20"/>
        </w:rPr>
        <w:t>1</w:t>
      </w:r>
      <w:r>
        <w:rPr>
          <w:rFonts w:hint="eastAsia" w:ascii="宋体" w:hAnsi="宋体" w:eastAsia="宋体" w:cs="宋体"/>
          <w:b/>
          <w:bCs/>
          <w:spacing w:val="6"/>
          <w:sz w:val="20"/>
          <w:szCs w:val="20"/>
        </w:rPr>
        <w:t>.</w:t>
      </w:r>
      <w:r>
        <w:rPr>
          <w:rFonts w:ascii="宋体" w:hAnsi="宋体" w:eastAsia="宋体" w:cs="宋体"/>
          <w:b/>
          <w:bCs/>
          <w:spacing w:val="6"/>
          <w:sz w:val="20"/>
          <w:szCs w:val="20"/>
        </w:rPr>
        <w:t>技术服务要求：</w:t>
      </w:r>
    </w:p>
    <w:p w14:paraId="6300D86A">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供应商应</w:t>
      </w:r>
      <w:r>
        <w:rPr>
          <w:rFonts w:hint="eastAsia" w:asciiTheme="minorEastAsia" w:hAnsiTheme="minorEastAsia" w:cstheme="minorEastAsia"/>
          <w:szCs w:val="21"/>
        </w:rPr>
        <w:t>完成安装调试，保证不影响采购人开学使用。</w:t>
      </w:r>
    </w:p>
    <w:p w14:paraId="031C5352">
      <w:pPr>
        <w:spacing w:before="164" w:line="228" w:lineRule="auto"/>
        <w:ind w:left="513"/>
        <w:rPr>
          <w:rFonts w:ascii="宋体" w:hAnsi="宋体" w:eastAsia="宋体" w:cs="宋体"/>
          <w:b/>
          <w:bCs/>
          <w:sz w:val="20"/>
          <w:szCs w:val="20"/>
        </w:rPr>
      </w:pPr>
      <w:r>
        <w:rPr>
          <w:rFonts w:hint="eastAsia" w:ascii="宋体" w:hAnsi="宋体" w:eastAsia="宋体" w:cs="宋体"/>
          <w:b/>
          <w:bCs/>
          <w:spacing w:val="6"/>
          <w:sz w:val="20"/>
          <w:szCs w:val="20"/>
        </w:rPr>
        <w:t>2.</w:t>
      </w:r>
      <w:r>
        <w:rPr>
          <w:rFonts w:ascii="宋体" w:hAnsi="宋体" w:eastAsia="宋体" w:cs="宋体"/>
          <w:b/>
          <w:bCs/>
          <w:spacing w:val="6"/>
          <w:sz w:val="20"/>
          <w:szCs w:val="20"/>
        </w:rPr>
        <w:t>售后服务要求：</w:t>
      </w:r>
    </w:p>
    <w:p w14:paraId="1405443D">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（1）乙方须指派专人负责与采购人联系售后服务事宜；</w:t>
      </w:r>
    </w:p>
    <w:p w14:paraId="34A35D9F">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（2）货物（产品）的现场安装、调试和启动监督；</w:t>
      </w:r>
    </w:p>
    <w:p w14:paraId="3A32EB47">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就货物的安装、启动、运行及维护等对采购人的人员进行免费培训。主要培训内容为货物的基本结构、性能、主要部件的构造及处理，日常使用操作、保养与管理、常见故障的排除、紧急情况的处理等，如采购人未使用过同类型货物，中标人还需就货物的功能对采购人的人员进行相应的技术培训，培训地点主要在货物安装现场或由采购人安排；</w:t>
      </w:r>
    </w:p>
    <w:p w14:paraId="5EB1AAD9">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（4）质保期自采购人在货物质量验收单（终验）上签字之日起计算；</w:t>
      </w:r>
    </w:p>
    <w:p w14:paraId="0C4AB6CE">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（5）质保期内，</w:t>
      </w:r>
      <w:r>
        <w:rPr>
          <w:rFonts w:hint="eastAsia" w:asciiTheme="minorEastAsia" w:hAnsiTheme="minorEastAsia" w:cstheme="minorEastAsia"/>
          <w:szCs w:val="21"/>
          <w:lang w:val="en-US" w:eastAsia="zh-CN"/>
        </w:rPr>
        <w:t>供应商</w:t>
      </w:r>
      <w:r>
        <w:rPr>
          <w:rFonts w:hint="eastAsia" w:asciiTheme="minorEastAsia" w:hAnsiTheme="minorEastAsia" w:cstheme="minorEastAsia"/>
          <w:szCs w:val="21"/>
        </w:rPr>
        <w:t>负责对其提供的货物整机进行维修和系统维护，不再收取任何费用，但不可抗力（如火灾、雷击等）造成的故障除外；</w:t>
      </w:r>
    </w:p>
    <w:p w14:paraId="5915FE7D">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（6）货物故障报修的响应时间为：工作期间（星期一至星期五8：00-18：00）为4时；非工作期间为8小时；</w:t>
      </w:r>
    </w:p>
    <w:p w14:paraId="7956E05C">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（7）</w:t>
      </w:r>
      <w:r>
        <w:rPr>
          <w:rFonts w:hint="eastAsia" w:asciiTheme="minorEastAsia" w:hAnsiTheme="minorEastAsia" w:cstheme="minorEastAsia"/>
          <w:szCs w:val="21"/>
          <w:lang w:val="en-US" w:eastAsia="zh-CN"/>
        </w:rPr>
        <w:t>供应商</w:t>
      </w:r>
      <w:r>
        <w:rPr>
          <w:rFonts w:hint="eastAsia" w:asciiTheme="minorEastAsia" w:hAnsiTheme="minorEastAsia" w:cstheme="minorEastAsia"/>
          <w:szCs w:val="21"/>
        </w:rPr>
        <w:t>在接到采购人通知后须72小时内完成维修或更换，并承担修理或更换的费用；</w:t>
      </w:r>
    </w:p>
    <w:p w14:paraId="25E1DF0E">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（8）所有货物服务方式均为中标人上门服务，即由</w:t>
      </w:r>
      <w:r>
        <w:rPr>
          <w:rFonts w:hint="eastAsia" w:asciiTheme="minorEastAsia" w:hAnsiTheme="minorEastAsia" w:cstheme="minorEastAsia"/>
          <w:szCs w:val="21"/>
          <w:lang w:val="en-US" w:eastAsia="zh-CN"/>
        </w:rPr>
        <w:t>供应商</w:t>
      </w:r>
      <w:r>
        <w:rPr>
          <w:rFonts w:hint="eastAsia" w:asciiTheme="minorEastAsia" w:hAnsiTheme="minorEastAsia" w:cstheme="minorEastAsia"/>
          <w:szCs w:val="21"/>
        </w:rPr>
        <w:t>派</w:t>
      </w:r>
      <w:r>
        <w:rPr>
          <w:rFonts w:hint="eastAsia" w:asciiTheme="minorEastAsia" w:hAnsiTheme="minorEastAsia" w:cstheme="minorEastAsia"/>
          <w:szCs w:val="21"/>
          <w:lang w:val="en-US" w:eastAsia="zh-CN"/>
        </w:rPr>
        <w:t>人</w:t>
      </w:r>
      <w:r>
        <w:rPr>
          <w:rFonts w:hint="eastAsia" w:asciiTheme="minorEastAsia" w:hAnsiTheme="minorEastAsia" w:cstheme="minorEastAsia"/>
          <w:szCs w:val="21"/>
        </w:rPr>
        <w:t>员到货物使用现场维修，由此产生的一切费用均由</w:t>
      </w:r>
      <w:r>
        <w:rPr>
          <w:rFonts w:hint="eastAsia" w:asciiTheme="minorEastAsia" w:hAnsiTheme="minorEastAsia" w:cstheme="minorEastAsia"/>
          <w:szCs w:val="21"/>
          <w:lang w:val="en-US" w:eastAsia="zh-CN"/>
        </w:rPr>
        <w:t>供应商</w:t>
      </w:r>
      <w:r>
        <w:rPr>
          <w:rFonts w:hint="eastAsia" w:asciiTheme="minorEastAsia" w:hAnsiTheme="minorEastAsia" w:cstheme="minorEastAsia"/>
          <w:szCs w:val="21"/>
        </w:rPr>
        <w:t>承担；</w:t>
      </w:r>
    </w:p>
    <w:p w14:paraId="6B1CA330">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（9）质保期结束后的货物维修、维护由双方协商再定；</w:t>
      </w:r>
    </w:p>
    <w:p w14:paraId="56EDF0E5">
      <w:pPr>
        <w:pStyle w:val="4"/>
        <w:spacing w:line="360" w:lineRule="auto"/>
        <w:ind w:firstLine="0"/>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五、商务要求</w:t>
      </w:r>
    </w:p>
    <w:p w14:paraId="745877F5">
      <w:pPr>
        <w:spacing w:before="161" w:line="340" w:lineRule="auto"/>
        <w:ind w:left="135" w:right="386" w:firstLine="323"/>
        <w:rPr>
          <w:rFonts w:ascii="宋体" w:hAnsi="宋体" w:eastAsia="宋体" w:cs="宋体"/>
          <w:b/>
          <w:bCs/>
          <w:spacing w:val="8"/>
          <w:sz w:val="20"/>
          <w:szCs w:val="20"/>
        </w:rPr>
      </w:pPr>
      <w:r>
        <w:rPr>
          <w:rFonts w:hint="eastAsia" w:ascii="宋体" w:hAnsi="宋体" w:eastAsia="宋体" w:cs="宋体"/>
          <w:b/>
          <w:bCs/>
          <w:spacing w:val="8"/>
          <w:sz w:val="20"/>
          <w:szCs w:val="20"/>
        </w:rPr>
        <w:t>1.进度要求</w:t>
      </w:r>
    </w:p>
    <w:p w14:paraId="092148E8">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交付期</w:t>
      </w:r>
      <w:r>
        <w:rPr>
          <w:rFonts w:hint="eastAsia" w:asciiTheme="minorEastAsia" w:hAnsiTheme="minorEastAsia" w:cstheme="minorEastAsia"/>
          <w:szCs w:val="21"/>
          <w:lang w:eastAsia="zh-CN"/>
        </w:rPr>
        <w:t>：</w:t>
      </w:r>
      <w:r>
        <w:rPr>
          <w:rFonts w:hint="eastAsia" w:asciiTheme="minorEastAsia" w:hAnsiTheme="minorEastAsia" w:cstheme="minorEastAsia"/>
          <w:szCs w:val="21"/>
        </w:rPr>
        <w:t>合同签订后30天(交货、安装调试可投入正常使用)</w:t>
      </w:r>
    </w:p>
    <w:p w14:paraId="2D7507FB">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交付地点</w:t>
      </w:r>
      <w:r>
        <w:rPr>
          <w:rFonts w:hint="eastAsia" w:asciiTheme="minorEastAsia" w:hAnsiTheme="minorEastAsia" w:cstheme="minorEastAsia"/>
          <w:szCs w:val="21"/>
          <w:lang w:eastAsia="zh-CN"/>
        </w:rPr>
        <w:t>：</w:t>
      </w:r>
      <w:r>
        <w:rPr>
          <w:rFonts w:hint="eastAsia" w:asciiTheme="minorEastAsia" w:hAnsiTheme="minorEastAsia" w:cstheme="minorEastAsia"/>
          <w:szCs w:val="21"/>
        </w:rPr>
        <w:t>采购人指定地点</w:t>
      </w:r>
    </w:p>
    <w:p w14:paraId="07AAAE96">
      <w:pPr>
        <w:spacing w:before="161" w:line="340" w:lineRule="auto"/>
        <w:ind w:left="135" w:right="386" w:firstLine="323"/>
        <w:rPr>
          <w:rFonts w:ascii="宋体" w:hAnsi="宋体" w:eastAsia="宋体" w:cs="宋体"/>
          <w:b/>
          <w:bCs/>
          <w:spacing w:val="8"/>
          <w:sz w:val="20"/>
          <w:szCs w:val="20"/>
        </w:rPr>
      </w:pPr>
      <w:r>
        <w:rPr>
          <w:rFonts w:hint="eastAsia" w:ascii="宋体" w:hAnsi="宋体" w:eastAsia="宋体" w:cs="宋体"/>
          <w:b/>
          <w:bCs/>
          <w:spacing w:val="8"/>
          <w:sz w:val="20"/>
          <w:szCs w:val="20"/>
        </w:rPr>
        <w:t>2.款项结算</w:t>
      </w:r>
    </w:p>
    <w:p w14:paraId="596B7520">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付款条件说明：</w:t>
      </w:r>
    </w:p>
    <w:p w14:paraId="7A14BB0D">
      <w:pPr>
        <w:tabs>
          <w:tab w:val="left" w:pos="1440"/>
        </w:tabs>
        <w:spacing w:line="360" w:lineRule="auto"/>
        <w:ind w:firstLine="420" w:firstLineChars="200"/>
        <w:rPr>
          <w:rFonts w:hint="eastAsia" w:asciiTheme="minorEastAsia" w:hAnsiTheme="minorEastAsia" w:cstheme="minorEastAsia"/>
          <w:szCs w:val="21"/>
          <w:lang w:eastAsia="zh-CN"/>
        </w:rPr>
      </w:pPr>
      <w:r>
        <w:rPr>
          <w:rFonts w:hint="eastAsia" w:asciiTheme="minorEastAsia" w:hAnsiTheme="minorEastAsia" w:cstheme="minorEastAsia"/>
          <w:szCs w:val="21"/>
          <w:lang w:val="en-US" w:eastAsia="zh-CN"/>
        </w:rPr>
        <w:t>①</w:t>
      </w:r>
      <w:r>
        <w:rPr>
          <w:rFonts w:hint="eastAsia" w:asciiTheme="minorEastAsia" w:hAnsiTheme="minorEastAsia" w:cstheme="minorEastAsia"/>
          <w:szCs w:val="21"/>
        </w:rPr>
        <w:t>合同签订后</w:t>
      </w:r>
      <w:r>
        <w:rPr>
          <w:rFonts w:hint="eastAsia" w:asciiTheme="minorEastAsia" w:hAnsiTheme="minorEastAsia" w:cstheme="minorEastAsia"/>
          <w:szCs w:val="21"/>
          <w:lang w:eastAsia="zh-CN"/>
        </w:rPr>
        <w:t>，</w:t>
      </w:r>
      <w:r>
        <w:rPr>
          <w:rFonts w:hint="eastAsia" w:asciiTheme="minorEastAsia" w:hAnsiTheme="minorEastAsia" w:cstheme="minorEastAsia"/>
          <w:szCs w:val="21"/>
        </w:rPr>
        <w:t>达到付款条件起20日内，支付合同总金额的40%</w:t>
      </w:r>
      <w:r>
        <w:rPr>
          <w:rFonts w:hint="eastAsia" w:asciiTheme="minorEastAsia" w:hAnsiTheme="minorEastAsia" w:cstheme="minorEastAsia"/>
          <w:szCs w:val="21"/>
          <w:lang w:eastAsia="zh-CN"/>
        </w:rPr>
        <w:t>；</w:t>
      </w:r>
    </w:p>
    <w:p w14:paraId="4E0157A2">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②</w:t>
      </w:r>
      <w:r>
        <w:rPr>
          <w:rFonts w:hint="eastAsia" w:asciiTheme="minorEastAsia" w:hAnsiTheme="minorEastAsia" w:cstheme="minorEastAsia"/>
          <w:szCs w:val="21"/>
        </w:rPr>
        <w:t>安装调试后</w:t>
      </w:r>
      <w:r>
        <w:rPr>
          <w:rFonts w:hint="eastAsia" w:asciiTheme="minorEastAsia" w:hAnsiTheme="minorEastAsia" w:cstheme="minorEastAsia"/>
          <w:szCs w:val="21"/>
          <w:lang w:eastAsia="zh-CN"/>
        </w:rPr>
        <w:t>，</w:t>
      </w:r>
      <w:r>
        <w:rPr>
          <w:rFonts w:hint="eastAsia" w:asciiTheme="minorEastAsia" w:hAnsiTheme="minorEastAsia" w:cstheme="minorEastAsia"/>
          <w:szCs w:val="21"/>
        </w:rPr>
        <w:t>达到付款条件起20日内，支付合同总金额的30%，</w:t>
      </w:r>
    </w:p>
    <w:p w14:paraId="4C91F508">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lang w:val="en-US" w:eastAsia="zh-CN"/>
        </w:rPr>
        <w:t>③</w:t>
      </w:r>
      <w:r>
        <w:rPr>
          <w:rFonts w:hint="eastAsia" w:asciiTheme="minorEastAsia" w:hAnsiTheme="minorEastAsia" w:cstheme="minorEastAsia"/>
          <w:szCs w:val="21"/>
        </w:rPr>
        <w:t>项目验收后</w:t>
      </w:r>
      <w:r>
        <w:rPr>
          <w:rFonts w:hint="eastAsia" w:asciiTheme="minorEastAsia" w:hAnsiTheme="minorEastAsia" w:cstheme="minorEastAsia"/>
          <w:szCs w:val="21"/>
          <w:lang w:eastAsia="zh-CN"/>
        </w:rPr>
        <w:t>，</w:t>
      </w:r>
      <w:r>
        <w:rPr>
          <w:rFonts w:hint="eastAsia" w:asciiTheme="minorEastAsia" w:hAnsiTheme="minorEastAsia" w:cstheme="minorEastAsia"/>
          <w:szCs w:val="21"/>
        </w:rPr>
        <w:t>达到付款条件起20日内，支付合同总金额的30%。</w:t>
      </w:r>
    </w:p>
    <w:p w14:paraId="48395FBC">
      <w:pPr>
        <w:pStyle w:val="4"/>
        <w:spacing w:line="360" w:lineRule="auto"/>
        <w:ind w:firstLine="0"/>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六、其他</w:t>
      </w:r>
    </w:p>
    <w:p w14:paraId="4FB830E3">
      <w:pPr>
        <w:tabs>
          <w:tab w:val="left" w:pos="1440"/>
        </w:tabs>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1.对投标的业绩要求</w:t>
      </w:r>
    </w:p>
    <w:p w14:paraId="34CBB570">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lang w:val="en-US" w:eastAsia="zh-CN"/>
        </w:rPr>
        <w:t>具</w:t>
      </w:r>
      <w:r>
        <w:rPr>
          <w:rFonts w:asciiTheme="minorEastAsia" w:hAnsiTheme="minorEastAsia" w:cstheme="minorEastAsia"/>
          <w:szCs w:val="21"/>
        </w:rPr>
        <w:t>有2021年1月1日至</w:t>
      </w:r>
      <w:r>
        <w:rPr>
          <w:rFonts w:hint="eastAsia" w:asciiTheme="minorEastAsia" w:hAnsiTheme="minorEastAsia" w:cstheme="minorEastAsia"/>
          <w:szCs w:val="21"/>
          <w:lang w:val="en-US" w:eastAsia="zh-CN"/>
        </w:rPr>
        <w:t>投标截止日</w:t>
      </w:r>
      <w:r>
        <w:rPr>
          <w:rFonts w:asciiTheme="minorEastAsia" w:hAnsiTheme="minorEastAsia" w:cstheme="minorEastAsia"/>
          <w:szCs w:val="21"/>
        </w:rPr>
        <w:t>（以合同签订时间为准）的</w:t>
      </w:r>
      <w:r>
        <w:rPr>
          <w:rFonts w:hint="eastAsia" w:asciiTheme="minorEastAsia" w:hAnsiTheme="minorEastAsia" w:cstheme="minorEastAsia"/>
          <w:szCs w:val="21"/>
          <w:lang w:val="en-US" w:eastAsia="zh-CN"/>
        </w:rPr>
        <w:t>同类项目业绩</w:t>
      </w:r>
      <w:r>
        <w:rPr>
          <w:rFonts w:asciiTheme="minorEastAsia" w:hAnsiTheme="minorEastAsia" w:cstheme="minorEastAsia"/>
          <w:szCs w:val="21"/>
        </w:rPr>
        <w:t>。每提供一</w:t>
      </w:r>
      <w:r>
        <w:rPr>
          <w:rFonts w:hint="eastAsia" w:asciiTheme="minorEastAsia" w:hAnsiTheme="minorEastAsia" w:cstheme="minorEastAsia"/>
          <w:szCs w:val="21"/>
          <w:lang w:val="en-US" w:eastAsia="zh-CN"/>
        </w:rPr>
        <w:t>份</w:t>
      </w:r>
      <w:r>
        <w:rPr>
          <w:rFonts w:asciiTheme="minorEastAsia" w:hAnsiTheme="minorEastAsia" w:cstheme="minorEastAsia"/>
          <w:szCs w:val="21"/>
        </w:rPr>
        <w:t>得</w:t>
      </w:r>
      <w:r>
        <w:rPr>
          <w:rFonts w:hint="eastAsia" w:asciiTheme="minorEastAsia" w:hAnsiTheme="minorEastAsia" w:cstheme="minorEastAsia"/>
          <w:szCs w:val="21"/>
          <w:lang w:val="en-US" w:eastAsia="zh-CN"/>
        </w:rPr>
        <w:t>1</w:t>
      </w:r>
      <w:r>
        <w:rPr>
          <w:rFonts w:asciiTheme="minorEastAsia" w:hAnsiTheme="minorEastAsia" w:cstheme="minorEastAsia"/>
          <w:szCs w:val="21"/>
        </w:rPr>
        <w:t>分，满分</w:t>
      </w:r>
      <w:r>
        <w:rPr>
          <w:rFonts w:hint="eastAsia" w:asciiTheme="minorEastAsia" w:hAnsiTheme="minorEastAsia" w:cstheme="minorEastAsia"/>
          <w:szCs w:val="21"/>
          <w:lang w:val="en-US" w:eastAsia="zh-CN"/>
        </w:rPr>
        <w:t>3</w:t>
      </w:r>
      <w:r>
        <w:rPr>
          <w:rFonts w:asciiTheme="minorEastAsia" w:hAnsiTheme="minorEastAsia" w:cstheme="minorEastAsia"/>
          <w:szCs w:val="21"/>
        </w:rPr>
        <w:t>分。注：投标文件中提供合同复印件或扫描件加盖公章</w:t>
      </w:r>
    </w:p>
    <w:p w14:paraId="4F6F47DB">
      <w:pPr>
        <w:tabs>
          <w:tab w:val="left" w:pos="1440"/>
        </w:tabs>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2.质量验收标准或规范</w:t>
      </w:r>
    </w:p>
    <w:p w14:paraId="2FD2E157">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（1）货物验收由甲方组织，乙方配合，并按下列程序进行：</w:t>
      </w:r>
    </w:p>
    <w:p w14:paraId="1DA2FE24">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交货验收时，乙方须提供质检部门产品抽样检查合格的检测报告（或生产厂家自检报告）及所提供货物（产品）的合格证、装箱清单、配件、随机工具、用户使用手册（产品使用说明书）、保修卡等资料交付给甲方；</w:t>
      </w:r>
    </w:p>
    <w:p w14:paraId="13891F9F">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2）到货验收：货物到达后，按合同第一条款的货物清单和装箱单经行逐一核对，同时检查货物外观，是否有划痕或破损的，并做好相应记录；</w:t>
      </w:r>
    </w:p>
    <w:p w14:paraId="09B118DC">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按乙方承诺的产品包装环保材料进行验收，必要时乙方需提供检测报告，甲方发现虚假承诺时，将扣除总货款的5%作为处罚。</w:t>
      </w:r>
    </w:p>
    <w:p w14:paraId="26862C77">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3）货物初验：乙方安装调试完毕后30日内完成初步验收；初步验收合格后，进入试用期；试用期间发生重大质量问题，修复后试用期相应顺延；</w:t>
      </w:r>
    </w:p>
    <w:p w14:paraId="66CA8A2C">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4）货物终验：试用期结束后完成最终验收；</w:t>
      </w:r>
    </w:p>
    <w:p w14:paraId="38C0F280">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5）质量验收合格，双方签署质量验收报告。 </w:t>
      </w:r>
    </w:p>
    <w:p w14:paraId="79310D0C">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（2）货物验收依据：</w:t>
      </w:r>
    </w:p>
    <w:p w14:paraId="55B81697">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1）招标文件；</w:t>
      </w:r>
    </w:p>
    <w:p w14:paraId="71329EC3">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2）响应文件；</w:t>
      </w:r>
    </w:p>
    <w:p w14:paraId="3D06C9BD">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3）采购合同及补充协议；</w:t>
      </w:r>
    </w:p>
    <w:p w14:paraId="4251D514">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4）质检部门抽样检查货物（产品）合格的检测报告。</w:t>
      </w:r>
    </w:p>
    <w:p w14:paraId="4FF8FB69">
      <w:pPr>
        <w:tabs>
          <w:tab w:val="left" w:pos="1440"/>
        </w:tabs>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3.质保期</w:t>
      </w:r>
    </w:p>
    <w:p w14:paraId="65472931">
      <w:pPr>
        <w:tabs>
          <w:tab w:val="left" w:pos="1440"/>
        </w:tabs>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除技术要求一览表中有特殊要求的之外，货物硬件质保期均不少于12月，软件终身免费升级。中标人承诺超过招标文件要求的，按其承诺期质保。质保期起始时间为终验合格之日。</w:t>
      </w:r>
    </w:p>
    <w:p w14:paraId="6A6E21C6">
      <w:pPr>
        <w:spacing w:before="174" w:line="227" w:lineRule="auto"/>
        <w:ind w:left="430"/>
        <w:rPr>
          <w:rFonts w:ascii="宋体" w:hAnsi="宋体" w:eastAsia="宋体" w:cs="宋体"/>
          <w:b/>
          <w:bCs/>
          <w:sz w:val="20"/>
          <w:szCs w:val="20"/>
        </w:rPr>
      </w:pPr>
      <w:r>
        <w:rPr>
          <w:rFonts w:hint="eastAsia" w:asciiTheme="minorEastAsia" w:hAnsiTheme="minorEastAsia" w:cstheme="minorEastAsia"/>
          <w:b/>
          <w:bCs/>
          <w:szCs w:val="21"/>
        </w:rPr>
        <w:t>4.</w:t>
      </w:r>
      <w:r>
        <w:rPr>
          <w:rFonts w:ascii="宋体" w:hAnsi="宋体" w:eastAsia="宋体" w:cs="宋体"/>
          <w:b/>
          <w:bCs/>
          <w:spacing w:val="7"/>
          <w:sz w:val="20"/>
          <w:szCs w:val="20"/>
        </w:rPr>
        <w:t>货物（产品）要求</w:t>
      </w:r>
    </w:p>
    <w:p w14:paraId="6395AB68">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（1）执行标准、规范：必须执行国家、行业强制性标准。</w:t>
      </w:r>
    </w:p>
    <w:p w14:paraId="0447DA13">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当货物（产品）包装使用塑料、纸质、木材等包装材料时，除应当按照国家、行业规定的包装要求进行包装外，还需按照《商品包装政府采购需求标准（试行）》（财办库〔2020〕123号）规定的环保要求进行包装。</w:t>
      </w:r>
    </w:p>
    <w:p w14:paraId="1B2786E7">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（2）当货物（产品）采用快递交货方式时，快递包装除应当按照国家、行业规定的包装要求进行包装外，还需按照《快递包装政府采购需求标准（试行）》（财办库〔2020〕123号）规定的环保要求进行包装。</w:t>
      </w:r>
    </w:p>
    <w:p w14:paraId="420B79A3">
      <w:pPr>
        <w:tabs>
          <w:tab w:val="left" w:pos="1440"/>
        </w:tabs>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4.本项目需要落实的政府采购政策</w:t>
      </w:r>
    </w:p>
    <w:p w14:paraId="64371A7D">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(1)《政府采购促进中小企业发展管理办法》(财库〔2020〕46号);</w:t>
      </w:r>
    </w:p>
    <w:p w14:paraId="48A294F4">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(2)《财政部司法部关于政府采购支持监狱企业发展有关问题的通知》(财库〔2014〕68号);</w:t>
      </w:r>
    </w:p>
    <w:p w14:paraId="160A7E44">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(3)《国务院办公厅关于建立政府强制采购节能产品制度的通知》(国发办〔2007〕51号);</w:t>
      </w:r>
    </w:p>
    <w:p w14:paraId="68145F8F">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(4)《关于印发节能产品政府采购品目清单的通知》(财库〔2019〕19号);</w:t>
      </w:r>
    </w:p>
    <w:p w14:paraId="5E5C6CFE">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(5)《关于印发环境标志产品政府采购品目清单的通知》(财库〔2019〕18号);</w:t>
      </w:r>
    </w:p>
    <w:p w14:paraId="2E52EA8F">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(6)《三部门联合发布关于促进残疾人就业政府采购政策的通知》(财库〔2017〕141号)</w:t>
      </w:r>
    </w:p>
    <w:p w14:paraId="1D0CB8B7">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(7)《财政部 发展改革委生态环境部市场监管总局关于调整优化节能产品、环境标志产品政府采购执行机制的通知》(财库〔2019〕9号);</w:t>
      </w:r>
    </w:p>
    <w:p w14:paraId="27254782">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(8)陕西省财政厅关于印发《陕西省中小企业政府采购信用融资办法》(陕财办采〔2018〕23号);</w:t>
      </w:r>
    </w:p>
    <w:p w14:paraId="4A8C68EE">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(9)《财政部 农业农村部国家乡村振兴局关于运用政府采购政策支持乡村产业振兴的通知》(财库〔2021〕19号);</w:t>
      </w:r>
    </w:p>
    <w:p w14:paraId="390B3FA8">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(10)《财政部 农业农村部国家乡村振兴局中华全国供销合作总社关于印发&lt;关于深入开展政府采购脱贫地区农副产品工作推进乡村产业振兴的实施意见&gt;的通知》(财库〔2021〕20号);</w:t>
      </w:r>
    </w:p>
    <w:p w14:paraId="79F17238">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(11)《陕西省财政厅关于加快推进我省中小企业政府采购信用融资工作的通知》(陕财办采〔2020〕15号);</w:t>
      </w:r>
    </w:p>
    <w:p w14:paraId="7472D891">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(12)《关于进一步加强政府绿色采购有关问题的通知》(陕财办采〔2021〕29号);</w:t>
      </w:r>
    </w:p>
    <w:p w14:paraId="2891D6D5">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(13)《陕西省财政厅、中国人民银行西安分行关于深入推进政府采购信用融资业务的通知》(陕财办采〔2023〕5号);</w:t>
      </w:r>
    </w:p>
    <w:p w14:paraId="4BEFC373">
      <w:pPr>
        <w:tabs>
          <w:tab w:val="left" w:pos="144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(14)其他需要落实的政府采购政策，详见磋商文件。</w:t>
      </w:r>
    </w:p>
    <w:p w14:paraId="19A3D4AC">
      <w:pPr>
        <w:tabs>
          <w:tab w:val="left" w:pos="1440"/>
        </w:tabs>
        <w:spacing w:line="360" w:lineRule="auto"/>
        <w:ind w:firstLine="420" w:firstLineChars="200"/>
        <w:rPr>
          <w:rFonts w:hint="eastAsia" w:asciiTheme="minorEastAsia" w:hAnsiTheme="minorEastAsia" w:cstheme="minorEastAsia"/>
          <w:szCs w:val="21"/>
        </w:rPr>
      </w:pPr>
    </w:p>
    <w:p w14:paraId="23BAB720">
      <w:pPr>
        <w:spacing w:line="360" w:lineRule="auto"/>
        <w:ind w:firstLine="420" w:firstLineChars="200"/>
        <w:jc w:val="right"/>
        <w:rPr>
          <w:rFonts w:asciiTheme="minorEastAsia" w:hAnsiTheme="minorEastAsia" w:cstheme="minorEastAsia"/>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66FF5"/>
    <w:multiLevelType w:val="singleLevel"/>
    <w:tmpl w:val="CA566FF5"/>
    <w:lvl w:ilvl="0" w:tentative="0">
      <w:start w:val="1"/>
      <w:numFmt w:val="chineseCounting"/>
      <w:suff w:val="nothing"/>
      <w:lvlText w:val="%1、"/>
      <w:lvlJc w:val="left"/>
      <w:rPr>
        <w:rFonts w:hint="eastAsia"/>
      </w:rPr>
    </w:lvl>
  </w:abstractNum>
  <w:abstractNum w:abstractNumId="1">
    <w:nsid w:val="30E2AD50"/>
    <w:multiLevelType w:val="singleLevel"/>
    <w:tmpl w:val="30E2AD50"/>
    <w:lvl w:ilvl="0" w:tentative="0">
      <w:start w:val="1"/>
      <w:numFmt w:val="decimal"/>
      <w:lvlText w:val="%1."/>
      <w:lvlJc w:val="left"/>
      <w:pPr>
        <w:tabs>
          <w:tab w:val="left" w:pos="312"/>
        </w:tabs>
      </w:pPr>
    </w:lvl>
  </w:abstractNum>
  <w:abstractNum w:abstractNumId="2">
    <w:nsid w:val="644E87E3"/>
    <w:multiLevelType w:val="singleLevel"/>
    <w:tmpl w:val="644E87E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tete特特">
    <w15:presenceInfo w15:providerId="WPS Office" w15:userId="2420337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NDQ0MmY0OWZmNThlNWE5MmE1NDgzNGVhNDJmNDUifQ=="/>
  </w:docVars>
  <w:rsids>
    <w:rsidRoot w:val="00920777"/>
    <w:rsid w:val="00920777"/>
    <w:rsid w:val="00BE79DE"/>
    <w:rsid w:val="01C26E13"/>
    <w:rsid w:val="02BA5D3C"/>
    <w:rsid w:val="041D47D5"/>
    <w:rsid w:val="06112117"/>
    <w:rsid w:val="06F25E18"/>
    <w:rsid w:val="0978425B"/>
    <w:rsid w:val="0A3960E0"/>
    <w:rsid w:val="0B5807E8"/>
    <w:rsid w:val="0B664CB3"/>
    <w:rsid w:val="0BE669AA"/>
    <w:rsid w:val="0C1069CD"/>
    <w:rsid w:val="0C640FD0"/>
    <w:rsid w:val="0E455054"/>
    <w:rsid w:val="0E96765D"/>
    <w:rsid w:val="0EA004DC"/>
    <w:rsid w:val="0EA26CFB"/>
    <w:rsid w:val="0EDB32C2"/>
    <w:rsid w:val="0EF70C9C"/>
    <w:rsid w:val="0FAD322A"/>
    <w:rsid w:val="11217B56"/>
    <w:rsid w:val="115D7261"/>
    <w:rsid w:val="11AF7472"/>
    <w:rsid w:val="11E903EC"/>
    <w:rsid w:val="124949E7"/>
    <w:rsid w:val="134C29E0"/>
    <w:rsid w:val="13CC58CF"/>
    <w:rsid w:val="15D31197"/>
    <w:rsid w:val="183F48C2"/>
    <w:rsid w:val="18622E96"/>
    <w:rsid w:val="18AE37F5"/>
    <w:rsid w:val="18BD7EDC"/>
    <w:rsid w:val="197902A7"/>
    <w:rsid w:val="1AA90718"/>
    <w:rsid w:val="1AB540E2"/>
    <w:rsid w:val="1D350989"/>
    <w:rsid w:val="1D9E6BB3"/>
    <w:rsid w:val="1DEA3522"/>
    <w:rsid w:val="1F170C05"/>
    <w:rsid w:val="1F7D3F22"/>
    <w:rsid w:val="200308CB"/>
    <w:rsid w:val="20085EE1"/>
    <w:rsid w:val="20713A86"/>
    <w:rsid w:val="210F504D"/>
    <w:rsid w:val="21661111"/>
    <w:rsid w:val="22FF35CB"/>
    <w:rsid w:val="23751ADF"/>
    <w:rsid w:val="23E66539"/>
    <w:rsid w:val="25207829"/>
    <w:rsid w:val="257D4C7B"/>
    <w:rsid w:val="26B532BF"/>
    <w:rsid w:val="26C32B62"/>
    <w:rsid w:val="296028EA"/>
    <w:rsid w:val="2AB70A95"/>
    <w:rsid w:val="2B457FE9"/>
    <w:rsid w:val="2BF53F5D"/>
    <w:rsid w:val="2C147F9D"/>
    <w:rsid w:val="2D404F0C"/>
    <w:rsid w:val="2DAA05D8"/>
    <w:rsid w:val="2E6D7F83"/>
    <w:rsid w:val="2E8B21B7"/>
    <w:rsid w:val="2F5702EB"/>
    <w:rsid w:val="2FF43D8C"/>
    <w:rsid w:val="320F30FF"/>
    <w:rsid w:val="32DD0B47"/>
    <w:rsid w:val="32FD73FC"/>
    <w:rsid w:val="33C57F19"/>
    <w:rsid w:val="33FE342B"/>
    <w:rsid w:val="351115DB"/>
    <w:rsid w:val="370C2303"/>
    <w:rsid w:val="3AE80991"/>
    <w:rsid w:val="3BDA29D0"/>
    <w:rsid w:val="3CC75F2B"/>
    <w:rsid w:val="3DCE3E6E"/>
    <w:rsid w:val="3DD376D7"/>
    <w:rsid w:val="3EE83323"/>
    <w:rsid w:val="3FF676AC"/>
    <w:rsid w:val="40EC2740"/>
    <w:rsid w:val="41630D72"/>
    <w:rsid w:val="41BE244C"/>
    <w:rsid w:val="42AE24C0"/>
    <w:rsid w:val="435E6F8B"/>
    <w:rsid w:val="43C04259"/>
    <w:rsid w:val="463C42EF"/>
    <w:rsid w:val="46BF4C9C"/>
    <w:rsid w:val="4719204C"/>
    <w:rsid w:val="473E02B7"/>
    <w:rsid w:val="478A7058"/>
    <w:rsid w:val="47B642F1"/>
    <w:rsid w:val="48077826"/>
    <w:rsid w:val="492928A1"/>
    <w:rsid w:val="4A095B99"/>
    <w:rsid w:val="4ABD14F2"/>
    <w:rsid w:val="4AEE78FE"/>
    <w:rsid w:val="4B8137BE"/>
    <w:rsid w:val="4BB943B0"/>
    <w:rsid w:val="4C207F8B"/>
    <w:rsid w:val="4F135B85"/>
    <w:rsid w:val="4F2C6C47"/>
    <w:rsid w:val="4F840831"/>
    <w:rsid w:val="4FBA4253"/>
    <w:rsid w:val="509251CF"/>
    <w:rsid w:val="50C35389"/>
    <w:rsid w:val="522E2CD6"/>
    <w:rsid w:val="526B2619"/>
    <w:rsid w:val="539D6365"/>
    <w:rsid w:val="53EB70D0"/>
    <w:rsid w:val="53FD6E04"/>
    <w:rsid w:val="54106B37"/>
    <w:rsid w:val="546B0211"/>
    <w:rsid w:val="546E7D01"/>
    <w:rsid w:val="5484281F"/>
    <w:rsid w:val="54972DB4"/>
    <w:rsid w:val="554867E0"/>
    <w:rsid w:val="55EA23E1"/>
    <w:rsid w:val="56334D5F"/>
    <w:rsid w:val="56E16569"/>
    <w:rsid w:val="578C4726"/>
    <w:rsid w:val="5A8C0EE1"/>
    <w:rsid w:val="5B525C87"/>
    <w:rsid w:val="5B6B6D49"/>
    <w:rsid w:val="5BB93F58"/>
    <w:rsid w:val="5BDE751B"/>
    <w:rsid w:val="5CD3143C"/>
    <w:rsid w:val="5CD66444"/>
    <w:rsid w:val="5F261904"/>
    <w:rsid w:val="5FEF4354"/>
    <w:rsid w:val="6005151A"/>
    <w:rsid w:val="60563B24"/>
    <w:rsid w:val="61545DBC"/>
    <w:rsid w:val="61D30753"/>
    <w:rsid w:val="61E0688E"/>
    <w:rsid w:val="63D731CD"/>
    <w:rsid w:val="63FE69AC"/>
    <w:rsid w:val="64D33A77"/>
    <w:rsid w:val="6508676A"/>
    <w:rsid w:val="6562274A"/>
    <w:rsid w:val="659D3FA3"/>
    <w:rsid w:val="65C37EAD"/>
    <w:rsid w:val="671464E6"/>
    <w:rsid w:val="676E5BF7"/>
    <w:rsid w:val="67B850C4"/>
    <w:rsid w:val="68EF2D67"/>
    <w:rsid w:val="69782D5D"/>
    <w:rsid w:val="69912070"/>
    <w:rsid w:val="6A3C6480"/>
    <w:rsid w:val="6AA3205B"/>
    <w:rsid w:val="6C68355C"/>
    <w:rsid w:val="6C7041BF"/>
    <w:rsid w:val="6D3276C6"/>
    <w:rsid w:val="6D605FE2"/>
    <w:rsid w:val="6F562252"/>
    <w:rsid w:val="6FCD36D6"/>
    <w:rsid w:val="704E0CBB"/>
    <w:rsid w:val="70DE203F"/>
    <w:rsid w:val="713F0604"/>
    <w:rsid w:val="715B3690"/>
    <w:rsid w:val="727B1B10"/>
    <w:rsid w:val="72FD2525"/>
    <w:rsid w:val="74566390"/>
    <w:rsid w:val="74962C31"/>
    <w:rsid w:val="74A0760B"/>
    <w:rsid w:val="74DF0134"/>
    <w:rsid w:val="76257DC8"/>
    <w:rsid w:val="76D96E05"/>
    <w:rsid w:val="77F24622"/>
    <w:rsid w:val="7A5E1AFB"/>
    <w:rsid w:val="7ACD6C80"/>
    <w:rsid w:val="7AE71AF0"/>
    <w:rsid w:val="7AEA66B3"/>
    <w:rsid w:val="7B574107"/>
    <w:rsid w:val="7D454631"/>
    <w:rsid w:val="7DAF266D"/>
    <w:rsid w:val="7DC51E91"/>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b/>
      <w:sz w:val="28"/>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footer"/>
    <w:basedOn w:val="1"/>
    <w:unhideWhenUsed/>
    <w:qFormat/>
    <w:uiPriority w:val="99"/>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2"/>
    <w:qFormat/>
    <w:uiPriority w:val="0"/>
    <w:rPr>
      <w:rFonts w:hAnsi="宋体"/>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Other|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13">
    <w:name w:val="Body text|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14">
    <w:name w:val="样式 首行缩进:  2 字符"/>
    <w:basedOn w:val="1"/>
    <w:qFormat/>
    <w:uiPriority w:val="0"/>
    <w:pPr>
      <w:spacing w:line="400" w:lineRule="exact"/>
      <w:ind w:firstLine="200" w:firstLineChars="200"/>
    </w:pPr>
    <w:rPr>
      <w:rFonts w:cs="宋体"/>
      <w:sz w:val="24"/>
    </w:rPr>
  </w:style>
  <w:style w:type="character" w:customStyle="1" w:styleId="15">
    <w:name w:val="font41"/>
    <w:basedOn w:val="11"/>
    <w:qFormat/>
    <w:uiPriority w:val="0"/>
    <w:rPr>
      <w:rFonts w:hint="eastAsia" w:ascii="宋体" w:hAnsi="宋体" w:eastAsia="宋体" w:cs="宋体"/>
      <w:color w:val="000000"/>
      <w:sz w:val="16"/>
      <w:szCs w:val="16"/>
      <w:u w:val="none"/>
    </w:rPr>
  </w:style>
  <w:style w:type="character" w:customStyle="1" w:styleId="16">
    <w:name w:val="font31"/>
    <w:basedOn w:val="11"/>
    <w:qFormat/>
    <w:uiPriority w:val="0"/>
    <w:rPr>
      <w:rFonts w:hint="eastAsia" w:ascii="宋体" w:hAnsi="宋体" w:eastAsia="宋体" w:cs="宋体"/>
      <w:color w:val="000000"/>
      <w:sz w:val="16"/>
      <w:szCs w:val="16"/>
      <w:u w:val="none"/>
    </w:rPr>
  </w:style>
  <w:style w:type="character" w:customStyle="1" w:styleId="17">
    <w:name w:val="font112"/>
    <w:basedOn w:val="11"/>
    <w:qFormat/>
    <w:uiPriority w:val="0"/>
    <w:rPr>
      <w:rFonts w:hint="eastAsia" w:ascii="宋体" w:hAnsi="宋体" w:eastAsia="宋体" w:cs="宋体"/>
      <w:color w:val="000000"/>
      <w:sz w:val="16"/>
      <w:szCs w:val="16"/>
      <w:u w:val="none"/>
    </w:rPr>
  </w:style>
  <w:style w:type="character" w:customStyle="1" w:styleId="18">
    <w:name w:val="font81"/>
    <w:basedOn w:val="11"/>
    <w:qFormat/>
    <w:uiPriority w:val="0"/>
    <w:rPr>
      <w:rFonts w:hint="eastAsia" w:ascii="宋体" w:hAnsi="宋体" w:eastAsia="宋体" w:cs="宋体"/>
      <w:b/>
      <w:bCs/>
      <w:color w:val="000000"/>
      <w:sz w:val="16"/>
      <w:szCs w:val="16"/>
      <w:u w:val="none"/>
    </w:rPr>
  </w:style>
  <w:style w:type="character" w:customStyle="1" w:styleId="19">
    <w:name w:val="font61"/>
    <w:basedOn w:val="11"/>
    <w:qFormat/>
    <w:uiPriority w:val="0"/>
    <w:rPr>
      <w:rFonts w:hint="eastAsia" w:ascii="宋体" w:hAnsi="宋体" w:eastAsia="宋体" w:cs="宋体"/>
      <w:color w:val="000000"/>
      <w:sz w:val="16"/>
      <w:szCs w:val="16"/>
      <w:u w:val="none"/>
    </w:rPr>
  </w:style>
  <w:style w:type="character" w:customStyle="1" w:styleId="20">
    <w:name w:val="font121"/>
    <w:basedOn w:val="11"/>
    <w:qFormat/>
    <w:uiPriority w:val="0"/>
    <w:rPr>
      <w:rFonts w:hint="eastAsia" w:ascii="宋体" w:hAnsi="宋体" w:eastAsia="宋体" w:cs="宋体"/>
      <w:b/>
      <w:bCs/>
      <w:color w:val="000000"/>
      <w:sz w:val="16"/>
      <w:szCs w:val="16"/>
      <w:u w:val="none"/>
    </w:rPr>
  </w:style>
  <w:style w:type="character" w:customStyle="1" w:styleId="21">
    <w:name w:val="font131"/>
    <w:basedOn w:val="11"/>
    <w:qFormat/>
    <w:uiPriority w:val="0"/>
    <w:rPr>
      <w:rFonts w:hint="eastAsia" w:ascii="宋体" w:hAnsi="宋体" w:eastAsia="宋体" w:cs="宋体"/>
      <w:b/>
      <w:bCs/>
      <w:color w:val="000000"/>
      <w:sz w:val="16"/>
      <w:szCs w:val="16"/>
      <w:u w:val="none"/>
    </w:rPr>
  </w:style>
  <w:style w:type="character" w:customStyle="1" w:styleId="22">
    <w:name w:val="font91"/>
    <w:basedOn w:val="11"/>
    <w:qFormat/>
    <w:uiPriority w:val="0"/>
    <w:rPr>
      <w:rFonts w:hint="eastAsia" w:ascii="宋体" w:hAnsi="宋体" w:eastAsia="宋体" w:cs="宋体"/>
      <w:color w:val="000000"/>
      <w:sz w:val="16"/>
      <w:szCs w:val="16"/>
      <w:u w:val="none"/>
    </w:rPr>
  </w:style>
  <w:style w:type="character" w:customStyle="1" w:styleId="23">
    <w:name w:val="font141"/>
    <w:basedOn w:val="11"/>
    <w:qFormat/>
    <w:uiPriority w:val="0"/>
    <w:rPr>
      <w:rFonts w:hint="eastAsia" w:ascii="宋体" w:hAnsi="宋体" w:eastAsia="宋体" w:cs="宋体"/>
      <w:color w:val="000000"/>
      <w:sz w:val="16"/>
      <w:szCs w:val="16"/>
      <w:u w:val="none"/>
    </w:rPr>
  </w:style>
  <w:style w:type="paragraph" w:customStyle="1" w:styleId="24">
    <w:name w:val="Table Text"/>
    <w:basedOn w:val="1"/>
    <w:semiHidden/>
    <w:qFormat/>
    <w:uiPriority w:val="0"/>
    <w:rPr>
      <w:rFonts w:ascii="宋体" w:hAnsi="宋体" w:eastAsia="宋体" w:cs="宋体"/>
      <w:sz w:val="20"/>
      <w:szCs w:val="20"/>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12707</Words>
  <Characters>14215</Characters>
  <Lines>148</Lines>
  <Paragraphs>41</Paragraphs>
  <TotalTime>1</TotalTime>
  <ScaleCrop>false</ScaleCrop>
  <LinksUpToDate>false</LinksUpToDate>
  <CharactersWithSpaces>20150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tetete特特</cp:lastModifiedBy>
  <cp:lastPrinted>2024-06-25T07:35:00Z</cp:lastPrinted>
  <dcterms:modified xsi:type="dcterms:W3CDTF">2024-07-25T11:23:01Z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65EF1598BEA747AFADA751F57E060581_13</vt:lpwstr>
  </property>
</Properties>
</file>