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西安市公安局碑林分局车辆保险服务项目</w:t>
      </w:r>
    </w:p>
    <w:p>
      <w:pPr>
        <w:pStyle w:val="null3"/>
        <w:jc w:val="center"/>
        <w:outlineLvl w:val="2"/>
      </w:pPr>
      <w:r>
        <w:rPr>
          <w:sz w:val="28"/>
          <w:b/>
        </w:rPr>
        <w:t>采购项目编号：</w:t>
      </w:r>
      <w:r>
        <w:rPr>
          <w:sz w:val="28"/>
          <w:b/>
        </w:rPr>
        <w:t>JWTDZX-ZB240810</w:t>
      </w:r>
      <w:r>
        <w:br/>
      </w:r>
      <w:r>
        <w:br/>
      </w:r>
      <w:r>
        <w:br/>
      </w:r>
    </w:p>
    <w:p>
      <w:pPr>
        <w:pStyle w:val="null3"/>
        <w:jc w:val="center"/>
        <w:outlineLvl w:val="2"/>
      </w:pPr>
      <w:r>
        <w:rPr>
          <w:sz w:val="28"/>
          <w:b/>
        </w:rPr>
        <w:t>西安市公安局碑林分局（本级）</w:t>
      </w:r>
    </w:p>
    <w:p>
      <w:pPr>
        <w:pStyle w:val="null3"/>
        <w:jc w:val="center"/>
        <w:outlineLvl w:val="2"/>
      </w:pPr>
      <w:r>
        <w:rPr>
          <w:sz w:val="28"/>
          <w:b/>
        </w:rPr>
        <w:t>陕西经纬通达项目管理咨询有限公司</w:t>
      </w:r>
      <w:r>
        <w:rPr>
          <w:sz w:val="28"/>
          <w:b/>
        </w:rPr>
        <w:t>共同编制</w:t>
      </w:r>
    </w:p>
    <w:p>
      <w:pPr>
        <w:pStyle w:val="null3"/>
        <w:jc w:val="center"/>
        <w:outlineLvl w:val="2"/>
      </w:pPr>
      <w:r>
        <w:rPr>
          <w:sz w:val="28"/>
          <w:b/>
        </w:rPr>
        <w:t>2024年08月29日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陕西经纬通达项目管理咨询有限公司</w:t>
      </w:r>
      <w:r>
        <w:rPr/>
        <w:t>（以下简称“代理机构”）受</w:t>
      </w:r>
      <w:r>
        <w:rPr/>
        <w:t>西安市公安局碑林分局（本级）</w:t>
      </w:r>
      <w:r>
        <w:rPr/>
        <w:t>委托，拟对</w:t>
      </w:r>
      <w:r>
        <w:rPr/>
        <w:t>西安市公安局碑林分局车辆保险服务项目</w:t>
      </w:r>
      <w:r>
        <w:rPr/>
        <w:t>采用竞争性磋商采购方式进行采购，兹邀请供应商参加本项目的竞争性磋商。</w:t>
      </w:r>
    </w:p>
    <w:p>
      <w:pPr>
        <w:pStyle w:val="null3"/>
        <w:outlineLvl w:val="2"/>
      </w:pPr>
      <w:r>
        <w:rPr>
          <w:sz w:val="28"/>
          <w:b/>
        </w:rPr>
        <w:t>一、项目编号：</w:t>
      </w:r>
      <w:r>
        <w:rPr>
          <w:sz w:val="28"/>
          <w:b/>
        </w:rPr>
        <w:t>JWTDZX-ZB240810</w:t>
      </w:r>
    </w:p>
    <w:p>
      <w:pPr>
        <w:pStyle w:val="null3"/>
        <w:outlineLvl w:val="2"/>
      </w:pPr>
      <w:r>
        <w:rPr>
          <w:sz w:val="28"/>
          <w:b/>
        </w:rPr>
        <w:t>二、项目名称：</w:t>
      </w:r>
      <w:r>
        <w:rPr>
          <w:sz w:val="28"/>
          <w:b/>
        </w:rPr>
        <w:t>西安市公安局碑林分局车辆保险服务项目</w:t>
      </w:r>
    </w:p>
    <w:p>
      <w:pPr>
        <w:pStyle w:val="null3"/>
        <w:outlineLvl w:val="2"/>
      </w:pPr>
      <w:r>
        <w:rPr>
          <w:sz w:val="28"/>
          <w:b/>
        </w:rPr>
        <w:t>三、磋商项目简介</w:t>
      </w:r>
    </w:p>
    <w:p>
      <w:pPr>
        <w:pStyle w:val="null3"/>
        <w:ind w:firstLine="480"/>
      </w:pPr>
      <w:r>
        <w:rPr/>
        <w:t>（一）车辆数量：分局各类车辆共计约267辆，包含轿车约13辆、小型轿车约52辆、小型普通客车约113辆、中型普通客车约25辆、中型专用客车1辆、大型普通客车3辆、大型专用客车2辆、轻型普通货车2辆、小型越野客车3辆、小型面包车1辆，具体以实际车辆信息为准，报废车辆和新置车辆以实际发生为准。（二）险种：（1）交强险；（2）商业险：车辆损失险（依据车辆投保时保险系统价值作为投保金额）、机动车第三者责任险（100万）、机动车车上人员责任险（司机）（5万元）、机动车车上人员责任险（乘客）（5万元/人）、附加医保外医疗费用责任险（机动车第三者责任险）（10万元）、附加医保外医疗费用责任险（机动车车上人员责任险）（5000元/人）；（3）车船税（部分车辆）。</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1、提供投标人合法注册的法人或其他组织的营业执照等证明文件或自然人的身份证明：提供投标人合法注册的法人或其他组织的营业执照等证明文件或自然人的身份证明；</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5、具有履行本合同所必需的设备和专业技术能力的说明及承诺：提供具有履行本合同所必需的设备和专业技术能力的说明及承诺（提供书面说明及承诺，加盖供应商公章）；</w:t>
      </w:r>
    </w:p>
    <w:p>
      <w:pPr>
        <w:pStyle w:val="null3"/>
      </w:pPr>
      <w:r>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投标文件格式）；</w:t>
      </w:r>
    </w:p>
    <w:p>
      <w:pPr>
        <w:pStyle w:val="null3"/>
      </w:pPr>
      <w:r>
        <w:rPr/>
        <w:t>8、经营机动车辆保险业务资格：供应商必须具有经营机动车辆保险业务资格，提供有效期内的中国保监会依法颁发的《经营保险业务许可证》（旧证），或中国银保监会及其授权的派出机构依法颁发的《保险许可证》（新证，2021年7月1日起），（总公司只允许授权1家分支机构参与磋商，且不能与分支机构同时参与）；</w:t>
      </w:r>
    </w:p>
    <w:p>
      <w:pPr>
        <w:pStyle w:val="null3"/>
      </w:pPr>
      <w:r>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p>
      <w:pPr>
        <w:pStyle w:val="null3"/>
      </w:pPr>
      <w:r>
        <w:rPr/>
        <w:t>10、控股关系查询：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西安市公安局碑林分局（本级）</w:t>
      </w:r>
    </w:p>
    <w:p>
      <w:pPr>
        <w:pStyle w:val="null3"/>
      </w:pPr>
      <w:r>
        <w:rPr/>
        <w:t xml:space="preserve"> 地址： </w:t>
      </w:r>
      <w:r>
        <w:rPr/>
        <w:t>西安市碑林区东大街243号</w:t>
      </w:r>
    </w:p>
    <w:p>
      <w:pPr>
        <w:pStyle w:val="null3"/>
      </w:pPr>
      <w:r>
        <w:rPr/>
        <w:t xml:space="preserve"> 邮编： </w:t>
      </w:r>
      <w:r>
        <w:rPr/>
        <w:t>710000</w:t>
      </w:r>
    </w:p>
    <w:p>
      <w:pPr>
        <w:pStyle w:val="null3"/>
      </w:pPr>
      <w:r>
        <w:rPr/>
        <w:t xml:space="preserve"> 联系人： </w:t>
      </w:r>
      <w:r>
        <w:rPr/>
        <w:t>西安市公安局碑林分局（本级）经办</w:t>
      </w:r>
    </w:p>
    <w:p>
      <w:pPr>
        <w:pStyle w:val="null3"/>
      </w:pPr>
      <w:r>
        <w:rPr/>
        <w:t xml:space="preserve"> 联系电话： </w:t>
      </w:r>
      <w:r>
        <w:rPr/>
        <w:t>029-86752038</w:t>
      </w:r>
    </w:p>
    <w:p>
      <w:pPr>
        <w:pStyle w:val="null3"/>
        <w:outlineLvl w:val="3"/>
      </w:pPr>
      <w:r>
        <w:rPr>
          <w:sz w:val="24"/>
          <w:b/>
        </w:rPr>
        <w:t>代理机构：</w:t>
      </w:r>
      <w:r>
        <w:rPr>
          <w:sz w:val="24"/>
          <w:b/>
        </w:rPr>
        <w:t>陕西经纬通达项目管理咨询有限公司</w:t>
      </w:r>
    </w:p>
    <w:p>
      <w:pPr>
        <w:pStyle w:val="null3"/>
      </w:pPr>
      <w:r>
        <w:rPr/>
        <w:t xml:space="preserve"> 地址： </w:t>
      </w:r>
      <w:r>
        <w:rPr/>
        <w:t>西安市经济技术开发区凤城二路海璟国际C1幢0701室</w:t>
      </w:r>
    </w:p>
    <w:p>
      <w:pPr>
        <w:pStyle w:val="null3"/>
      </w:pPr>
      <w:r>
        <w:rPr/>
        <w:t xml:space="preserve"> 邮编： </w:t>
      </w:r>
      <w:r>
        <w:rPr/>
        <w:t>710000</w:t>
      </w:r>
    </w:p>
    <w:p>
      <w:pPr>
        <w:pStyle w:val="null3"/>
      </w:pPr>
      <w:r>
        <w:rPr/>
        <w:t xml:space="preserve"> 联系人： </w:t>
      </w:r>
      <w:r>
        <w:rPr/>
        <w:t>王伟</w:t>
      </w:r>
    </w:p>
    <w:p>
      <w:pPr>
        <w:pStyle w:val="null3"/>
      </w:pPr>
      <w:r>
        <w:rPr/>
        <w:t xml:space="preserve"> 联系电话： </w:t>
      </w:r>
      <w:r>
        <w:rPr/>
        <w:t>029-86114938、15388666050</w:t>
      </w:r>
    </w:p>
    <w:p>
      <w:pPr>
        <w:pStyle w:val="null3"/>
        <w:outlineLvl w:val="3"/>
      </w:pPr>
      <w:r>
        <w:rPr>
          <w:sz w:val="24"/>
          <w:b/>
        </w:rPr>
        <w:t>采购监督机构：</w:t>
      </w:r>
      <w:r>
        <w:rPr>
          <w:sz w:val="24"/>
          <w:b/>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服务费收费标准参照原《国家计委关于印发&lt;招标代理服务收费管理暂行办法&gt;的通知》(计价格〔2002〕1980号)、《国家发展改革委关于降低部分建设项目收费标准规范收费行为等有关问题的通知》(发改价格〔2011〕534号)规定执行。招标代理服务费应采用转账、刷卡、现金形式缴纳。2、汇款账户：户名：陕西经纬通达项目管理咨询有限公司；开户行：中国银行西安文景路支行；账号：102885770682注：投标人在汇款（招标代理服务费）时须注明项目编号+项目简称</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西安市公安局碑林分局（本级）</w:t>
      </w:r>
      <w:r>
        <w:rPr/>
        <w:t>和</w:t>
      </w:r>
      <w:r>
        <w:rPr/>
        <w:t>陕西经纬通达项目管理咨询有限公司</w:t>
      </w:r>
      <w:r>
        <w:rPr/>
        <w:t>享有。对磋商文件中供应商参加本次政府采购活动应当具备的条件，磋商项目技术、服务、商务及其他要求，评审细则及标准由</w:t>
      </w:r>
      <w:r>
        <w:rPr/>
        <w:t>西安市公安局碑林分局（本级）</w:t>
      </w:r>
      <w:r>
        <w:rPr/>
        <w:t>负责解释。除上述磋商文件内容，其他内容由</w:t>
      </w:r>
      <w:r>
        <w:rPr/>
        <w:t>陕西经纬通达项目管理咨询有限公司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西安市公安局碑林分局（本级）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陕西经纬通达项目管理咨询有限公司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40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按照国家相关管理规定落实。</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陕西经纬通达项目管理咨询有限公司</w:t>
      </w:r>
      <w:r>
        <w:rPr/>
        <w:t xml:space="preserve"> 负责答复；供应商对除采购需求外的采购文件的询问、质疑由</w:t>
      </w:r>
      <w:r>
        <w:rPr/>
        <w:t>陕西经纬通达项目管理咨询有限公司</w:t>
      </w:r>
      <w:r>
        <w:rPr/>
        <w:t xml:space="preserve"> 负责答复；供应商对采购过程、采购结果的询问、质疑由 </w:t>
      </w:r>
      <w:r>
        <w:rPr/>
        <w:t>陕西经纬通达项目管理咨询有限公司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联系人：王伟</w:t>
      </w:r>
    </w:p>
    <w:p>
      <w:pPr>
        <w:pStyle w:val="null3"/>
      </w:pPr>
      <w:r>
        <w:rPr/>
        <w:t>联系电话：029-86114938</w:t>
      </w:r>
    </w:p>
    <w:p>
      <w:pPr>
        <w:pStyle w:val="null3"/>
      </w:pPr>
      <w:r>
        <w:rPr/>
        <w:t>地址：西安市经开区凤城二路海璟国际C1座701室 邮编：710000</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仿宋" w:hAnsi="仿宋" w:cs="仿宋" w:eastAsia="仿宋"/>
          <w:sz w:val="21"/>
        </w:rPr>
        <w:t>（一）车辆数量：分局各类车辆共计约267辆，包含轿车约13辆、小型轿车约52辆、小型普通客车约113辆、中型普通客车约25辆、中型专用客车1辆、大型普通客车3辆、大型专用客车2辆、轻型普通货车2辆、小型越野客车3辆、小型面包车1辆，具体以实际车辆信息为准，报废车辆和新置车辆以实际发生为准。（二）险种：（1）交强险；（2）商业险：车辆损失险（依据车辆投保时保险系统价值作为投保金额）、机动车第三者责任险（100万）、机动车车上人员责任险（司机）（5万元）、机动车车上人员责任险（乘客）（5万元/人）、附加医保外医疗费用责任险（机动车第三者责任险）（10万元）、附加医保外医疗费用责任险（机动车车上人员责任险）（5000元/人）；（3）车船税（部分车辆）。</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530,000.00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分局车辆购买交强险和商业险</w:t>
            </w:r>
          </w:p>
        </w:tc>
        <w:tc>
          <w:tcPr>
            <w:tcW w:type="dxa" w:w="831"/>
          </w:tcPr>
          <w:p>
            <w:pPr>
              <w:pStyle w:val="null3"/>
              <w:jc w:val="right"/>
            </w:pPr>
            <w:r>
              <w:rPr/>
              <w:t>1.00</w:t>
            </w:r>
          </w:p>
        </w:tc>
        <w:tc>
          <w:tcPr>
            <w:tcW w:type="dxa" w:w="831"/>
          </w:tcPr>
          <w:p>
            <w:pPr>
              <w:pStyle w:val="null3"/>
              <w:jc w:val="right"/>
            </w:pPr>
            <w:r>
              <w:rPr/>
              <w:t>530,000.00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标的名称：分局车辆购买交强险和商业险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因本项目为警务用车，部分车牌不宜公开，具体车型车号以实际发生的为准。</w:t>
            </w:r>
          </w:p>
        </w:tc>
      </w:tr>
    </w:tbl>
    <w:p>
      <w:pPr>
        <w:pStyle w:val="null3"/>
        <w:outlineLvl w:val="2"/>
      </w:pPr>
      <w:r>
        <w:rPr>
          <w:sz w:val="28"/>
          <w:b/>
        </w:rPr>
        <w:t>3.2.3人员配置要求</w:t>
      </w:r>
    </w:p>
    <w:p>
      <w:pPr>
        <w:pStyle w:val="null3"/>
      </w:pPr>
      <w:r>
        <w:rPr/>
        <w:t>采购包1：</w:t>
      </w:r>
    </w:p>
    <w:p>
      <w:pPr>
        <w:pStyle w:val="null3"/>
      </w:pPr>
      <w:r>
        <w:rPr/>
        <w:t>根据项目内容配备。</w:t>
      </w:r>
    </w:p>
    <w:p>
      <w:pPr>
        <w:pStyle w:val="null3"/>
        <w:outlineLvl w:val="2"/>
      </w:pPr>
      <w:r>
        <w:rPr>
          <w:sz w:val="28"/>
          <w:b/>
        </w:rPr>
        <w:t>3.2.4设施设备要求</w:t>
      </w:r>
    </w:p>
    <w:p>
      <w:pPr>
        <w:pStyle w:val="null3"/>
      </w:pPr>
      <w:r>
        <w:rPr/>
        <w:t>采购包1：</w:t>
      </w:r>
    </w:p>
    <w:p>
      <w:pPr>
        <w:pStyle w:val="null3"/>
      </w:pPr>
      <w:r>
        <w:rPr/>
        <w:t>根据项目内容配备。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自合同签订之日起按合同约定履行</w:t>
      </w:r>
    </w:p>
    <w:p>
      <w:pPr>
        <w:pStyle w:val="null3"/>
        <w:outlineLvl w:val="3"/>
      </w:pPr>
      <w:r>
        <w:rPr>
          <w:sz w:val="24"/>
          <w:b/>
        </w:rPr>
        <w:t>3.3.2服务地点</w:t>
      </w:r>
    </w:p>
    <w:p>
      <w:pPr>
        <w:pStyle w:val="null3"/>
      </w:pPr>
      <w:r>
        <w:rPr/>
        <w:t>采购包1：</w:t>
      </w:r>
    </w:p>
    <w:p>
      <w:pPr>
        <w:pStyle w:val="null3"/>
      </w:pPr>
      <w:r>
        <w:rPr/>
        <w:t>西安市公安局碑林分局</w:t>
      </w:r>
    </w:p>
    <w:p>
      <w:pPr>
        <w:pStyle w:val="null3"/>
        <w:outlineLvl w:val="3"/>
      </w:pPr>
      <w:r>
        <w:rPr>
          <w:sz w:val="24"/>
          <w:b/>
        </w:rPr>
        <w:t>3.3.3考核（验收）标准和方法</w:t>
      </w:r>
    </w:p>
    <w:p>
      <w:pPr>
        <w:pStyle w:val="null3"/>
      </w:pPr>
      <w:r>
        <w:rPr/>
        <w:t>采购包1：</w:t>
      </w:r>
    </w:p>
    <w:p>
      <w:pPr>
        <w:pStyle w:val="null3"/>
      </w:pPr>
      <w:r>
        <w:rPr/>
        <w:t>采购人根据项目情况自行验收</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办理保险手续时，供应商开具合同总价数的全额发票交采购人。采购人在支付保险费时，按供应商所承诺的费率进行审核，审核后支付实际的保险费</w:t>
      </w:r>
      <w:r>
        <w:rPr/>
        <w:t xml:space="preserve"> ，达到付款条件起 </w:t>
      </w:r>
      <w:r>
        <w:rPr/>
        <w:t>5</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2.未按合同要求提供服务或服务质量不能满足技术要求，采购人有权终止合同，并对供方违约行为进行追究，同时按《中华人民共和国政府采购法》的有关规定进行处罚。3、在执行本合同中发生的或与本合同有关的争端，双方应通过友好协商解决，经协商在15天内不能达成协议时，应提交西安仲裁委员会仲裁。4、仲裁裁决应为最终决定，并对双方具有约束力。5、除另有裁决外，仲裁费应由败诉方负担。6、在仲裁期间，除正在进行仲裁部分外，合同其他部分继续执行。</w:t>
      </w:r>
    </w:p>
    <w:p>
      <w:pPr>
        <w:pStyle w:val="null3"/>
        <w:outlineLvl w:val="2"/>
      </w:pPr>
      <w:r>
        <w:rPr>
          <w:sz w:val="28"/>
          <w:b/>
        </w:rPr>
        <w:t>3.4其他要求</w:t>
      </w:r>
    </w:p>
    <w:p>
      <w:pPr>
        <w:pStyle w:val="null3"/>
      </w:pPr>
      <w:r>
        <w:rPr/>
        <w:t>1、成交人在领取成交通知书时提供一正两副纸质竞争性磋商响应文件及电子竞争性磋商响应文件一份（U盘或移动硬盘；电子响应文件为Word版本和PDF版本，PDF文件为签字、盖章的完整正本扫描件）。装订：纸质竞争性磋商响应文件采用书籍（胶装）方式装订成册，与电子竞争性磋商响应文件一致的签字、盖章的完整版本。2、本项目报价单位为%，因系统无法更改单位，报价表只需填写自主核保系数下浮率（范围：0-100）。价格分统一采用低价优先法计算，即满足磋商文件要求且（1-最高下浮率报价）为评标基准价，下浮率最高的报价分为满分。其他供应商的价格分统一按照下列公式计算： 磋商报价得分=【磋商基准价／（1-下浮率报价）】×价格权值（即10%）×100；自主核保系数下浮率的定义：定价10元的产品减到8元为8.0折（折扣=1-系数下浮率20%），本文件要求投标文件统一用系数下浮率报价和描述。</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提供投标人合法注册的法人或其他组织的营业执照等证明文件或自然人的身份证明</w:t>
            </w:r>
          </w:p>
        </w:tc>
        <w:tc>
          <w:tcPr>
            <w:tcW w:type="dxa" w:w="3322"/>
          </w:tcPr>
          <w:p>
            <w:pPr>
              <w:pStyle w:val="null3"/>
            </w:pPr>
            <w:r>
              <w:rPr/>
              <w:t>提供投标人合法注册的法人或其他组织的营业执照等证明文件或自然人的身份证明；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投标文件格式）；</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经营机动车辆保险业务资格</w:t>
            </w:r>
          </w:p>
        </w:tc>
        <w:tc>
          <w:tcPr>
            <w:tcW w:type="dxa" w:w="3322"/>
          </w:tcPr>
          <w:p>
            <w:pPr>
              <w:pStyle w:val="null3"/>
            </w:pPr>
            <w:r>
              <w:rPr/>
              <w:t>供应商必须具有经营机动车辆保险业务资格，提供有效期内的中国保监会依法颁发的《经营保险业务许可证》（旧证），或中国银保监会及其授权的派出机构依法颁发的《保险许可证》（新证，2021年7月1日起），（总公司只允许授权1家分支机构参与磋商，且不能与分支机构同时参与）；</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控股关系查询</w:t>
            </w:r>
          </w:p>
        </w:tc>
        <w:tc>
          <w:tcPr>
            <w:tcW w:type="dxa" w:w="3322"/>
          </w:tcPr>
          <w:p>
            <w:pPr>
              <w:pStyle w:val="null3"/>
            </w:pPr>
            <w:r>
              <w:rPr/>
              <w:t>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包1标的清单 标的清单 报价表 包1报价表</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至少以下三处的项目名称、项目编号与本项目完全一致： （1）响应文件封面 （2）响应函（3）法定代表人（主要负责人）委托授权书\身份证明</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编制格式</w:t>
            </w:r>
          </w:p>
        </w:tc>
        <w:tc>
          <w:tcPr>
            <w:tcW w:type="dxa" w:w="3322"/>
          </w:tcPr>
          <w:p>
            <w:pPr>
              <w:pStyle w:val="null3"/>
            </w:pPr>
            <w:r>
              <w:rPr/>
              <w:t>除明确允许供应商可以自行编写的外，响应文件文件必须按照竞争性磋商文件给定的格式和要求编制</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签章</w:t>
            </w:r>
          </w:p>
        </w:tc>
        <w:tc>
          <w:tcPr>
            <w:tcW w:type="dxa" w:w="3322"/>
          </w:tcPr>
          <w:p>
            <w:pPr>
              <w:pStyle w:val="null3"/>
            </w:pPr>
            <w:r>
              <w:rPr/>
              <w:t>签章均符合文件要求，且无遗漏</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响应文件有效期</w:t>
            </w:r>
          </w:p>
        </w:tc>
        <w:tc>
          <w:tcPr>
            <w:tcW w:type="dxa" w:w="3322"/>
          </w:tcPr>
          <w:p>
            <w:pPr>
              <w:pStyle w:val="null3"/>
            </w:pPr>
            <w:r>
              <w:rPr/>
              <w:t>符合竞争性磋商文件的要求</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同时满足以下条款： （1）货币单位符合磋商文件要求 （2）报价符合唯一性要求 （3）未超出采购预算 （4）符合《报价表》的填报要求</w:t>
            </w:r>
          </w:p>
        </w:tc>
        <w:tc>
          <w:tcPr>
            <w:tcW w:type="dxa" w:w="1661"/>
          </w:tcPr>
          <w:p>
            <w:pPr>
              <w:pStyle w:val="null3"/>
            </w:pPr>
            <w:r>
              <w:rPr/>
              <w:t>响应文件封面</w:t>
            </w:r>
          </w:p>
        </w:tc>
      </w:tr>
      <w:tr>
        <w:tc>
          <w:tcPr>
            <w:tcW w:type="dxa" w:w="831"/>
          </w:tcPr>
          <w:p>
            <w:pPr>
              <w:pStyle w:val="null3"/>
            </w:pPr>
            <w:r>
              <w:rPr/>
              <w:t>7</w:t>
            </w:r>
          </w:p>
        </w:tc>
        <w:tc>
          <w:tcPr>
            <w:tcW w:type="dxa" w:w="2492"/>
          </w:tcPr>
          <w:p>
            <w:pPr>
              <w:pStyle w:val="null3"/>
            </w:pPr>
            <w:r>
              <w:rPr/>
              <w:t>实质性条款响应</w:t>
            </w:r>
          </w:p>
        </w:tc>
        <w:tc>
          <w:tcPr>
            <w:tcW w:type="dxa" w:w="3322"/>
          </w:tcPr>
          <w:p>
            <w:pPr>
              <w:pStyle w:val="null3"/>
            </w:pPr>
            <w:r>
              <w:rPr/>
              <w:t>完全响应竞争性磋商文件要求的各项服务、商务实质性条款</w:t>
            </w:r>
          </w:p>
        </w:tc>
        <w:tc>
          <w:tcPr>
            <w:tcW w:type="dxa" w:w="1661"/>
          </w:tcPr>
          <w:p>
            <w:pPr>
              <w:pStyle w:val="null3"/>
            </w:pPr>
            <w:r>
              <w:rPr/>
              <w:t>响应文件封面</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保障范围</w:t>
            </w:r>
          </w:p>
        </w:tc>
        <w:tc>
          <w:tcPr>
            <w:tcW w:type="dxa" w:w="2492"/>
          </w:tcPr>
          <w:p>
            <w:pPr>
              <w:pStyle w:val="null3"/>
            </w:pPr>
            <w:r>
              <w:rPr/>
              <w:t>根据供应商针对本项目的保险投保保障范围进行综合评分： ①完全符合竞争性磋商文件的保险保障要求，措辞严谨，描述清晰，保障全面，对保险保障范围进行实质性扩展、提升得10分； ②保障范围、保险保障要求内容完善，未对保障范围进行提升的得8分； ③符合保障范围及保险保障要求，未提供相应优惠措施的得4分； ④保障范围及保险保障要求理解及认识不准确得2分； ⑤未提供车辆保障范围不得分。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根据供应商针对本项目提供的整体服务方案，包括但不限于①业务承揽；②出单；③保费收取；④报案；⑤理赔；⑥业务操作流程等，进行综合评定： ①内容详细全面、方案合理、架构完整、层次清楚、完善可行的计10分； ②针对以上方案要求，有1项欠缺的计7分； ③针对以上方案要求，有2项欠缺的计3分； ④针对以上方案要求，有3项欠缺及以上的计1分； ⑤未提供本项内容的不计分。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投诉管理制度</w:t>
            </w:r>
          </w:p>
        </w:tc>
        <w:tc>
          <w:tcPr>
            <w:tcW w:type="dxa" w:w="2492"/>
          </w:tcPr>
          <w:p>
            <w:pPr>
              <w:pStyle w:val="null3"/>
            </w:pPr>
            <w:r>
              <w:rPr/>
              <w:t>有严格的报案、理赔、投诉管理制度，并严格执行。①内容详细全面、方案合理、完善可行的计6分； ②针对以上方案要求，有1项欠缺或只有书面承诺，缺少具体措施办法的计3分； ③针对以上方案要求，有2项欠缺的计1分； ④未提供本项内容的不计分。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定期提供优质的保险服务培训，提供培训方式、时间、地点、人员、培训内容。 ①内容具体、完整、详细、全面的计6分； ②内容有1项缺项，计4分； ③内容有2项以上缺项，计1分； ④未提供培训方案及与培训方案有关内容的不计分。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客户回访</w:t>
            </w:r>
          </w:p>
        </w:tc>
        <w:tc>
          <w:tcPr>
            <w:tcW w:type="dxa" w:w="2492"/>
          </w:tcPr>
          <w:p>
            <w:pPr>
              <w:pStyle w:val="null3"/>
            </w:pPr>
            <w:r>
              <w:rPr/>
              <w:t>定期对客户进行回访，并提供详细的服务方案。 ①内容详细全面、方案合理、完善可行的计6分； ②有欠缺或只有书面承诺，缺少具体措施办法的计3分； ③未提供本项内容的不计分。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时效保障承诺1</w:t>
            </w:r>
          </w:p>
        </w:tc>
        <w:tc>
          <w:tcPr>
            <w:tcW w:type="dxa" w:w="2492"/>
          </w:tcPr>
          <w:p>
            <w:pPr>
              <w:pStyle w:val="null3"/>
            </w:pPr>
            <w:r>
              <w:rPr/>
              <w:t>根据供应商对出现车辆事故出险响应时效承诺情况进行评分： ①从报案确认至现场处理响应在30分钟（含）内，处理流程清晰迅速得6分； ②从报案确认至现场处理响应超过30分钟但不超过1小时（含），但处理流程清晰迅速得3分； ③从报案确认至现场处理响应超过1小时，处理流程不清晰得2分； ④从报案确认至现场处理响应超过2小时，处理流程不清晰且缓慢得1分。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时效保障承诺2</w:t>
            </w:r>
          </w:p>
        </w:tc>
        <w:tc>
          <w:tcPr>
            <w:tcW w:type="dxa" w:w="2492"/>
          </w:tcPr>
          <w:p>
            <w:pPr>
              <w:pStyle w:val="null3"/>
            </w:pPr>
            <w:r>
              <w:rPr/>
              <w:t>根据供应商对出现车辆事故理赔结案时效承诺情况进行评分：从被保险人提供全部单证至完成结案的周期（以天计），结案周期最短者得6分，最短周期每延长3天（含3天内）减1分，依次递减，减完为止。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时效保障承诺3</w:t>
            </w:r>
          </w:p>
        </w:tc>
        <w:tc>
          <w:tcPr>
            <w:tcW w:type="dxa" w:w="2492"/>
          </w:tcPr>
          <w:p>
            <w:pPr>
              <w:pStyle w:val="null3"/>
            </w:pPr>
            <w:r>
              <w:rPr/>
              <w:t>根据供应商对出现车辆事故从赔款金额确认至划到被保险人账户的结案支付周期时效承诺情况进行评分： 结案周期最短者得5分，较最短周期每延长3天（含3天内）减1分，依次递减，减完为止。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项目负责人资格证书、职称水平、荣誉证书及丰富的承保工作经验进行综合评分； ①项目负责人资料齐全、专业匹配度高、资历丰富、有相关证书、经验丰富得5分； ②项目负责人资料有1项欠缺的得3分； ③项目负责人专业不匹配、无相关证书、经验欠缺得1分； 注：须提供人员身份证、学历证、职称证书（如有）、资格证（如有）、工作经历等材料并加盖供应商公章。</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服务团队</w:t>
            </w:r>
          </w:p>
        </w:tc>
        <w:tc>
          <w:tcPr>
            <w:tcW w:type="dxa" w:w="2492"/>
          </w:tcPr>
          <w:p>
            <w:pPr>
              <w:pStyle w:val="null3"/>
            </w:pPr>
            <w:r>
              <w:rPr/>
              <w:t>服务团队人员应包含承保、理赔、风险管理和协调沟通不同专业能力和职能的人员，根据团队人员构成情况、人员数量、职责情况进行综合评分： ①服务团队人员构成专业全面，服务团队岗位人员≥3人且职责明确合理得10分； ②服务团队人员构成全面，服务团队人员≥3人，职责不明确得7分； ③服务团队人员专业构成存在缺陷，服务团队人员不足3人，职责混乱得4分。 ④未提供服务团队人员不得分。 注：须提供人员身份证、资格证书（如有）等材料并加盖供应商公章。</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其他服务与优惠承诺1</w:t>
            </w:r>
          </w:p>
        </w:tc>
        <w:tc>
          <w:tcPr>
            <w:tcW w:type="dxa" w:w="2492"/>
          </w:tcPr>
          <w:p>
            <w:pPr>
              <w:pStyle w:val="null3"/>
            </w:pPr>
            <w:r>
              <w:rPr/>
              <w:t>根据供应商服务特色及其他增值服务与优惠承诺的合理性、可行性，进行综合评定： ①特色服务丰富，其他优惠承诺合理可行得5分； ②特色服务意义不明确，其他优惠承诺欠缺得3分；③没有特色服务及其他服务与优惠承诺的不得分。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其他服务与优惠承诺2</w:t>
            </w:r>
          </w:p>
        </w:tc>
        <w:tc>
          <w:tcPr>
            <w:tcW w:type="dxa" w:w="2492"/>
          </w:tcPr>
          <w:p>
            <w:pPr>
              <w:pStyle w:val="null3"/>
            </w:pPr>
            <w:r>
              <w:rPr/>
              <w:t>针对本项目招标人保险服务需求的基础上，承诺有一定的经济实力垫付已产生未支付的保险费用的能力：完全响应并承诺得5分； 响应但未承诺的得3分； 不响应不得分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近三年（2021年1月1日至磋商响应文件截止时间）供应商曾参与过类似服务项目的业绩的情况，须提供合同复印件等证明材料（所提供的合同可以不牵涉到金额等相关商业机密信息，但必须提供合同双方签署页及合同签署双方的完整信息进行评审）。每提供一个有效业绩证明材料得2分，最高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(1-最高下浮率报价)为评标基准价，下浮率最高的报价分为满分。其他供应商的价格分统一按照下列公式计算： 磋商报价得分= (磋商基准价／（1-下浮率报价)）×价格权值（即10%）×100 ；自主核保系数下浮率的定义：定价10元的产品减到8元为8.0折。折扣=1-系数下浮率，本文件要求投标文件统一用系数下浮率报价和描述。</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包1报价表</w:t>
            </w:r>
          </w:p>
          <w:p>
            <w:pPr>
              <w:pStyle w:val="null3"/>
            </w:pPr>
            <w:r>
              <w:rPr/>
              <w:t>包1标的清单</w:t>
            </w:r>
          </w:p>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包1标的清单 中小企业声明函 残疾人福利性单位声明函 报价表 包1报价表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详见附件：服务方案</w:t>
      </w:r>
    </w:p>
    <w:p>
      <w:pPr>
        <w:pStyle w:val="null3"/>
        <w:ind w:firstLine="960"/>
      </w:pPr>
      <w:r>
        <w:rPr/>
        <w:t>详见附件：包1报价表</w:t>
      </w:r>
    </w:p>
    <w:p>
      <w:pPr>
        <w:pStyle w:val="null3"/>
        <w:ind w:firstLine="960"/>
      </w:pPr>
      <w:r>
        <w:rPr/>
        <w:t>详见附件：包1标的清单</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