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版本号：ZBZG2025--00453-120251021001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西安市碑林区长安路街道办事处消防站配套设施搬迁项目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ZBZG2025--00453-1</w:t>
      </w:r>
      <w:r>
        <w:br/>
      </w:r>
      <w:r>
        <w:br/>
      </w:r>
      <w:r>
        <w:br/>
      </w:r>
    </w:p>
    <w:p>
      <w:pPr>
        <w:pStyle w:val="null3"/>
        <w:jc w:val="center"/>
        <w:outlineLvl w:val="2"/>
      </w:pPr>
      <w:r>
        <w:rPr>
          <w:rFonts w:ascii="仿宋_GB2312" w:hAnsi="仿宋_GB2312" w:cs="仿宋_GB2312" w:eastAsia="仿宋_GB2312"/>
          <w:sz w:val="28"/>
          <w:b/>
        </w:rPr>
        <w:t>西安市碑林区长安路街道办事处（本级）</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西安市碑林区长安路街道办事处（本级）</w:t>
      </w:r>
      <w:r>
        <w:rPr>
          <w:rFonts w:ascii="仿宋_GB2312" w:hAnsi="仿宋_GB2312" w:cs="仿宋_GB2312" w:eastAsia="仿宋_GB2312"/>
        </w:rPr>
        <w:t>委托，拟对</w:t>
      </w:r>
      <w:r>
        <w:rPr>
          <w:rFonts w:ascii="仿宋_GB2312" w:hAnsi="仿宋_GB2312" w:cs="仿宋_GB2312" w:eastAsia="仿宋_GB2312"/>
        </w:rPr>
        <w:t>西安市碑林区长安路街道办事处消防站配套设施搬迁项目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ZBZG2025--00453-1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西安市碑林区长安路街道办事处消防站配套设施搬迁项目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原小型消防站位于碑林区柏树林街与开通西巷交汇口东北角，站体占地面积为 140平方米，建筑面积为355.8平方米，站体高度12.75米，由于上级要求该消防站需整体搬离，柏树林街办无场地重新规划消防站，经请示区主要领导，采用整体挪移方式把该消防站挪移至长安路街办长安北路与南郭路交汇口东南角停车场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采购包1（西安市碑林区长安路街道办事处消防站配套设施搬迁项目）：属于专门面向中小企业采购。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2、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3、非联合体投标：参与投标人为非联合体（提供声明函）。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西安市碑林区长安路街道办事处（本级）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029-87803404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029-85887638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代理服务费收费标准：参照国家计委颁布的《招标代理服务收费管理暂行办法》（计价格[2002]1980号）和（发改办价格[2011]534号）服务类收费标准，按照中标金额差额定率累进法计算。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西安市碑林区长安路街道办事处（本级）</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西安市碑林区长安路街道办事处（本级）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西安市碑林区长安路街道办事处（本级）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消防站搬迁的技术规格要求新站消防车库门净宽不低于 4.5 米、净高不低于 4.2 米，供水系统压力稳定在 0.8-1.2MPa 且管网用 304 不锈钢，消防车辆迁移前需检修并以专用支架运输，通信设备迁移后信号覆盖半径不小于 5 公里且延迟≤0.5 秒，配电系统具备双回路供电能力、应急电源切换时间≤0.3 秒且专用回路负荷满足需求；服务要求搬迁单位有、配 10 人以上专业团队，3 日内完成核心设备迁移，搬迁后提供 1 个月免费技术支持及 7×24 小时故障维修且 2 小时内到现场；验收要求消防车辆、供水系统、通信设备 100% 正常运行且模拟出警响应时间≤60 秒，搬迁单位提交完整资料，还需组织人员联合核查，确认符合技术规格、无设备损坏和功能缺失方可验收合格。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联系人：王琢</w:t>
      </w:r>
    </w:p>
    <w:p>
      <w:pPr>
        <w:pStyle w:val="null3"/>
      </w:pPr>
      <w:r>
        <w:rPr>
          <w:rFonts w:ascii="仿宋_GB2312" w:hAnsi="仿宋_GB2312" w:cs="仿宋_GB2312" w:eastAsia="仿宋_GB2312"/>
        </w:rPr>
        <w:t>联系电话：029-85887638</w:t>
      </w:r>
    </w:p>
    <w:p>
      <w:pPr>
        <w:pStyle w:val="null3"/>
      </w:pPr>
      <w:r>
        <w:rPr>
          <w:rFonts w:ascii="仿宋_GB2312" w:hAnsi="仿宋_GB2312" w:cs="仿宋_GB2312" w:eastAsia="仿宋_GB2312"/>
        </w:rPr>
        <w:t>地址：西安市雁塔区曲江新区雁展路1111号来安中心T3-16层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项目总体情况：原小型消防站位于碑林区柏树林街与开通西巷交汇口东北角，站体占地面积为 140平方米，建筑面积为355.8平方米:站体高度12.75米，由于上级要求该消防站需整体搬离，柏树林街办无场地重新规划消防站，经请示区主要领导，采用整体挪移方式把该消防站挪移至长安路街办长安北路与南郭路交汇口东南角停车场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西安市碑林区长安路街道办事处消防站配套设施搬迁项目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标的名称：西安市碑林区长安路街道办事处消防站配套设施搬迁项目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10"/>
              <w:gridCol w:w="510"/>
              <w:gridCol w:w="510"/>
              <w:gridCol w:w="510"/>
              <w:gridCol w:w="510"/>
            </w:tblGrid>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8"/>
                      <w:b/>
                      <w:color w:val="000000"/>
                    </w:rPr>
                    <w:t>西安市碑林区长安路街道办事处消防站配套设施搬迁项目</w:t>
                  </w:r>
                  <w:r>
                    <w:br/>
                  </w:r>
                  <w:r>
                    <w:rPr>
                      <w:rFonts w:ascii="仿宋_GB2312" w:hAnsi="仿宋_GB2312" w:cs="仿宋_GB2312" w:eastAsia="仿宋_GB2312"/>
                      <w:sz w:val="28"/>
                      <w:b/>
                      <w:color w:val="000000"/>
                    </w:rPr>
                    <w:t xml:space="preserve"> 工程量清单</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b/>
                      <w:color w:val="000000"/>
                    </w:rPr>
                    <w:t>序号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b/>
                      <w:color w:val="000000"/>
                    </w:rPr>
                    <w:t>项目名称</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b/>
                      <w:color w:val="000000"/>
                    </w:rPr>
                    <w:t>单位</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b/>
                      <w:color w:val="000000"/>
                    </w:rPr>
                    <w:t>数量</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b/>
                      <w:color w:val="000000"/>
                    </w:rPr>
                    <w:t>备注</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8"/>
                      <w:color w:val="000000"/>
                    </w:rPr>
                    <w:t>一</w:t>
                  </w:r>
                </w:p>
              </w:tc>
              <w:tc>
                <w:tcPr>
                  <w:tcW w:type="dxa" w:w="2040"/>
                  <w:gridSpan w:val="4"/>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8"/>
                      <w:b/>
                      <w:color w:val="000000"/>
                    </w:rPr>
                    <w:t>拆除工程</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断桥窗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樘</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220</w:t>
                  </w:r>
                  <w:r>
                    <w:rPr>
                      <w:rFonts w:ascii="仿宋_GB2312" w:hAnsi="仿宋_GB2312" w:cs="仿宋_GB2312" w:eastAsia="仿宋_GB2312"/>
                      <w:sz w:val="22"/>
                      <w:color w:val="000000"/>
                    </w:rPr>
                    <w:t>㎡</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防火门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1m*2m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玻璃门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樘</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1m*2m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外墙装饰面板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389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房檐铝板及钢架</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钢楼梯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16.5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广告牌</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103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电动卷帘门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室内窗帘</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室内吊顶</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插座开关</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个</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106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灯具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会议室灯带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室内墙板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室内隔墙</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10cm</w:t>
                  </w:r>
                  <w:r>
                    <w:rPr>
                      <w:rFonts w:ascii="仿宋_GB2312" w:hAnsi="仿宋_GB2312" w:cs="仿宋_GB2312" w:eastAsia="仿宋_GB2312"/>
                      <w:sz w:val="22"/>
                      <w:color w:val="000000"/>
                    </w:rPr>
                    <w:t>轻钢龙骨及石膏板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配电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室内空调风管机</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组</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空调主机</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空调风管及线路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136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暖气片</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组</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暖气管道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170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采暖锅炉</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木地板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混凝土楼面</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10cmC25混凝土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一楼混凝土地面</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204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30cmC30混凝土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独立基础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个</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C30混凝土0.6m*0.6m*1.2m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电器设备</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洗衣机、多媒体、换气扇、热水器等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橱柜</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厨房设备</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油烟机、燃气灶等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自来水管道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75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DN25PPR</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PVC排污管道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DN110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卫生洁具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便池、蹲坑、洗脸盆等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卫生间隔断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家具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床、衣柜、货架、会议桌、餐桌、健身器等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钢构主体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一层高</w:t>
                  </w:r>
                  <w:r>
                    <w:rPr>
                      <w:rFonts w:ascii="仿宋_GB2312" w:hAnsi="仿宋_GB2312" w:cs="仿宋_GB2312" w:eastAsia="仿宋_GB2312"/>
                      <w:sz w:val="22"/>
                      <w:color w:val="000000"/>
                    </w:rPr>
                    <w:t>6.0m</w:t>
                  </w:r>
                  <w:r>
                    <w:rPr>
                      <w:rFonts w:ascii="仿宋_GB2312" w:hAnsi="仿宋_GB2312" w:cs="仿宋_GB2312" w:eastAsia="仿宋_GB2312"/>
                      <w:sz w:val="22"/>
                      <w:color w:val="000000"/>
                    </w:rPr>
                    <w:t>二层</w:t>
                  </w:r>
                  <w:r>
                    <w:rPr>
                      <w:rFonts w:ascii="仿宋_GB2312" w:hAnsi="仿宋_GB2312" w:cs="仿宋_GB2312" w:eastAsia="仿宋_GB2312"/>
                      <w:sz w:val="22"/>
                      <w:color w:val="000000"/>
                    </w:rPr>
                    <w:t>3.1</w:t>
                  </w:r>
                  <w:r>
                    <w:rPr>
                      <w:rFonts w:ascii="仿宋_GB2312" w:hAnsi="仿宋_GB2312" w:cs="仿宋_GB2312" w:eastAsia="仿宋_GB2312"/>
                      <w:sz w:val="22"/>
                      <w:color w:val="000000"/>
                    </w:rPr>
                    <w:t>三层</w:t>
                  </w:r>
                  <w:r>
                    <w:rPr>
                      <w:rFonts w:ascii="仿宋_GB2312" w:hAnsi="仿宋_GB2312" w:cs="仿宋_GB2312" w:eastAsia="仿宋_GB2312"/>
                      <w:sz w:val="22"/>
                      <w:color w:val="000000"/>
                    </w:rPr>
                    <w:t>3.1</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一层地面恢复</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204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杂土开挖</w:t>
                  </w:r>
                  <w:r>
                    <w:rPr>
                      <w:rFonts w:ascii="仿宋_GB2312" w:hAnsi="仿宋_GB2312" w:cs="仿宋_GB2312" w:eastAsia="仿宋_GB2312"/>
                      <w:sz w:val="22"/>
                      <w:color w:val="000000"/>
                    </w:rPr>
                    <w:t>60cm,</w:t>
                  </w:r>
                  <w:r>
                    <w:rPr>
                      <w:rFonts w:ascii="仿宋_GB2312" w:hAnsi="仿宋_GB2312" w:cs="仿宋_GB2312" w:eastAsia="仿宋_GB2312"/>
                      <w:sz w:val="22"/>
                      <w:color w:val="000000"/>
                    </w:rPr>
                    <w:t>黄土回填</w:t>
                  </w:r>
                  <w:r>
                    <w:rPr>
                      <w:rFonts w:ascii="仿宋_GB2312" w:hAnsi="仿宋_GB2312" w:cs="仿宋_GB2312" w:eastAsia="仿宋_GB2312"/>
                      <w:sz w:val="22"/>
                      <w:color w:val="000000"/>
                    </w:rPr>
                    <w:t>90cm</w:t>
                  </w:r>
                  <w:r>
                    <w:rPr>
                      <w:rFonts w:ascii="仿宋_GB2312" w:hAnsi="仿宋_GB2312" w:cs="仿宋_GB2312" w:eastAsia="仿宋_GB2312"/>
                      <w:sz w:val="22"/>
                      <w:color w:val="000000"/>
                    </w:rPr>
                    <w:t>，草坪覆盖</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垃圾清运</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项</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8"/>
                      <w:b/>
                      <w:color w:val="000000"/>
                    </w:rPr>
                    <w:t>二</w:t>
                  </w:r>
                </w:p>
              </w:tc>
              <w:tc>
                <w:tcPr>
                  <w:tcW w:type="dxa" w:w="2040"/>
                  <w:gridSpan w:val="4"/>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8"/>
                      <w:b/>
                      <w:color w:val="000000"/>
                    </w:rPr>
                    <w:t>新建工程</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土方开挖</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m³</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土方回填</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m³</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80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外购黄土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基础圈梁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82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0.3m*0.5mC30</w:t>
                  </w:r>
                  <w:r>
                    <w:rPr>
                      <w:rFonts w:ascii="仿宋_GB2312" w:hAnsi="仿宋_GB2312" w:cs="仿宋_GB2312" w:eastAsia="仿宋_GB2312"/>
                      <w:sz w:val="22"/>
                      <w:color w:val="000000"/>
                    </w:rPr>
                    <w:t>混凝土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独立基础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个</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0.6m*0.6m*1.2mC30</w:t>
                  </w:r>
                  <w:r>
                    <w:rPr>
                      <w:rFonts w:ascii="仿宋_GB2312" w:hAnsi="仿宋_GB2312" w:cs="仿宋_GB2312" w:eastAsia="仿宋_GB2312"/>
                      <w:sz w:val="22"/>
                      <w:color w:val="000000"/>
                    </w:rPr>
                    <w:t>混凝土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基础钢材</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0.98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圈梁、独立基础、预埋钢板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混凝土地面</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192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12m*16m*0.25mC30</w:t>
                  </w:r>
                  <w:r>
                    <w:rPr>
                      <w:rFonts w:ascii="仿宋_GB2312" w:hAnsi="仿宋_GB2312" w:cs="仿宋_GB2312" w:eastAsia="仿宋_GB2312"/>
                      <w:sz w:val="22"/>
                      <w:color w:val="000000"/>
                    </w:rPr>
                    <w:t>混凝土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一楼环氧地坪</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140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排污管网</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1.0m*1.2m</w:t>
                  </w:r>
                  <w:r>
                    <w:rPr>
                      <w:rFonts w:ascii="仿宋_GB2312" w:hAnsi="仿宋_GB2312" w:cs="仿宋_GB2312" w:eastAsia="仿宋_GB2312"/>
                      <w:sz w:val="22"/>
                      <w:color w:val="000000"/>
                    </w:rPr>
                    <w:t>管沟开挖回填</w:t>
                  </w:r>
                  <w:r>
                    <w:rPr>
                      <w:rFonts w:ascii="仿宋_GB2312" w:hAnsi="仿宋_GB2312" w:cs="仿宋_GB2312" w:eastAsia="仿宋_GB2312"/>
                      <w:sz w:val="22"/>
                      <w:color w:val="000000"/>
                    </w:rPr>
                    <w:t>DN300</w:t>
                  </w:r>
                  <w:r>
                    <w:rPr>
                      <w:rFonts w:ascii="仿宋_GB2312" w:hAnsi="仿宋_GB2312" w:cs="仿宋_GB2312" w:eastAsia="仿宋_GB2312"/>
                      <w:sz w:val="22"/>
                      <w:color w:val="000000"/>
                    </w:rPr>
                    <w:t>波纹管直埋</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污水井</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座</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砖砌直径</w:t>
                  </w:r>
                  <w:r>
                    <w:rPr>
                      <w:rFonts w:ascii="仿宋_GB2312" w:hAnsi="仿宋_GB2312" w:cs="仿宋_GB2312" w:eastAsia="仿宋_GB2312"/>
                      <w:sz w:val="22"/>
                      <w:color w:val="000000"/>
                    </w:rPr>
                    <w:t>1.2m,</w:t>
                  </w:r>
                  <w:r>
                    <w:rPr>
                      <w:rFonts w:ascii="仿宋_GB2312" w:hAnsi="仿宋_GB2312" w:cs="仿宋_GB2312" w:eastAsia="仿宋_GB2312"/>
                      <w:sz w:val="22"/>
                      <w:color w:val="000000"/>
                    </w:rPr>
                    <w:t>深</w:t>
                  </w:r>
                  <w:r>
                    <w:rPr>
                      <w:rFonts w:ascii="仿宋_GB2312" w:hAnsi="仿宋_GB2312" w:cs="仿宋_GB2312" w:eastAsia="仿宋_GB2312"/>
                      <w:sz w:val="22"/>
                      <w:color w:val="000000"/>
                    </w:rPr>
                    <w:t>1.5m</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自来水管道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DN32PE</w:t>
                  </w:r>
                  <w:r>
                    <w:rPr>
                      <w:rFonts w:ascii="仿宋_GB2312" w:hAnsi="仿宋_GB2312" w:cs="仿宋_GB2312" w:eastAsia="仿宋_GB2312"/>
                      <w:sz w:val="22"/>
                      <w:color w:val="000000"/>
                    </w:rPr>
                    <w:t>管直埋</w:t>
                  </w:r>
                  <w:r>
                    <w:rPr>
                      <w:rFonts w:ascii="仿宋_GB2312" w:hAnsi="仿宋_GB2312" w:cs="仿宋_GB2312" w:eastAsia="仿宋_GB2312"/>
                      <w:sz w:val="22"/>
                      <w:color w:val="000000"/>
                    </w:rPr>
                    <w:t>0.5m*1.2m</w:t>
                  </w:r>
                  <w:r>
                    <w:rPr>
                      <w:rFonts w:ascii="仿宋_GB2312" w:hAnsi="仿宋_GB2312" w:cs="仿宋_GB2312" w:eastAsia="仿宋_GB2312"/>
                      <w:sz w:val="22"/>
                      <w:color w:val="000000"/>
                    </w:rPr>
                    <w:t>管沟开挖回填</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电缆</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YJV50mm²</w:t>
                  </w:r>
                  <w:r>
                    <w:rPr>
                      <w:rFonts w:ascii="仿宋_GB2312" w:hAnsi="仿宋_GB2312" w:cs="仿宋_GB2312" w:eastAsia="仿宋_GB2312"/>
                      <w:sz w:val="22"/>
                      <w:color w:val="000000"/>
                    </w:rPr>
                    <w:t>电缆直埋</w:t>
                  </w:r>
                  <w:r>
                    <w:rPr>
                      <w:rFonts w:ascii="仿宋_GB2312" w:hAnsi="仿宋_GB2312" w:cs="仿宋_GB2312" w:eastAsia="仿宋_GB2312"/>
                      <w:sz w:val="22"/>
                      <w:color w:val="000000"/>
                    </w:rPr>
                    <w:t>0.5m*1.2m</w:t>
                  </w:r>
                  <w:r>
                    <w:rPr>
                      <w:rFonts w:ascii="仿宋_GB2312" w:hAnsi="仿宋_GB2312" w:cs="仿宋_GB2312" w:eastAsia="仿宋_GB2312"/>
                      <w:sz w:val="22"/>
                      <w:color w:val="000000"/>
                    </w:rPr>
                    <w:t>管沟开挖回填</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屋面防水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140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SBSl</w:t>
                  </w:r>
                  <w:r>
                    <w:rPr>
                      <w:rFonts w:ascii="仿宋_GB2312" w:hAnsi="仿宋_GB2312" w:cs="仿宋_GB2312" w:eastAsia="仿宋_GB2312"/>
                      <w:sz w:val="22"/>
                      <w:color w:val="000000"/>
                    </w:rPr>
                    <w:t>两道</w:t>
                  </w:r>
                  <w:r>
                    <w:rPr>
                      <w:rFonts w:ascii="仿宋_GB2312" w:hAnsi="仿宋_GB2312" w:cs="仿宋_GB2312" w:eastAsia="仿宋_GB2312"/>
                      <w:sz w:val="22"/>
                      <w:color w:val="000000"/>
                    </w:rPr>
                    <w:t>3mm+4mm+10cmC25</w:t>
                  </w:r>
                  <w:r>
                    <w:rPr>
                      <w:rFonts w:ascii="仿宋_GB2312" w:hAnsi="仿宋_GB2312" w:cs="仿宋_GB2312" w:eastAsia="仿宋_GB2312"/>
                      <w:sz w:val="22"/>
                      <w:color w:val="000000"/>
                    </w:rPr>
                    <w:t>混凝土保护层</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室内插座电路2.5mm²</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450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20PVC</w:t>
                  </w:r>
                  <w:r>
                    <w:rPr>
                      <w:rFonts w:ascii="仿宋_GB2312" w:hAnsi="仿宋_GB2312" w:cs="仿宋_GB2312" w:eastAsia="仿宋_GB2312"/>
                      <w:sz w:val="22"/>
                      <w:color w:val="000000"/>
                    </w:rPr>
                    <w:t>线管</w:t>
                  </w:r>
                  <w:r>
                    <w:rPr>
                      <w:rFonts w:ascii="仿宋_GB2312" w:hAnsi="仿宋_GB2312" w:cs="仿宋_GB2312" w:eastAsia="仿宋_GB2312"/>
                      <w:sz w:val="22"/>
                      <w:color w:val="000000"/>
                    </w:rPr>
                    <w:t>+</w:t>
                  </w:r>
                  <w:r>
                    <w:rPr>
                      <w:rFonts w:ascii="仿宋_GB2312" w:hAnsi="仿宋_GB2312" w:cs="仿宋_GB2312" w:eastAsia="仿宋_GB2312"/>
                      <w:sz w:val="22"/>
                      <w:color w:val="000000"/>
                    </w:rPr>
                    <w:t>穿线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室内照明电路4.0mm²</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960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20PVC</w:t>
                  </w:r>
                  <w:r>
                    <w:rPr>
                      <w:rFonts w:ascii="仿宋_GB2312" w:hAnsi="仿宋_GB2312" w:cs="仿宋_GB2312" w:eastAsia="仿宋_GB2312"/>
                      <w:sz w:val="22"/>
                      <w:color w:val="000000"/>
                    </w:rPr>
                    <w:t>线管</w:t>
                  </w:r>
                  <w:r>
                    <w:rPr>
                      <w:rFonts w:ascii="仿宋_GB2312" w:hAnsi="仿宋_GB2312" w:cs="仿宋_GB2312" w:eastAsia="仿宋_GB2312"/>
                      <w:sz w:val="22"/>
                      <w:color w:val="000000"/>
                    </w:rPr>
                    <w:t>+</w:t>
                  </w:r>
                  <w:r>
                    <w:rPr>
                      <w:rFonts w:ascii="仿宋_GB2312" w:hAnsi="仿宋_GB2312" w:cs="仿宋_GB2312" w:eastAsia="仿宋_GB2312"/>
                      <w:sz w:val="22"/>
                      <w:color w:val="000000"/>
                    </w:rPr>
                    <w:t>穿线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地砖墙地面</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67.2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卫生间、淋浴间、厨房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卫生间、淋浴间防水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2mm</w:t>
                  </w:r>
                  <w:r>
                    <w:rPr>
                      <w:rFonts w:ascii="仿宋_GB2312" w:hAnsi="仿宋_GB2312" w:cs="仿宋_GB2312" w:eastAsia="仿宋_GB2312"/>
                      <w:sz w:val="22"/>
                      <w:color w:val="000000"/>
                    </w:rPr>
                    <w:t>聚氨酯</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8"/>
                      <w:color w:val="000000"/>
                    </w:rPr>
                    <w:t>三</w:t>
                  </w:r>
                </w:p>
              </w:tc>
              <w:tc>
                <w:tcPr>
                  <w:tcW w:type="dxa" w:w="2040"/>
                  <w:gridSpan w:val="4"/>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8"/>
                      <w:b/>
                      <w:color w:val="000000"/>
                    </w:rPr>
                    <w:t>拆除恢复工程（利用拆除旧材料不计主材）</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断桥窗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12</w:t>
                  </w:r>
                  <w:r>
                    <w:rPr>
                      <w:rFonts w:ascii="仿宋_GB2312" w:hAnsi="仿宋_GB2312" w:cs="仿宋_GB2312" w:eastAsia="仿宋_GB2312"/>
                      <w:sz w:val="22"/>
                      <w:color w:val="000000"/>
                    </w:rPr>
                    <w:t>樘</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防火门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外墙装饰面板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389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房檐铝板及钢架</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钢楼梯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16.5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广告牌</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103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电动卷帘门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室内窗帘</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室内吊顶</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开关插座</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个</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106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灯具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会议室灯带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室内墙板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室内隔墙</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10cm</w:t>
                  </w:r>
                  <w:r>
                    <w:rPr>
                      <w:rFonts w:ascii="仿宋_GB2312" w:hAnsi="仿宋_GB2312" w:cs="仿宋_GB2312" w:eastAsia="仿宋_GB2312"/>
                      <w:sz w:val="22"/>
                      <w:color w:val="000000"/>
                    </w:rPr>
                    <w:t>轻钢龙骨及石膏板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配电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室内空调风管机</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组</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空调主机</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空调风管及线路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136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暖气片</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组</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暖气管道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170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采暖锅炉</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木地板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混凝土楼面</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10cmC25混凝土</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电器设备</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洗衣机、多媒体、换气扇、热水器等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橱柜</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厨房设备</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油烟机、燃气灶等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自来水管道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75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DN25 PPR</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PVC排污管道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DN110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卫生洁具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便池、蹲坑、洗脸盆等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卫生间隔断</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家具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床、衣柜、货架、会议桌、餐桌、健身器等</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钢构主体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一层高</w:t>
                  </w:r>
                  <w:r>
                    <w:rPr>
                      <w:rFonts w:ascii="仿宋_GB2312" w:hAnsi="仿宋_GB2312" w:cs="仿宋_GB2312" w:eastAsia="仿宋_GB2312"/>
                      <w:sz w:val="22"/>
                      <w:color w:val="000000"/>
                    </w:rPr>
                    <w:t>6.0m</w:t>
                  </w:r>
                  <w:r>
                    <w:rPr>
                      <w:rFonts w:ascii="仿宋_GB2312" w:hAnsi="仿宋_GB2312" w:cs="仿宋_GB2312" w:eastAsia="仿宋_GB2312"/>
                      <w:sz w:val="22"/>
                      <w:color w:val="000000"/>
                    </w:rPr>
                    <w:t>二层</w:t>
                  </w:r>
                  <w:r>
                    <w:rPr>
                      <w:rFonts w:ascii="仿宋_GB2312" w:hAnsi="仿宋_GB2312" w:cs="仿宋_GB2312" w:eastAsia="仿宋_GB2312"/>
                      <w:sz w:val="22"/>
                      <w:color w:val="000000"/>
                    </w:rPr>
                    <w:t>3.1</w:t>
                  </w:r>
                  <w:r>
                    <w:rPr>
                      <w:rFonts w:ascii="仿宋_GB2312" w:hAnsi="仿宋_GB2312" w:cs="仿宋_GB2312" w:eastAsia="仿宋_GB2312"/>
                      <w:sz w:val="22"/>
                      <w:color w:val="000000"/>
                    </w:rPr>
                    <w:t>三层</w:t>
                  </w:r>
                  <w:r>
                    <w:rPr>
                      <w:rFonts w:ascii="仿宋_GB2312" w:hAnsi="仿宋_GB2312" w:cs="仿宋_GB2312" w:eastAsia="仿宋_GB2312"/>
                      <w:sz w:val="22"/>
                      <w:color w:val="000000"/>
                    </w:rPr>
                    <w:t>3.1</w:t>
                  </w:r>
                </w:p>
              </w:tc>
            </w:tr>
            <w:tr>
              <w:tc>
                <w:tcPr>
                  <w:tcW w:type="dxa" w:w="510"/>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8"/>
                      <w:b/>
                      <w:color w:val="000000"/>
                    </w:rPr>
                    <w:t>四</w:t>
                  </w:r>
                </w:p>
              </w:tc>
              <w:tc>
                <w:tcPr>
                  <w:tcW w:type="dxa" w:w="2040"/>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8"/>
                      <w:b/>
                      <w:color w:val="000000"/>
                    </w:rPr>
                    <w:t>拆除损耗材料补充（主材）</w:t>
                  </w:r>
                </w:p>
              </w:tc>
            </w:tr>
            <w:tr>
              <w:tc>
                <w:tcPr>
                  <w:tcW w:type="dxa" w:w="510"/>
                  <w:vMerge/>
                  <w:tcBorders>
                    <w:top w:val="single" w:color="000000" w:sz="4"/>
                    <w:left w:val="single" w:color="000000" w:sz="4"/>
                    <w:bottom w:val="single" w:color="000000" w:sz="4"/>
                    <w:right w:val="single" w:color="000000" w:sz="4"/>
                  </w:tcBorders>
                </w:tcPr>
                <w:p/>
              </w:tc>
              <w:tc>
                <w:tcPr>
                  <w:tcW w:type="dxa" w:w="2040"/>
                  <w:gridSpan w:val="4"/>
                  <w:vMerge/>
                  <w:tcBorders>
                    <w:top w:val="single" w:color="000000" w:sz="4"/>
                    <w:left w:val="single" w:color="000000" w:sz="4"/>
                    <w:bottom w:val="single" w:color="000000" w:sz="4"/>
                    <w:right w:val="single" w:color="000000" w:sz="4"/>
                  </w:tcBorders>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墙板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330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隔墙</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420</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10cm</w:t>
                  </w:r>
                  <w:r>
                    <w:rPr>
                      <w:rFonts w:ascii="仿宋_GB2312" w:hAnsi="仿宋_GB2312" w:cs="仿宋_GB2312" w:eastAsia="仿宋_GB2312"/>
                      <w:sz w:val="22"/>
                      <w:color w:val="000000"/>
                    </w:rPr>
                    <w:t>轻钢龙骨</w:t>
                  </w:r>
                  <w:r>
                    <w:rPr>
                      <w:rFonts w:ascii="仿宋_GB2312" w:hAnsi="仿宋_GB2312" w:cs="仿宋_GB2312" w:eastAsia="仿宋_GB2312"/>
                      <w:sz w:val="22"/>
                      <w:color w:val="000000"/>
                    </w:rPr>
                    <w:t>+</w:t>
                  </w:r>
                  <w:r>
                    <w:rPr>
                      <w:rFonts w:ascii="仿宋_GB2312" w:hAnsi="仿宋_GB2312" w:cs="仿宋_GB2312" w:eastAsia="仿宋_GB2312"/>
                      <w:sz w:val="22"/>
                      <w:color w:val="000000"/>
                    </w:rPr>
                    <w:t>石膏板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3</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吊顶</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126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墙板材料</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4</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木地板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95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外墙装饰板</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117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2cm</w:t>
                  </w:r>
                  <w:r>
                    <w:rPr>
                      <w:rFonts w:ascii="仿宋_GB2312" w:hAnsi="仿宋_GB2312" w:cs="仿宋_GB2312" w:eastAsia="仿宋_GB2312"/>
                      <w:sz w:val="22"/>
                      <w:color w:val="000000"/>
                    </w:rPr>
                    <w:t>聚氨酯保温一体装饰板</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6</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广告牌</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55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铝塑板</w:t>
                  </w:r>
                  <w:r>
                    <w:rPr>
                      <w:rFonts w:ascii="仿宋_GB2312" w:hAnsi="仿宋_GB2312" w:cs="仿宋_GB2312" w:eastAsia="仿宋_GB2312"/>
                      <w:sz w:val="22"/>
                      <w:color w:val="000000"/>
                    </w:rPr>
                    <w:t>+</w:t>
                  </w:r>
                  <w:r>
                    <w:rPr>
                      <w:rFonts w:ascii="仿宋_GB2312" w:hAnsi="仿宋_GB2312" w:cs="仿宋_GB2312" w:eastAsia="仿宋_GB2312"/>
                      <w:sz w:val="22"/>
                      <w:color w:val="000000"/>
                    </w:rPr>
                    <w:t>阻燃板</w:t>
                  </w:r>
                  <w:r>
                    <w:rPr>
                      <w:rFonts w:ascii="仿宋_GB2312" w:hAnsi="仿宋_GB2312" w:cs="仿宋_GB2312" w:eastAsia="仿宋_GB2312"/>
                      <w:sz w:val="22"/>
                      <w:color w:val="000000"/>
                    </w:rPr>
                    <w:t>+</w:t>
                  </w:r>
                  <w:r>
                    <w:rPr>
                      <w:rFonts w:ascii="仿宋_GB2312" w:hAnsi="仿宋_GB2312" w:cs="仿宋_GB2312" w:eastAsia="仿宋_GB2312"/>
                      <w:sz w:val="22"/>
                      <w:color w:val="000000"/>
                    </w:rPr>
                    <w:t>钢架</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7</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110PVC管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m</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2"/>
                      <w:color w:val="000000"/>
                    </w:rPr>
                    <w:t>65</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8</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暖气管道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DN25</w:t>
                  </w:r>
                  <w:r>
                    <w:rPr>
                      <w:rFonts w:ascii="仿宋_GB2312" w:hAnsi="仿宋_GB2312" w:cs="仿宋_GB2312" w:eastAsia="仿宋_GB2312"/>
                      <w:sz w:val="22"/>
                      <w:color w:val="000000"/>
                    </w:rPr>
                    <w:t>铝塑</w:t>
                  </w:r>
                  <w:r>
                    <w:rPr>
                      <w:rFonts w:ascii="仿宋_GB2312" w:hAnsi="仿宋_GB2312" w:cs="仿宋_GB2312" w:eastAsia="仿宋_GB2312"/>
                      <w:sz w:val="22"/>
                      <w:color w:val="000000"/>
                    </w:rPr>
                    <w:t>PPR</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9</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自来水管道</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DN25PPR</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消防站搬迁的技术规格要求新站消防车库门净宽不低于 4.5 米、净高不低于 4.2 米，供水系统压力稳定在 0.8-1.2MPa 且管网用 304 不锈钢，消防车辆迁移前需检修并以专用支架运输，通信设备迁移后信号覆盖半径不小于 5 公里且延迟≤0.5 秒，配电系统具备双回路供电能力、应急电源切换时间≤0.3 秒且专用回路负荷满足需求；服务要求搬迁单位有、配 10 人以上专业团队，3 日内完成核心设备迁移，搬迁后提供 1 个月免费技术支持及 7×24 小时故障维修且 2 小时内到现场；验收要求消防车辆、供水系统、通信设备 100% 正常运行且模拟出警响应时间≤60 秒，搬迁单位提交完整资料，还需组织人员联合核查，确认符合技术规格、无设备损坏和功能缺失方可验收合格。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符合文件要求，满足采购人需求。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长安路街办长安北路与南郭路交汇口东南角停车场内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所有搬迁服务内容全部完成后，采购人对项目进行整体验收。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项目完成并验收合格，正常投入使用后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磋商的，提供有效的分支机构营业执照，以及有效的总公司营业执照及总公司针对本项目的授权书；供应商为自然人的提供身份证；2、2023年或2024年度经审计的财务报告或在开标日期前12个月内任意时段银行出具的资信证明；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 xml:space="preserve"> 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签订合同后 30 日内，支付合同总金额的 40.00%；项目完成并验收合格后 30 日内，支付合同总金额的60.00%。</w:t>
            </w:r>
          </w:p>
        </w:tc>
        <w:tc>
          <w:tcPr>
            <w:tcW w:type="dxa" w:w="1661"/>
          </w:tcPr>
          <w:p>
            <w:pPr>
              <w:pStyle w:val="null3"/>
            </w:pPr>
            <w:r>
              <w:rPr>
                <w:rFonts w:ascii="仿宋_GB2312" w:hAnsi="仿宋_GB2312" w:cs="仿宋_GB2312" w:eastAsia="仿宋_GB2312"/>
              </w:rPr>
              <w:t>响应函 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提供完整、详细、实际、可行的项目实施方案。内容包含但不限于： ①项目总体实施思路②实施计划③ 质量 、进度保证措施④项目管理措 施⑤人员、物力调配的相应保障措施等。A.方案详细完善、合理可行 、针对性强、可行性强，得25分； B.方案较详细，基本合理可行、有 针对性，可行性一般，得18分；C .方案较详细、基本合理可行，针对 性、可行性欠缺，得10分；D.方案简单，可行性及针对性欠缺，得5分；E.其他或未提供得0分。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针对本项目提供的质量保证措施进 行综合评审 A.措施计划详细完善、 合理可行、针对性强，得6分；B. 措施计划较详细、基本合理可行，针对性欠缺，得4分；C.措施计划 简单，可行性及针对性欠缺，得2 分；D.其他或未提供得0分。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针对本项目的项目组织管理机构配 备。 A.人员组织架构完整，岗位设 置合理、明确，技术人员专业性、 经验性强，得8分；B.人员组织架 构有待优化，岗位设置基本合理， 技术人员专业性、经验性欠缺，得 5分；C.人员组织架构不完整，岗 位设置紧张，技术人员专业性、经 验性欠缺，得3分；D.其他或未提 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根据供应商提供的施工机械、设备和材料投入计划等进行评审。A.主 要机械配置齐全，设备型号、参数 及用途清晰，针对性强，材料投入合理，得6分；B. 主要机械配置紧 张，设备型号、参数及用途基本清晰，缺乏针对性，材料投入基本合理，得4分；C. 主要机械配置紧张 ，设备型号、参数及用途不清晰， 材料投入有欠缺，得2分；D.其他 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A.劳动力安排详细、合理、充分，组织有序，工明确，得6分；B.劳 动力安排合理、充分，有组织和分 工，得4分； C.劳动力安排笼统， 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 的质量保修承诺及保障措施、工期 承诺及保障措施、安全承诺及保障 措施、后续服务方案。 以上4部分 方案内容全面详细、阐述条理清晰 详尽、符合本项目采购需求，能有 效保障本项目实施的得12分，每有 一项方案缺失扣3分，每一项方案 内容存在缺陷扣2分。说明：缺陷 是指①内容不合理、虽有内容但内 容稀疏、不完善、内容表述前后不一致；②套用其他项目方案或与项 目需求不匹配及其他不利于项目实 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针对本项目提供的文明施工措施计 划进行综合评审。 A.措施计划详细 完善、合理可行、针对性强，得6 分；B.措施计划较详细、基本合理 可行，针对性欠缺，得4分；C.措施计划简单，可行性及针对性欠缺 ，得2分；D.其他或未提供得0分。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 及突发事件的应急处理方案。 A.应 急处理方案全面、合理、规范、可实施性强，得6分；B.应急处理方 案合理，具有一定实施性，得4分 ；C.应急处理方案基本合理，可实施性欠缺，得2分；D.其他或未提供得0分。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供应商2022年6月至截标时间前类 似项目业绩；每提供1份计2分，最 高得10分。业绩证明 (时间以合同签订时间为准，须在响应文件中 附合同协议书扫描件并加盖单位公 章，证明材料不符合要求或未提供 的不得分) 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满足磋商文件要求且投标价格最低的报价为评标基准价，其价格分为满分。其他供应商的价格分统一按照下列公式计算：价格分=(磋商基准价／磋商报价)×15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报价一览表及明细表.docx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偏差表.docx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详见附件：报价一览表及明细表.docx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 务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