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3BC97">
      <w:pPr>
        <w:pStyle w:val="9"/>
        <w:keepNext w:val="0"/>
        <w:keepLines w:val="0"/>
        <w:pageBreakBefore w:val="0"/>
        <w:wordWrap/>
        <w:overflowPunct/>
        <w:topLinePunct w:val="0"/>
        <w:bidi w:val="0"/>
        <w:spacing w:line="360" w:lineRule="auto"/>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政府采购合同格式</w:t>
      </w:r>
    </w:p>
    <w:p w14:paraId="4741645A">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合同编号： </w:t>
      </w:r>
    </w:p>
    <w:p w14:paraId="774E8843">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签订地点： </w:t>
      </w:r>
    </w:p>
    <w:p w14:paraId="568FD721">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签订时间: </w:t>
      </w:r>
    </w:p>
    <w:p w14:paraId="318B4A09">
      <w:pPr>
        <w:pStyle w:val="9"/>
        <w:keepNext w:val="0"/>
        <w:keepLines w:val="0"/>
        <w:pageBreakBefore w:val="0"/>
        <w:widowControl/>
        <w:wordWrap/>
        <w:overflowPunct/>
        <w:topLinePunct w:val="0"/>
        <w:bidi w:val="0"/>
        <w:adjustRightInd w:val="0"/>
        <w:snapToGrid w:val="0"/>
        <w:spacing w:line="360" w:lineRule="auto"/>
        <w:ind w:firstLine="439" w:firstLineChars="183"/>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是否为专门面向中小企业的采购项目：</w:t>
      </w:r>
      <w:r>
        <w:rPr>
          <w:rFonts w:hint="eastAsia" w:ascii="宋体" w:hAnsi="宋体" w:eastAsia="宋体" w:cs="宋体"/>
          <w:color w:val="auto"/>
          <w:sz w:val="24"/>
          <w:szCs w:val="24"/>
          <w:lang w:val="en-US" w:eastAsia="zh-CN"/>
        </w:rPr>
        <w:t>是</w:t>
      </w:r>
    </w:p>
    <w:p w14:paraId="300E10AD">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p>
    <w:p w14:paraId="349D8A70">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供应商（乙方）：</w:t>
      </w:r>
    </w:p>
    <w:p w14:paraId="43A3C5B4">
      <w:pPr>
        <w:pStyle w:val="5"/>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根据《中华人民共和国政府采购法》及实施条例、《中华人民共和国民法典》和</w:t>
      </w:r>
      <w:r>
        <w:rPr>
          <w:rFonts w:hint="eastAsia" w:ascii="宋体" w:hAnsi="宋体" w:eastAsia="宋体" w:cs="宋体"/>
          <w:color w:val="auto"/>
          <w:sz w:val="24"/>
          <w:szCs w:val="24"/>
          <w:lang w:eastAsia="zh-CN"/>
        </w:rPr>
        <w:t>西安市碑林区住房和城市建设局人力资源服务外包项目</w:t>
      </w:r>
      <w:r>
        <w:rPr>
          <w:rFonts w:hint="eastAsia" w:ascii="宋体" w:hAnsi="宋体" w:eastAsia="宋体" w:cs="宋体"/>
          <w:color w:val="auto"/>
          <w:sz w:val="24"/>
          <w:szCs w:val="24"/>
        </w:rPr>
        <w:t>（采购项目编号SXLX25-02-015Z(F)</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的采购文件、响应文件等有关规定，为确保甲方采购项目的顺利实施，甲、乙双方在平等自愿原则下签订本合同，并共同遵守如下条款，其主要要求如下：</w:t>
      </w:r>
    </w:p>
    <w:p w14:paraId="152F55FF">
      <w:pPr>
        <w:keepNext w:val="0"/>
        <w:keepLines w:val="0"/>
        <w:pageBreakBefore w:val="0"/>
        <w:widowControl/>
        <w:wordWrap/>
        <w:overflowPunct/>
        <w:topLinePunct w:val="0"/>
        <w:bidi w:val="0"/>
        <w:adjustRightInd w:val="0"/>
        <w:snapToGrid w:val="0"/>
        <w:spacing w:line="360" w:lineRule="auto"/>
        <w:ind w:firstLine="482" w:firstLineChars="200"/>
        <w:jc w:val="left"/>
        <w:textAlignment w:val="baseline"/>
        <w:outlineLvl w:val="1"/>
        <w:rPr>
          <w:rFonts w:hint="eastAsia" w:ascii="宋体" w:hAnsi="宋体" w:eastAsia="宋体" w:cs="宋体"/>
          <w:b/>
          <w:color w:val="auto"/>
          <w:sz w:val="24"/>
          <w:szCs w:val="24"/>
        </w:rPr>
      </w:pPr>
      <w:bookmarkStart w:id="0" w:name="_Toc11438"/>
      <w:r>
        <w:rPr>
          <w:rFonts w:hint="eastAsia" w:ascii="宋体" w:hAnsi="宋体" w:eastAsia="宋体" w:cs="宋体"/>
          <w:b/>
          <w:color w:val="auto"/>
          <w:sz w:val="24"/>
          <w:szCs w:val="24"/>
        </w:rPr>
        <w:t>第一条  项目基本情况</w:t>
      </w:r>
      <w:bookmarkEnd w:id="0"/>
    </w:p>
    <w:p w14:paraId="36A59B61">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bookmarkStart w:id="1" w:name="_Toc24394"/>
      <w:r>
        <w:rPr>
          <w:rFonts w:hint="eastAsia" w:ascii="宋体" w:hAnsi="宋体" w:eastAsia="宋体" w:cs="宋体"/>
          <w:snapToGrid w:val="0"/>
          <w:color w:val="auto"/>
          <w:kern w:val="0"/>
          <w:sz w:val="24"/>
          <w:szCs w:val="24"/>
          <w:lang w:val="en-US" w:eastAsia="zh-CN" w:bidi="ar-SA"/>
        </w:rPr>
        <w:t>地铁六号线(碑林段)建设涉及站点房屋征迁安置等工作，对所涉及征迁范围内的相关单位及住户进行政策宣传、讲解，协助配合有关部门完成相关行政审批，以及项目日常进展工作的巡查和监督。并配合评估单位对所征迁建筑物进行评估，以及配合完成协议签订，协议审核。后期协助办理土地征收资料的整理、归档等工作。（暂定人数20人，具体人数以实际结算为准。）</w:t>
      </w:r>
      <w:bookmarkStart w:id="66" w:name="_GoBack"/>
      <w:bookmarkEnd w:id="66"/>
    </w:p>
    <w:p w14:paraId="25B9A8B0">
      <w:pPr>
        <w:keepNext w:val="0"/>
        <w:keepLines w:val="0"/>
        <w:pageBreakBefore w:val="0"/>
        <w:widowControl/>
        <w:wordWrap/>
        <w:overflowPunct/>
        <w:topLinePunct w:val="0"/>
        <w:bidi w:val="0"/>
        <w:adjustRightInd w:val="0"/>
        <w:snapToGrid w:val="0"/>
        <w:spacing w:line="360" w:lineRule="auto"/>
        <w:ind w:firstLine="482" w:firstLineChars="200"/>
        <w:jc w:val="left"/>
        <w:textAlignment w:val="baseline"/>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第二条  服务期限</w:t>
      </w:r>
      <w:bookmarkEnd w:id="1"/>
    </w:p>
    <w:p w14:paraId="14B7600C">
      <w:pPr>
        <w:keepNext w:val="0"/>
        <w:keepLines w:val="0"/>
        <w:pageBreakBefore w:val="0"/>
        <w:widowControl/>
        <w:tabs>
          <w:tab w:val="left" w:pos="387"/>
        </w:tabs>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b w:val="0"/>
          <w:bCs/>
          <w:color w:val="auto"/>
          <w:sz w:val="24"/>
          <w:szCs w:val="24"/>
          <w:lang w:eastAsia="zh-CN"/>
        </w:rPr>
      </w:pPr>
      <w:bookmarkStart w:id="2" w:name="_Toc2407"/>
      <w:bookmarkStart w:id="3" w:name="_Toc251768862"/>
      <w:bookmarkStart w:id="4" w:name="_Toc238984975"/>
      <w:bookmarkStart w:id="5" w:name="_Toc241833903"/>
      <w:bookmarkStart w:id="6" w:name="_Toc283019214"/>
      <w:bookmarkStart w:id="7" w:name="_Toc239233914"/>
      <w:bookmarkStart w:id="8" w:name="_Toc232492928"/>
      <w:bookmarkStart w:id="9" w:name="_Toc225244852"/>
      <w:bookmarkStart w:id="10" w:name="_Toc185395249"/>
      <w:bookmarkStart w:id="11" w:name="_Toc282696226"/>
      <w:bookmarkStart w:id="12" w:name="_Toc211911348"/>
      <w:bookmarkStart w:id="13" w:name="_Toc237145406"/>
      <w:bookmarkStart w:id="14" w:name="_Toc247334841"/>
      <w:bookmarkStart w:id="15" w:name="_Toc225670751"/>
      <w:bookmarkStart w:id="16" w:name="_Toc239568418"/>
      <w:bookmarkStart w:id="17" w:name="_Toc286993786"/>
      <w:bookmarkStart w:id="18" w:name="_Toc225654644"/>
      <w:bookmarkStart w:id="19" w:name="_Toc211854449"/>
      <w:bookmarkStart w:id="20" w:name="_Toc212019594"/>
      <w:r>
        <w:rPr>
          <w:rFonts w:hint="eastAsia" w:ascii="宋体" w:hAnsi="宋体" w:eastAsia="宋体" w:cs="宋体"/>
          <w:b w:val="0"/>
          <w:bCs/>
          <w:color w:val="auto"/>
          <w:sz w:val="24"/>
          <w:szCs w:val="24"/>
          <w:lang w:eastAsia="zh-CN"/>
        </w:rPr>
        <w:t>1年。</w:t>
      </w:r>
    </w:p>
    <w:p w14:paraId="0300DE76">
      <w:pPr>
        <w:keepNext w:val="0"/>
        <w:keepLines w:val="0"/>
        <w:pageBreakBefore w:val="0"/>
        <w:widowControl/>
        <w:tabs>
          <w:tab w:val="left" w:pos="387"/>
        </w:tabs>
        <w:wordWrap/>
        <w:overflowPunct/>
        <w:topLinePunct w:val="0"/>
        <w:bidi w:val="0"/>
        <w:adjustRightInd w:val="0"/>
        <w:snapToGrid w:val="0"/>
        <w:spacing w:line="360" w:lineRule="auto"/>
        <w:ind w:firstLine="482" w:firstLineChars="200"/>
        <w:jc w:val="left"/>
        <w:textAlignment w:val="baseline"/>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第三条  服务内容与质量标准</w:t>
      </w:r>
      <w:bookmarkEnd w:id="2"/>
    </w:p>
    <w:p w14:paraId="7472FFA7">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bookmarkStart w:id="21" w:name="_Toc20078"/>
      <w:r>
        <w:rPr>
          <w:rFonts w:hint="eastAsia" w:ascii="宋体" w:hAnsi="宋体" w:eastAsia="宋体" w:cs="宋体"/>
          <w:snapToGrid w:val="0"/>
          <w:color w:val="auto"/>
          <w:kern w:val="0"/>
          <w:sz w:val="24"/>
          <w:szCs w:val="24"/>
          <w:lang w:val="en-US" w:eastAsia="zh-CN" w:bidi="ar-SA"/>
        </w:rPr>
        <w:t>（一）、服务内容与要求</w:t>
      </w:r>
    </w:p>
    <w:p w14:paraId="5E4B2D76">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1、本项目所派遣人员普通话标准，五官端正，身体健康。</w:t>
      </w:r>
    </w:p>
    <w:p w14:paraId="00AE5561">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2、本项目所派遣人员有责任心、有耐心，无不良嗜好。</w:t>
      </w:r>
    </w:p>
    <w:p w14:paraId="73F41DD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3、本项目有健全的内部管理制度、档案管理制度。</w:t>
      </w:r>
    </w:p>
    <w:p w14:paraId="41D32896">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4、本项目有完整的质量保证措施方案。</w:t>
      </w:r>
    </w:p>
    <w:p w14:paraId="4FC887A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5、本项目对征收人员需有明确的薪酬待遇方案、</w:t>
      </w:r>
      <w:r>
        <w:rPr>
          <w:rFonts w:hint="eastAsia" w:ascii="宋体" w:hAnsi="宋体" w:eastAsia="宋体" w:cs="宋体"/>
          <w:snapToGrid w:val="0"/>
          <w:color w:val="auto"/>
          <w:kern w:val="0"/>
          <w:sz w:val="24"/>
          <w:szCs w:val="24"/>
          <w:lang w:val="en-US" w:eastAsia="zh-Hans" w:bidi="ar-SA"/>
        </w:rPr>
        <w:t>上岗前培训</w:t>
      </w:r>
      <w:r>
        <w:rPr>
          <w:rFonts w:hint="eastAsia" w:ascii="宋体" w:hAnsi="宋体" w:eastAsia="宋体" w:cs="宋体"/>
          <w:snapToGrid w:val="0"/>
          <w:color w:val="auto"/>
          <w:kern w:val="0"/>
          <w:sz w:val="24"/>
          <w:szCs w:val="24"/>
          <w:lang w:val="en-US" w:eastAsia="zh-CN" w:bidi="ar-SA"/>
        </w:rPr>
        <w:t>方案、</w:t>
      </w:r>
      <w:r>
        <w:rPr>
          <w:rFonts w:hint="eastAsia" w:ascii="宋体" w:hAnsi="宋体" w:eastAsia="宋体" w:cs="宋体"/>
          <w:snapToGrid w:val="0"/>
          <w:color w:val="auto"/>
          <w:kern w:val="0"/>
          <w:sz w:val="24"/>
          <w:szCs w:val="24"/>
          <w:lang w:val="en-US" w:eastAsia="zh-Hans" w:bidi="ar-SA"/>
        </w:rPr>
        <w:t>招聘要求和基本程序</w:t>
      </w:r>
      <w:r>
        <w:rPr>
          <w:rFonts w:hint="eastAsia" w:ascii="宋体" w:hAnsi="宋体" w:eastAsia="宋体" w:cs="宋体"/>
          <w:snapToGrid w:val="0"/>
          <w:color w:val="auto"/>
          <w:kern w:val="0"/>
          <w:sz w:val="24"/>
          <w:szCs w:val="24"/>
          <w:lang w:val="en-US" w:eastAsia="zh-CN" w:bidi="ar-SA"/>
        </w:rPr>
        <w:t>方案。</w:t>
      </w:r>
    </w:p>
    <w:p w14:paraId="5452CD5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6、整个项目的实施组织机构、人员、进度安排有具体方案，分工合理、责任明确。</w:t>
      </w:r>
    </w:p>
    <w:p w14:paraId="2F5966C0">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7、针对本项目的突发事件提供合理可行的应急预案。</w:t>
      </w:r>
    </w:p>
    <w:p w14:paraId="7E413C93">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8、在合同执行过程中需要每个月向采购单位进行人员审核情况报备。</w:t>
      </w:r>
    </w:p>
    <w:p w14:paraId="4648B586">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（二）、其他</w:t>
      </w:r>
    </w:p>
    <w:p w14:paraId="782912D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1、成果交付要求</w:t>
      </w:r>
    </w:p>
    <w:p w14:paraId="563E375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供应商根据甲方要求按合同规定的时间完成相应工作。</w:t>
      </w:r>
    </w:p>
    <w:p w14:paraId="35F6FCC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2、违约责任</w:t>
      </w:r>
    </w:p>
    <w:p w14:paraId="1119D974">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按《中华人民共和国民法典》中的相关条款和本合同的约定执行，未按合同或磋商文件要求提供产品或供应的产品质量不能满足采购人技术要求，采购人有权终止合同，甚至对供应商违约行为进行追究。</w:t>
      </w:r>
    </w:p>
    <w:p w14:paraId="103C1682">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第四条  服务费用及支付方式</w:t>
      </w:r>
      <w:bookmarkEnd w:id="21"/>
    </w:p>
    <w:p w14:paraId="28C19472">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bookmarkStart w:id="22" w:name="_Toc22959"/>
      <w:r>
        <w:rPr>
          <w:rFonts w:hint="eastAsia" w:ascii="宋体" w:hAnsi="宋体" w:eastAsia="宋体" w:cs="宋体"/>
          <w:snapToGrid w:val="0"/>
          <w:color w:val="auto"/>
          <w:kern w:val="0"/>
          <w:sz w:val="24"/>
          <w:szCs w:val="24"/>
          <w:lang w:val="en-US" w:eastAsia="zh-CN" w:bidi="ar-SA"/>
        </w:rPr>
        <w:t>1、服务费支付价款</w:t>
      </w:r>
    </w:p>
    <w:p w14:paraId="3AF357A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服务总费用为人民币（大写）：     元，￥     。</w:t>
      </w:r>
    </w:p>
    <w:p w14:paraId="0FC2C8E6">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支付方式：</w:t>
      </w:r>
    </w:p>
    <w:p w14:paraId="03D64D0B">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第1个月，根据实际情况，乙方提供已完成项目数量清单及全额发票，甲方支付约定金额至乙方账户；累计支付金额不得超出本项目签订的合同金额 ，达到付款条件起 7 日内，支付合同总金额的 8.33%。</w:t>
      </w:r>
    </w:p>
    <w:p w14:paraId="696847BE">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第2个月，根据实际情况，乙方提供已完成项目数量清单及全额发票，甲方支付约定金额至乙方账户；累计支付金额不得超出本项目签订的合同金额 ，达到付款条件起 7 日内，支付合同总金额的 8.33%。</w:t>
      </w:r>
    </w:p>
    <w:p w14:paraId="78CFEE01">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第3个月，根据实际情况，乙方提供已完成项目数量清单及全额发票，甲方支付约定金额至乙方账户；累计支付金额不得超出本项目签订的合同金额 ，达到付款条件起 7 日内，支付合同总金额的 8.33%。</w:t>
      </w:r>
    </w:p>
    <w:p w14:paraId="0332E824">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第4个月，根据实际情况，乙方提供已完成项目数量清单及全额发票，甲方支付约定金额至乙方账户；累计支付金额不得超出本项目签订的合同金额 ，达到付款条件起 7 日内，支付合同总金额的 8.33%。</w:t>
      </w:r>
    </w:p>
    <w:p w14:paraId="46F8497D">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第5个月，根据实际情况，乙方提供已完成项目数量清单及全额发票，甲方支付约定金额至乙方账户；累计支付金额不得超出本项目签订的合同金额 ，达到付款条件起 7 日内，支付合同总金额的 8.33%。</w:t>
      </w:r>
    </w:p>
    <w:p w14:paraId="13903784">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第6个月，根据实际情况，乙方提供已完成项目数量清单及全额发票，甲方支付约定金额至乙方账户；累计支付金额不得超出本项目签订的合同金额 ，达到付款条件起 7 日内，支付合同总金额的 8.33%。</w:t>
      </w:r>
    </w:p>
    <w:p w14:paraId="06CCEFEB">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第7个月，根据实际情况，乙方提供已完成项目数量清单及全额发票，甲方支付约定金额至乙方账户；累计支付金额不得超出本项目签订的合同金额 ，达到付款条件起 7 日内，支付合同总金额的 8.33%。</w:t>
      </w:r>
    </w:p>
    <w:p w14:paraId="03C7DAC3">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第8个月，根据实际情况，乙方提供已完成项目数量清单及全额发票，甲方支付约定金额至乙方账户；累计支付金额不得超出本项目签订的合同金额 ，达到付款条件起 7 日内，支付合同总金额的 8.33%。</w:t>
      </w:r>
    </w:p>
    <w:p w14:paraId="5029B0B3">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第9个月，根据实际情况，乙方提供已完成项目数量清单及全额发票，甲方支付约定金额至乙方账户；累计支付金额不得超出本项目签订的合同金额 ，达到付款条件起 7 日内，支付合同总金额的 8.33%。</w:t>
      </w:r>
    </w:p>
    <w:p w14:paraId="36A614A2">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第10个月，根据实际情况，乙方提供已完成项目数量清单及全额发票，甲方支付约定金额至乙方账户；累计支付金额不得超出本项目签订的合同金额 ，达到付款条件起 7 日内，支付合同总金额的 8.33%。</w:t>
      </w:r>
    </w:p>
    <w:p w14:paraId="64990BCA">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第11个月，根据实际情况，乙方提供已完成项目数量清单及全额发票，甲方支付约定金额至乙方账户；累计支付金额不得超出本项目签订的合同金额 ，达到付款条件起 7 日内，支付合同总金额的 8.33%。</w:t>
      </w:r>
    </w:p>
    <w:p w14:paraId="5A9D72BB">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采购包1： 付款条件说明：  第12个月，根据实际情况，乙方提供已完成项目数量清单及全额发票，甲方支付约定金额至乙方账户；累计支付金额不得超出本项目签订的合同金额 ，达到付款条件起 7 日内，支付合同总金额的 8.37%。</w:t>
      </w:r>
    </w:p>
    <w:p w14:paraId="205AA84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3、结算方式：银行转账</w:t>
      </w:r>
    </w:p>
    <w:p w14:paraId="47BCD0C5">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4、乙方收款账户</w:t>
      </w:r>
    </w:p>
    <w:p w14:paraId="4B2D1C05">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 xml:space="preserve">账户名称：    </w:t>
      </w:r>
    </w:p>
    <w:p w14:paraId="7AE6A613">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 xml:space="preserve">开户银行：                   </w:t>
      </w:r>
    </w:p>
    <w:p w14:paraId="32D61B1D">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outlineLvl w:val="1"/>
        <w:rPr>
          <w:rFonts w:hint="eastAsia" w:ascii="宋体" w:hAnsi="宋体" w:eastAsia="宋体" w:cs="宋体"/>
          <w:b/>
          <w:color w:val="auto"/>
          <w:sz w:val="24"/>
          <w:szCs w:val="24"/>
        </w:rPr>
      </w:pPr>
      <w:r>
        <w:rPr>
          <w:rFonts w:hint="eastAsia" w:ascii="宋体" w:hAnsi="宋体" w:eastAsia="宋体" w:cs="宋体"/>
          <w:snapToGrid w:val="0"/>
          <w:color w:val="auto"/>
          <w:kern w:val="0"/>
          <w:sz w:val="24"/>
          <w:szCs w:val="24"/>
          <w:lang w:val="en-US" w:eastAsia="zh-CN" w:bidi="ar-SA"/>
        </w:rPr>
        <w:t xml:space="preserve">银行账号：  </w:t>
      </w:r>
      <w:r>
        <w:rPr>
          <w:rFonts w:hint="eastAsia" w:ascii="宋体" w:hAnsi="宋体" w:eastAsia="宋体" w:cs="宋体"/>
          <w:b w:val="0"/>
          <w:bCs/>
          <w:color w:val="auto"/>
          <w:sz w:val="24"/>
          <w:szCs w:val="24"/>
        </w:rPr>
        <w:t xml:space="preserve">               </w:t>
      </w:r>
    </w:p>
    <w:p w14:paraId="066D2754">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第五条  知识产权（若有）</w:t>
      </w:r>
      <w:bookmarkEnd w:id="22"/>
    </w:p>
    <w:p w14:paraId="454AB19B">
      <w:pPr>
        <w:keepNext w:val="0"/>
        <w:keepLines w:val="0"/>
        <w:pageBreakBefore w:val="0"/>
        <w:widowControl/>
        <w:tabs>
          <w:tab w:val="left" w:pos="144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7BE7C356">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5AE2D331">
      <w:pPr>
        <w:keepNext w:val="0"/>
        <w:keepLines w:val="0"/>
        <w:pageBreakBefore w:val="0"/>
        <w:widowControl/>
        <w:tabs>
          <w:tab w:val="left" w:pos="144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1BFB8E2B">
      <w:pPr>
        <w:keepNext w:val="0"/>
        <w:keepLines w:val="0"/>
        <w:pageBreakBefore w:val="0"/>
        <w:widowControl/>
        <w:wordWrap/>
        <w:overflowPunct/>
        <w:topLinePunct w:val="0"/>
        <w:bidi w:val="0"/>
        <w:adjustRightInd w:val="0"/>
        <w:snapToGrid w:val="0"/>
        <w:spacing w:line="360" w:lineRule="auto"/>
        <w:ind w:firstLine="482" w:firstLineChars="200"/>
        <w:jc w:val="left"/>
        <w:textAlignment w:val="baseline"/>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78ACC3EE">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w:t>
      </w:r>
      <w:r>
        <w:rPr>
          <w:rFonts w:hint="eastAsia" w:ascii="宋体" w:hAnsi="宋体" w:eastAsia="宋体" w:cs="宋体"/>
          <w:color w:val="auto"/>
          <w:kern w:val="0"/>
          <w:sz w:val="24"/>
          <w:szCs w:val="24"/>
          <w:lang w:eastAsia="zh-CN"/>
        </w:rPr>
        <w:t>甲方</w:t>
      </w:r>
      <w:r>
        <w:rPr>
          <w:rFonts w:hint="eastAsia" w:ascii="宋体" w:hAnsi="宋体" w:eastAsia="宋体" w:cs="宋体"/>
          <w:color w:val="auto"/>
          <w:kern w:val="0"/>
          <w:sz w:val="24"/>
          <w:szCs w:val="24"/>
        </w:rPr>
        <w:t>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18CFA07D">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5D3F0B4F">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w:t>
      </w:r>
      <w:r>
        <w:rPr>
          <w:rFonts w:hint="eastAsia" w:ascii="宋体" w:hAnsi="宋体" w:eastAsia="宋体" w:cs="宋体"/>
          <w:bCs/>
          <w:color w:val="auto"/>
          <w:sz w:val="24"/>
          <w:szCs w:val="24"/>
          <w:lang w:eastAsia="zh-CN"/>
        </w:rPr>
        <w:t>一部分</w:t>
      </w:r>
      <w:r>
        <w:rPr>
          <w:rFonts w:hint="eastAsia" w:ascii="宋体" w:hAnsi="宋体" w:eastAsia="宋体" w:cs="宋体"/>
          <w:bCs/>
          <w:color w:val="auto"/>
          <w:sz w:val="24"/>
          <w:szCs w:val="24"/>
        </w:rPr>
        <w:t>用于补偿甲方因乙方不能履行合同义务而蒙受的损失。</w:t>
      </w:r>
    </w:p>
    <w:p w14:paraId="036F9F90">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6C2FCB3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26D92C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10880946">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EB8B07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5B4D8C4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85991C5">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所规定由甲方承担的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20822C59">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590F7DD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597F47A4">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4101A12C">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231DE592">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3950BF93">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所规定由乙方承担的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5182B34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448655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7A921E8">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2.如因乙方工作人员在履行职务过程中</w:t>
      </w:r>
      <w:r>
        <w:rPr>
          <w:rFonts w:hint="eastAsia" w:ascii="宋体" w:hAnsi="宋体" w:eastAsia="宋体" w:cs="宋体"/>
          <w:bCs/>
          <w:color w:val="auto"/>
          <w:sz w:val="24"/>
          <w:szCs w:val="24"/>
          <w:lang w:eastAsia="zh-CN"/>
        </w:rPr>
        <w:t>的</w:t>
      </w:r>
      <w:r>
        <w:rPr>
          <w:rFonts w:hint="eastAsia" w:ascii="宋体" w:hAnsi="宋体" w:eastAsia="宋体" w:cs="宋体"/>
          <w:bCs/>
          <w:color w:val="auto"/>
          <w:sz w:val="24"/>
          <w:szCs w:val="24"/>
        </w:rPr>
        <w:t>疏忽、失职、过错等故意或者过失原因给甲方造成损失或侵害，包括但不限于甲方本身的财产损失、由此而导致的甲方对任何第三方的法律责任等，乙方对此均应承担全部的赔偿责任。</w:t>
      </w:r>
    </w:p>
    <w:p w14:paraId="4302ABBD">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28" w:name="_Toc26448"/>
      <w:r>
        <w:rPr>
          <w:rFonts w:hint="eastAsia" w:ascii="宋体" w:hAnsi="宋体" w:eastAsia="宋体" w:cs="宋体"/>
          <w:b/>
          <w:color w:val="auto"/>
          <w:sz w:val="24"/>
          <w:szCs w:val="24"/>
        </w:rPr>
        <w:t>第十一条  不可抗力事件处理</w:t>
      </w:r>
      <w:bookmarkEnd w:id="28"/>
    </w:p>
    <w:p w14:paraId="42D37A55">
      <w:pPr>
        <w:keepNext w:val="0"/>
        <w:keepLines w:val="0"/>
        <w:pageBreakBefore w:val="0"/>
        <w:widowControl/>
        <w:tabs>
          <w:tab w:val="left" w:pos="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bookmarkStart w:id="29" w:name="_Toc225654649"/>
      <w:bookmarkStart w:id="30" w:name="_Toc225244857"/>
      <w:bookmarkStart w:id="31" w:name="_Toc211911353"/>
      <w:bookmarkStart w:id="32" w:name="_Toc211854454"/>
      <w:bookmarkStart w:id="33" w:name="_Toc232492933"/>
      <w:bookmarkStart w:id="34" w:name="_Toc212019599"/>
      <w:bookmarkStart w:id="35" w:name="_Toc239568423"/>
      <w:bookmarkStart w:id="36" w:name="_Toc241833908"/>
      <w:bookmarkStart w:id="37" w:name="_Toc225670756"/>
      <w:bookmarkStart w:id="38" w:name="_Toc247334846"/>
      <w:bookmarkStart w:id="39" w:name="_Toc251768867"/>
      <w:bookmarkStart w:id="40" w:name="_Toc185395254"/>
      <w:bookmarkStart w:id="41" w:name="_Toc239233919"/>
      <w:bookmarkStart w:id="42" w:name="_Toc237145411"/>
      <w:bookmarkStart w:id="43" w:name="_Toc286993792"/>
      <w:bookmarkStart w:id="44" w:name="_Toc238984980"/>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435A2AD2">
      <w:pPr>
        <w:keepNext w:val="0"/>
        <w:keepLines w:val="0"/>
        <w:pageBreakBefore w:val="0"/>
        <w:widowControl/>
        <w:tabs>
          <w:tab w:val="left" w:pos="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2.不可抗力事件发生后，应立即通知对方，并寄送有关权威机构出具的证明。</w:t>
      </w:r>
    </w:p>
    <w:p w14:paraId="19B02FDD">
      <w:pPr>
        <w:keepNext w:val="0"/>
        <w:keepLines w:val="0"/>
        <w:pageBreakBefore w:val="0"/>
        <w:widowControl/>
        <w:tabs>
          <w:tab w:val="left" w:pos="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3.不可抗力事件延续</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天以上，双方应通过友好协商，确定是否继续履行合同。</w:t>
      </w:r>
    </w:p>
    <w:p w14:paraId="07309919">
      <w:pPr>
        <w:keepNext w:val="0"/>
        <w:keepLines w:val="0"/>
        <w:pageBreakBefore w:val="0"/>
        <w:widowControl/>
        <w:wordWrap/>
        <w:overflowPunct/>
        <w:topLinePunct w:val="0"/>
        <w:bidi w:val="0"/>
        <w:adjustRightInd w:val="0"/>
        <w:snapToGrid w:val="0"/>
        <w:spacing w:before="120" w:beforeLines="50" w:after="120" w:afterLines="50" w:line="360" w:lineRule="auto"/>
        <w:ind w:firstLine="482" w:firstLineChars="200"/>
        <w:jc w:val="left"/>
        <w:textAlignment w:val="baseline"/>
        <w:outlineLvl w:val="1"/>
        <w:rPr>
          <w:rFonts w:hint="eastAsia" w:ascii="宋体" w:hAnsi="宋体" w:eastAsia="宋体" w:cs="宋体"/>
          <w:color w:val="auto"/>
          <w:kern w:val="0"/>
          <w:sz w:val="24"/>
          <w:szCs w:val="24"/>
        </w:rPr>
      </w:pPr>
      <w:bookmarkStart w:id="45" w:name="_Toc20448"/>
      <w:r>
        <w:rPr>
          <w:rFonts w:hint="eastAsia" w:ascii="宋体" w:hAnsi="宋体" w:eastAsia="宋体" w:cs="宋体"/>
          <w:b/>
          <w:color w:val="auto"/>
          <w:sz w:val="24"/>
          <w:szCs w:val="24"/>
        </w:rPr>
        <w:t xml:space="preserve">第十二条  </w:t>
      </w:r>
      <w:r>
        <w:rPr>
          <w:rFonts w:hint="eastAsia" w:ascii="宋体" w:hAnsi="宋体" w:eastAsia="宋体" w:cs="宋体"/>
          <w:b/>
          <w:color w:val="auto"/>
          <w:kern w:val="0"/>
          <w:sz w:val="24"/>
          <w:szCs w:val="24"/>
        </w:rPr>
        <w:t>合同的变更和终止</w:t>
      </w:r>
      <w:bookmarkEnd w:id="45"/>
    </w:p>
    <w:p w14:paraId="3365F892">
      <w:pPr>
        <w:keepNext w:val="0"/>
        <w:keepLines w:val="0"/>
        <w:pageBreakBefore w:val="0"/>
        <w:widowControl/>
        <w:wordWrap/>
        <w:overflowPunct/>
        <w:topLinePunct w:val="0"/>
        <w:bidi w:val="0"/>
        <w:adjustRightInd w:val="0"/>
        <w:snapToGrid w:val="0"/>
        <w:spacing w:line="360" w:lineRule="auto"/>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除《中华人民共和国政府采购法》第49条、第50条第二款规定的情形外，本合同一经签订，甲乙双方不得擅自变更、中止或终止合同。</w:t>
      </w:r>
    </w:p>
    <w:p w14:paraId="20845CE4">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46" w:name="_Toc32004"/>
      <w:r>
        <w:rPr>
          <w:rFonts w:hint="eastAsia" w:ascii="宋体" w:hAnsi="宋体" w:eastAsia="宋体" w:cs="宋体"/>
          <w:b/>
          <w:color w:val="auto"/>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1FF702">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4"/>
          <w:szCs w:val="24"/>
        </w:rPr>
      </w:pPr>
      <w:r>
        <w:rPr>
          <w:rFonts w:hint="eastAsia" w:ascii="宋体" w:hAnsi="宋体" w:eastAsia="宋体" w:cs="宋体"/>
          <w:color w:val="auto"/>
          <w:sz w:val="24"/>
          <w:szCs w:val="24"/>
        </w:rPr>
        <w:t>1、在执行本合同中发生的或与本合同有关的争端，双方应通过友好协商解决，经协商在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天内不能达成协议时，</w:t>
      </w:r>
      <w:r>
        <w:rPr>
          <w:rFonts w:hint="eastAsia" w:ascii="宋体" w:hAnsi="宋体" w:eastAsia="宋体" w:cs="宋体"/>
          <w:color w:val="auto"/>
          <w:kern w:val="0"/>
          <w:sz w:val="24"/>
          <w:szCs w:val="24"/>
        </w:rPr>
        <w:t>则采取以下第</w:t>
      </w:r>
      <w:r>
        <w:rPr>
          <w:rFonts w:hint="eastAsia" w:ascii="宋体" w:hAnsi="宋体" w:eastAsia="宋体" w:cs="宋体"/>
          <w:color w:val="auto"/>
          <w:kern w:val="0"/>
          <w:sz w:val="24"/>
          <w:szCs w:val="24"/>
          <w:u w:val="single"/>
        </w:rPr>
        <w:t xml:space="preserve"> 1 </w:t>
      </w:r>
      <w:r>
        <w:rPr>
          <w:rFonts w:hint="eastAsia" w:ascii="宋体" w:hAnsi="宋体" w:eastAsia="宋体" w:cs="宋体"/>
          <w:color w:val="auto"/>
          <w:kern w:val="0"/>
          <w:sz w:val="24"/>
          <w:szCs w:val="24"/>
        </w:rPr>
        <w:t>种方式解决争议：</w:t>
      </w:r>
    </w:p>
    <w:p w14:paraId="369C3C95">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（1）向甲方所在地有管辖权的人民法院提起诉讼；</w:t>
      </w:r>
    </w:p>
    <w:p w14:paraId="76C5A98A">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（2）向</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仲裁委员会按其仲裁规则申请仲裁。</w:t>
      </w:r>
    </w:p>
    <w:p w14:paraId="7BE2AB0B">
      <w:pPr>
        <w:keepNext w:val="0"/>
        <w:keepLines w:val="0"/>
        <w:pageBreakBefore w:val="0"/>
        <w:widowControl/>
        <w:tabs>
          <w:tab w:val="left" w:pos="0"/>
        </w:tabs>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rPr>
        <w:t>2、在仲裁期间，本合同应继续履行。</w:t>
      </w:r>
    </w:p>
    <w:p w14:paraId="6768381E">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 w:val="24"/>
          <w:szCs w:val="24"/>
        </w:rPr>
      </w:pPr>
      <w:bookmarkStart w:id="47" w:name="_Toc211911354"/>
      <w:bookmarkStart w:id="48" w:name="_Toc241833909"/>
      <w:bookmarkStart w:id="49" w:name="_Toc239568424"/>
      <w:bookmarkStart w:id="50" w:name="_Toc211854455"/>
      <w:bookmarkStart w:id="51" w:name="_Toc225654650"/>
      <w:bookmarkStart w:id="52" w:name="_Toc286993793"/>
      <w:bookmarkStart w:id="53" w:name="_Toc225244858"/>
      <w:bookmarkStart w:id="54" w:name="_Toc251768868"/>
      <w:bookmarkStart w:id="55" w:name="_Toc232492934"/>
      <w:bookmarkStart w:id="56" w:name="_Toc238984981"/>
      <w:bookmarkStart w:id="57" w:name="_Toc247334847"/>
      <w:bookmarkStart w:id="58" w:name="_Toc282696231"/>
      <w:bookmarkStart w:id="59" w:name="_Toc237145412"/>
      <w:bookmarkStart w:id="60" w:name="_Toc283019219"/>
      <w:bookmarkStart w:id="61" w:name="_Toc239233920"/>
      <w:bookmarkStart w:id="62" w:name="_Toc185395255"/>
      <w:bookmarkStart w:id="63" w:name="_Toc212019600"/>
      <w:bookmarkStart w:id="64" w:name="_Toc225670757"/>
      <w:bookmarkStart w:id="65" w:name="_Toc28433"/>
      <w:r>
        <w:rPr>
          <w:rFonts w:hint="eastAsia" w:ascii="宋体" w:hAnsi="宋体" w:eastAsia="宋体" w:cs="宋体"/>
          <w:b/>
          <w:color w:val="auto"/>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rPr>
        <w:t>生效及其他</w:t>
      </w:r>
      <w:bookmarkEnd w:id="65"/>
    </w:p>
    <w:p w14:paraId="411B8FD6">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1、合同经双方法定代表人（单位负责人）或授权委托代理人签字并加盖单位公章后生效。</w:t>
      </w:r>
    </w:p>
    <w:p w14:paraId="7B628D35">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2、合同执行中涉及采购资金和采购内容修改或补充的，须经政府采购监管部门审批，并</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书面补充协议报政府采购监督管理部门备案，方可作为主合同不可分割的一部分。</w:t>
      </w:r>
    </w:p>
    <w:p w14:paraId="57E507FE">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31BE8884">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7803CA63">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1、项目采购文件</w:t>
      </w:r>
    </w:p>
    <w:p w14:paraId="3968B768">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2、项目修改澄清文件</w:t>
      </w:r>
    </w:p>
    <w:p w14:paraId="08DFD329">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3、项目响应文件</w:t>
      </w:r>
    </w:p>
    <w:p w14:paraId="6273BD5E">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4、成交通知书</w:t>
      </w:r>
    </w:p>
    <w:p w14:paraId="6C909E6D">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kern w:val="0"/>
          <w:sz w:val="24"/>
          <w:szCs w:val="24"/>
          <w:highlight w:val="none"/>
          <w:lang w:val="en-US" w:eastAsia="zh-CN" w:bidi="ar"/>
        </w:rPr>
        <w:t>检查验证相关证明材料</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4"/>
          <w:szCs w:val="24"/>
          <w:highlight w:val="none"/>
          <w:lang w:val="en-US" w:eastAsia="zh-CN" w:bidi="ar"/>
        </w:rPr>
        <w:t>1.</w:t>
      </w:r>
      <w:r>
        <w:rPr>
          <w:rFonts w:hint="eastAsia" w:ascii="宋体" w:hAnsi="宋体" w:eastAsia="宋体" w:cs="宋体"/>
          <w:b/>
          <w:bCs/>
          <w:color w:val="auto"/>
          <w:sz w:val="24"/>
          <w:szCs w:val="24"/>
          <w:lang w:eastAsia="zh-CN"/>
        </w:rPr>
        <w:t>财务状况报告；</w:t>
      </w: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lang w:eastAsia="zh-CN"/>
        </w:rPr>
        <w:t>税收缴纳证明；</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highlight w:val="none"/>
        </w:rPr>
        <w:t>社保资金缴纳证明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被授权代表的身份证复印件以及2025年1月至今任意时段在本单位注册的已缴纳的社会保障资金缴存单据或社保机构开具的社会保险参保缴费情况证明；5.成交供应商的业绩(业绩需与磋商响应文件中所提供的保持一致</w:t>
      </w:r>
      <w:r>
        <w:rPr>
          <w:rFonts w:hint="eastAsia" w:ascii="宋体" w:hAnsi="宋体" w:eastAsia="宋体" w:cs="宋体"/>
          <w:color w:val="auto"/>
          <w:sz w:val="24"/>
          <w:szCs w:val="24"/>
          <w:highlight w:val="none"/>
          <w:lang w:val="en-US" w:eastAsia="zh-CN"/>
        </w:rPr>
        <w:t>）。</w:t>
      </w:r>
    </w:p>
    <w:p w14:paraId="7AEA0467">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w:t>
      </w:r>
    </w:p>
    <w:p w14:paraId="52BBA38F">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5E5196D">
      <w:pPr>
        <w:pStyle w:val="10"/>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此页无正文</w:t>
      </w:r>
      <w:r>
        <w:rPr>
          <w:rFonts w:hint="eastAsia" w:ascii="宋体" w:hAnsi="宋体" w:eastAsia="宋体" w:cs="宋体"/>
          <w:color w:val="auto"/>
          <w:sz w:val="24"/>
          <w:szCs w:val="24"/>
          <w:highlight w:val="none"/>
          <w:lang w:eastAsia="zh-CN"/>
        </w:rPr>
        <w:t>）</w:t>
      </w:r>
    </w:p>
    <w:p w14:paraId="485969AD">
      <w:pPr>
        <w:pStyle w:val="3"/>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rPr>
      </w:pPr>
    </w:p>
    <w:p w14:paraId="6309950E">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甲方：   （盖章）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乙方：   （盖章）</w:t>
      </w:r>
    </w:p>
    <w:p w14:paraId="2EDFBCF2">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法定代表人：（单位负责人）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法定代表人：（单位负责人）</w:t>
      </w:r>
    </w:p>
    <w:p w14:paraId="194021AF">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117CB7EA">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0AE409EC">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账号：                               账号：</w:t>
      </w:r>
    </w:p>
    <w:p w14:paraId="72E562E9">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电    话：                           电    话：</w:t>
      </w:r>
    </w:p>
    <w:p w14:paraId="13115B7F">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传    真：                           传    真：</w:t>
      </w:r>
    </w:p>
    <w:p w14:paraId="12540BA6">
      <w:pPr>
        <w:keepNext w:val="0"/>
        <w:keepLines w:val="0"/>
        <w:pageBreakBefore w:val="0"/>
        <w:widowControl/>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签约日期：  年  月  日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签约日期：  年  月  日</w:t>
      </w:r>
    </w:p>
    <w:p w14:paraId="61DBB0FC">
      <w:pPr>
        <w:pStyle w:val="6"/>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rPr>
      </w:pPr>
    </w:p>
    <w:p w14:paraId="0ED50BAA">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4"/>
          <w:szCs w:val="24"/>
        </w:rPr>
      </w:pPr>
    </w:p>
    <w:p w14:paraId="21D26499">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F87018B">
      <w:pPr>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附件：检查验证相关证明材料</w:t>
      </w:r>
    </w:p>
    <w:p w14:paraId="63F38621">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1CD0C298">
      <w:pPr>
        <w:pStyle w:val="4"/>
        <w:adjustRightInd w:val="0"/>
        <w:snapToGrid w:val="0"/>
        <w:spacing w:line="360" w:lineRule="auto"/>
        <w:jc w:val="center"/>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.财务状况报告</w:t>
      </w:r>
    </w:p>
    <w:p w14:paraId="52E6D19E">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14:paraId="090FD22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年度经审计的财务会计报告或其提交响应文件截止时间前3个月内银行出具的资信证明</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（以上形式的资料提供任何一种即可）</w:t>
      </w:r>
    </w:p>
    <w:p w14:paraId="1A09138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w:t>
      </w:r>
    </w:p>
    <w:p w14:paraId="2DD339A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（1）供应商是企业法人的，应提供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25226B5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供应商是执行《小企业会计准则</w:t>
      </w:r>
      <w:r>
        <w:rPr>
          <w:rFonts w:hint="eastAsia" w:ascii="宋体" w:hAnsi="宋体" w:eastAsia="宋体" w:cs="宋体"/>
          <w:b w:val="0"/>
          <w:bCs w:val="0"/>
          <w:color w:val="auto"/>
          <w:kern w:val="0"/>
          <w:sz w:val="24"/>
          <w:szCs w:val="24"/>
          <w:highlight w:val="none"/>
          <w:lang w:val="en-US" w:eastAsia="zh-CN"/>
        </w:rPr>
        <w:t>》的小微企业的</w:t>
      </w:r>
      <w:r>
        <w:rPr>
          <w:rFonts w:hint="eastAsia" w:ascii="宋体" w:hAnsi="宋体" w:eastAsia="宋体" w:cs="宋体"/>
          <w:color w:val="auto"/>
          <w:kern w:val="0"/>
          <w:sz w:val="24"/>
          <w:szCs w:val="24"/>
          <w:highlight w:val="none"/>
        </w:rPr>
        <w:t>，应提供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31F645B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D2D39A8">
      <w:pPr>
        <w:pStyle w:val="4"/>
        <w:adjustRightInd w:val="0"/>
        <w:snapToGrid w:val="0"/>
        <w:spacing w:line="360" w:lineRule="auto"/>
        <w:rPr>
          <w:rFonts w:hint="eastAsia" w:ascii="宋体" w:hAnsi="宋体" w:eastAsia="宋体" w:cs="宋体"/>
          <w:color w:val="auto"/>
          <w:sz w:val="24"/>
          <w:szCs w:val="24"/>
          <w:highlight w:val="none"/>
        </w:rPr>
      </w:pPr>
    </w:p>
    <w:p w14:paraId="2EF3E838">
      <w:pPr>
        <w:pStyle w:val="4"/>
        <w:adjustRightInd w:val="0"/>
        <w:snapToGrid w:val="0"/>
        <w:spacing w:line="360" w:lineRule="auto"/>
        <w:rPr>
          <w:rFonts w:hint="eastAsia" w:ascii="宋体" w:hAnsi="宋体" w:eastAsia="宋体" w:cs="宋体"/>
          <w:color w:val="auto"/>
          <w:sz w:val="24"/>
          <w:szCs w:val="24"/>
          <w:highlight w:val="none"/>
        </w:rPr>
      </w:pPr>
    </w:p>
    <w:p w14:paraId="72BFA59F">
      <w:pPr>
        <w:pStyle w:val="4"/>
        <w:adjustRightInd w:val="0"/>
        <w:snapToGrid w:val="0"/>
        <w:spacing w:line="360" w:lineRule="auto"/>
        <w:jc w:val="left"/>
        <w:rPr>
          <w:rFonts w:hint="eastAsia" w:ascii="宋体" w:hAnsi="宋体" w:eastAsia="宋体" w:cs="宋体"/>
          <w:b/>
          <w:color w:val="auto"/>
          <w:sz w:val="24"/>
          <w:szCs w:val="24"/>
          <w:highlight w:val="none"/>
        </w:rPr>
      </w:pPr>
    </w:p>
    <w:p w14:paraId="29714FA4">
      <w:pPr>
        <w:pStyle w:val="4"/>
        <w:adjustRightInd w:val="0"/>
        <w:snapToGrid w:val="0"/>
        <w:spacing w:line="360" w:lineRule="auto"/>
        <w:jc w:val="left"/>
        <w:rPr>
          <w:rFonts w:hint="eastAsia" w:ascii="宋体" w:hAnsi="宋体" w:eastAsia="宋体" w:cs="宋体"/>
          <w:b/>
          <w:color w:val="auto"/>
          <w:sz w:val="24"/>
          <w:szCs w:val="24"/>
          <w:highlight w:val="none"/>
        </w:rPr>
      </w:pPr>
    </w:p>
    <w:p w14:paraId="4FE9528E">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7AC17890">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基本存款账户信息</w:t>
      </w:r>
    </w:p>
    <w:p w14:paraId="4E929ED3">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35CE878">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账户名称：</w:t>
      </w:r>
    </w:p>
    <w:p w14:paraId="25EA35D0">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账户号码：</w:t>
      </w:r>
    </w:p>
    <w:p w14:paraId="757856A6">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6AF5885F">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基本存款账户编号： </w:t>
      </w:r>
    </w:p>
    <w:p w14:paraId="5FBD9541">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                （盖单位章）</w:t>
      </w:r>
    </w:p>
    <w:p w14:paraId="2E29DC94">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1A1AC5">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4"/>
          <w:szCs w:val="24"/>
          <w:highlight w:val="none"/>
        </w:rPr>
      </w:pPr>
    </w:p>
    <w:p w14:paraId="588281B6">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4"/>
          <w:szCs w:val="24"/>
          <w:highlight w:val="none"/>
        </w:rPr>
      </w:pPr>
    </w:p>
    <w:p w14:paraId="1625E530">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4"/>
          <w:szCs w:val="24"/>
          <w:highlight w:val="none"/>
        </w:rPr>
      </w:pPr>
    </w:p>
    <w:p w14:paraId="2D7B0AFA">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4"/>
          <w:szCs w:val="24"/>
          <w:highlight w:val="none"/>
        </w:rPr>
      </w:pPr>
    </w:p>
    <w:p w14:paraId="61ED457F">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4B408BE">
      <w:pPr>
        <w:pStyle w:val="4"/>
        <w:adjustRightInd w:val="0"/>
        <w:snapToGrid w:val="0"/>
        <w:spacing w:line="360" w:lineRule="auto"/>
        <w:jc w:val="center"/>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.税收缴纳证明</w:t>
      </w:r>
    </w:p>
    <w:p w14:paraId="1C390EE9">
      <w:pPr>
        <w:pStyle w:val="4"/>
        <w:adjustRightInd w:val="0"/>
        <w:snapToGrid w:val="0"/>
        <w:spacing w:line="360" w:lineRule="auto"/>
        <w:jc w:val="left"/>
        <w:rPr>
          <w:rFonts w:hint="eastAsia" w:ascii="宋体" w:hAnsi="宋体" w:eastAsia="宋体" w:cs="宋体"/>
          <w:b w:val="0"/>
          <w:bCs w:val="0"/>
          <w:color w:val="auto"/>
          <w:sz w:val="24"/>
          <w:szCs w:val="24"/>
          <w:highlight w:val="none"/>
        </w:rPr>
      </w:pPr>
    </w:p>
    <w:p w14:paraId="5BBDA0CA">
      <w:pPr>
        <w:pStyle w:val="4"/>
        <w:keepNext w:val="0"/>
        <w:keepLines w:val="0"/>
        <w:pageBreakBefore w:val="0"/>
        <w:kinsoku/>
        <w:wordWrap/>
        <w:overflowPunct/>
        <w:bidi w:val="0"/>
        <w:adjustRightInd w:val="0"/>
        <w:snapToGrid w:val="0"/>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要求</w:t>
      </w:r>
      <w:r>
        <w:rPr>
          <w:rFonts w:hint="eastAsia" w:ascii="宋体" w:hAnsi="宋体" w:eastAsia="宋体" w:cs="宋体"/>
          <w:b/>
          <w:bCs/>
          <w:color w:val="auto"/>
          <w:sz w:val="24"/>
          <w:szCs w:val="24"/>
          <w:highlight w:val="none"/>
          <w:lang w:eastAsia="zh-CN"/>
        </w:rPr>
        <w:t>：</w:t>
      </w:r>
    </w:p>
    <w:p w14:paraId="7C462486">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）提供供应商202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年1月至今已缴纳任意时段任意税种纳税凭证或税务机关开具的完税证明（个人所得税除外）；</w:t>
      </w:r>
    </w:p>
    <w:p w14:paraId="504110E9">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（2）依法免税的应提供相关文件证明；</w:t>
      </w:r>
    </w:p>
    <w:p w14:paraId="671379D2">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（3）新成立（成立时间至提交响应文件截止时间不足一年）未发生缴纳税收事项的供应商，应提供纳税书面承诺；</w:t>
      </w:r>
    </w:p>
    <w:p w14:paraId="07288851">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（4）其他组织和自然人需提供缴纳税收的凭据；</w:t>
      </w:r>
    </w:p>
    <w:p w14:paraId="46D1066D">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（5）复印件需加盖</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单位章。</w:t>
      </w:r>
    </w:p>
    <w:p w14:paraId="6E04F4C3">
      <w:pPr>
        <w:pStyle w:val="4"/>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highlight w:val="none"/>
        </w:rPr>
      </w:pPr>
    </w:p>
    <w:p w14:paraId="4621E2CD">
      <w:pPr>
        <w:pStyle w:val="4"/>
        <w:adjustRightInd w:val="0"/>
        <w:snapToGrid w:val="0"/>
        <w:spacing w:line="360" w:lineRule="auto"/>
        <w:rPr>
          <w:rFonts w:hint="eastAsia" w:ascii="宋体" w:hAnsi="宋体" w:eastAsia="宋体" w:cs="宋体"/>
          <w:color w:val="auto"/>
          <w:sz w:val="24"/>
          <w:szCs w:val="24"/>
          <w:highlight w:val="none"/>
        </w:rPr>
      </w:pPr>
    </w:p>
    <w:p w14:paraId="3F3D5CF6">
      <w:pPr>
        <w:pStyle w:val="4"/>
        <w:adjustRightInd w:val="0"/>
        <w:snapToGrid w:val="0"/>
        <w:spacing w:line="360" w:lineRule="auto"/>
        <w:rPr>
          <w:rFonts w:hint="eastAsia" w:ascii="宋体" w:hAnsi="宋体" w:eastAsia="宋体" w:cs="宋体"/>
          <w:color w:val="auto"/>
          <w:sz w:val="24"/>
          <w:szCs w:val="24"/>
          <w:highlight w:val="none"/>
        </w:rPr>
      </w:pPr>
    </w:p>
    <w:p w14:paraId="346A5F63">
      <w:pPr>
        <w:pStyle w:val="4"/>
        <w:adjustRightInd w:val="0"/>
        <w:snapToGrid w:val="0"/>
        <w:spacing w:line="360" w:lineRule="auto"/>
        <w:rPr>
          <w:rFonts w:hint="eastAsia" w:ascii="宋体" w:hAnsi="宋体" w:eastAsia="宋体" w:cs="宋体"/>
          <w:color w:val="auto"/>
          <w:sz w:val="24"/>
          <w:szCs w:val="24"/>
          <w:highlight w:val="none"/>
        </w:rPr>
      </w:pPr>
    </w:p>
    <w:p w14:paraId="56B29FC2">
      <w:pPr>
        <w:pStyle w:val="4"/>
        <w:adjustRightInd w:val="0"/>
        <w:snapToGrid w:val="0"/>
        <w:spacing w:line="360" w:lineRule="auto"/>
        <w:rPr>
          <w:rFonts w:hint="eastAsia" w:ascii="宋体" w:hAnsi="宋体" w:eastAsia="宋体" w:cs="宋体"/>
          <w:color w:val="auto"/>
          <w:sz w:val="24"/>
          <w:szCs w:val="24"/>
          <w:highlight w:val="none"/>
        </w:rPr>
      </w:pPr>
    </w:p>
    <w:p w14:paraId="2FB18FAC">
      <w:pPr>
        <w:pStyle w:val="4"/>
        <w:adjustRightInd w:val="0"/>
        <w:snapToGrid w:val="0"/>
        <w:spacing w:line="360" w:lineRule="auto"/>
        <w:rPr>
          <w:rFonts w:hint="eastAsia" w:ascii="宋体" w:hAnsi="宋体" w:eastAsia="宋体" w:cs="宋体"/>
          <w:color w:val="auto"/>
          <w:sz w:val="24"/>
          <w:szCs w:val="24"/>
          <w:highlight w:val="none"/>
        </w:rPr>
      </w:pPr>
    </w:p>
    <w:p w14:paraId="43946A29">
      <w:pPr>
        <w:pStyle w:val="4"/>
        <w:adjustRightInd w:val="0"/>
        <w:snapToGrid w:val="0"/>
        <w:spacing w:line="360" w:lineRule="auto"/>
        <w:rPr>
          <w:rFonts w:hint="eastAsia" w:ascii="宋体" w:hAnsi="宋体" w:eastAsia="宋体" w:cs="宋体"/>
          <w:color w:val="auto"/>
          <w:sz w:val="24"/>
          <w:szCs w:val="24"/>
          <w:highlight w:val="none"/>
        </w:rPr>
      </w:pPr>
    </w:p>
    <w:p w14:paraId="63332589">
      <w:pPr>
        <w:pStyle w:val="4"/>
        <w:adjustRightInd w:val="0"/>
        <w:snapToGrid w:val="0"/>
        <w:spacing w:line="360" w:lineRule="auto"/>
        <w:rPr>
          <w:rFonts w:hint="eastAsia" w:ascii="宋体" w:hAnsi="宋体" w:eastAsia="宋体" w:cs="宋体"/>
          <w:color w:val="auto"/>
          <w:sz w:val="24"/>
          <w:szCs w:val="24"/>
          <w:highlight w:val="none"/>
        </w:rPr>
      </w:pPr>
    </w:p>
    <w:p w14:paraId="0EAEFC1E">
      <w:pPr>
        <w:pStyle w:val="4"/>
        <w:adjustRightInd w:val="0"/>
        <w:snapToGrid w:val="0"/>
        <w:spacing w:line="360" w:lineRule="auto"/>
        <w:rPr>
          <w:rFonts w:hint="eastAsia" w:ascii="宋体" w:hAnsi="宋体" w:eastAsia="宋体" w:cs="宋体"/>
          <w:color w:val="auto"/>
          <w:sz w:val="24"/>
          <w:szCs w:val="24"/>
          <w:highlight w:val="none"/>
        </w:rPr>
      </w:pPr>
    </w:p>
    <w:p w14:paraId="43EDD4CC">
      <w:pPr>
        <w:pStyle w:val="4"/>
        <w:adjustRightInd w:val="0"/>
        <w:snapToGrid w:val="0"/>
        <w:spacing w:line="360" w:lineRule="auto"/>
        <w:rPr>
          <w:rFonts w:hint="eastAsia" w:ascii="宋体" w:hAnsi="宋体" w:eastAsia="宋体" w:cs="宋体"/>
          <w:color w:val="auto"/>
          <w:sz w:val="24"/>
          <w:szCs w:val="24"/>
          <w:highlight w:val="none"/>
        </w:rPr>
      </w:pPr>
    </w:p>
    <w:p w14:paraId="196FCCCB">
      <w:pPr>
        <w:pStyle w:val="4"/>
        <w:adjustRightInd w:val="0"/>
        <w:snapToGrid w:val="0"/>
        <w:spacing w:line="360" w:lineRule="auto"/>
        <w:rPr>
          <w:rFonts w:hint="eastAsia" w:ascii="宋体" w:hAnsi="宋体" w:eastAsia="宋体" w:cs="宋体"/>
          <w:color w:val="auto"/>
          <w:sz w:val="24"/>
          <w:szCs w:val="24"/>
          <w:highlight w:val="none"/>
        </w:rPr>
      </w:pPr>
    </w:p>
    <w:p w14:paraId="1CCE438D">
      <w:pPr>
        <w:pStyle w:val="4"/>
        <w:adjustRightInd w:val="0"/>
        <w:snapToGrid w:val="0"/>
        <w:spacing w:line="360" w:lineRule="auto"/>
        <w:rPr>
          <w:rFonts w:hint="eastAsia" w:ascii="宋体" w:hAnsi="宋体" w:eastAsia="宋体" w:cs="宋体"/>
          <w:color w:val="auto"/>
          <w:sz w:val="24"/>
          <w:szCs w:val="24"/>
          <w:highlight w:val="none"/>
        </w:rPr>
      </w:pPr>
    </w:p>
    <w:p w14:paraId="7745416D">
      <w:pPr>
        <w:pStyle w:val="4"/>
        <w:adjustRightInd w:val="0"/>
        <w:snapToGrid w:val="0"/>
        <w:spacing w:line="360" w:lineRule="auto"/>
        <w:rPr>
          <w:rFonts w:hint="eastAsia" w:ascii="宋体" w:hAnsi="宋体" w:eastAsia="宋体" w:cs="宋体"/>
          <w:color w:val="auto"/>
          <w:sz w:val="24"/>
          <w:szCs w:val="24"/>
          <w:highlight w:val="none"/>
        </w:rPr>
      </w:pPr>
    </w:p>
    <w:p w14:paraId="63A0B175">
      <w:pPr>
        <w:pStyle w:val="4"/>
        <w:adjustRightInd w:val="0"/>
        <w:snapToGrid w:val="0"/>
        <w:spacing w:line="360" w:lineRule="auto"/>
        <w:rPr>
          <w:rFonts w:hint="eastAsia" w:ascii="宋体" w:hAnsi="宋体" w:eastAsia="宋体" w:cs="宋体"/>
          <w:color w:val="auto"/>
          <w:sz w:val="24"/>
          <w:szCs w:val="24"/>
          <w:highlight w:val="none"/>
        </w:rPr>
      </w:pPr>
    </w:p>
    <w:p w14:paraId="58BA525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2685D08">
      <w:pPr>
        <w:pStyle w:val="4"/>
        <w:adjustRightInd w:val="0"/>
        <w:snapToGrid w:val="0"/>
        <w:spacing w:line="360" w:lineRule="auto"/>
        <w:jc w:val="left"/>
        <w:rPr>
          <w:rFonts w:hint="eastAsia" w:ascii="宋体" w:hAnsi="宋体" w:eastAsia="宋体" w:cs="宋体"/>
          <w:color w:val="auto"/>
          <w:sz w:val="24"/>
          <w:szCs w:val="24"/>
          <w:highlight w:val="none"/>
        </w:rPr>
      </w:pPr>
    </w:p>
    <w:p w14:paraId="0673AEAD">
      <w:pPr>
        <w:pStyle w:val="4"/>
        <w:adjustRightInd w:val="0"/>
        <w:snapToGrid w:val="0"/>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（新成立未发生缴纳税收事项的</w:t>
      </w:r>
      <w:r>
        <w:rPr>
          <w:rFonts w:hint="eastAsia" w:ascii="宋体" w:hAnsi="宋体" w:eastAsia="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eastAsia="zh-CN"/>
        </w:rPr>
        <w:t>，应按附件格式提供依法缴纳税收书面承诺）</w:t>
      </w:r>
      <w:r>
        <w:rPr>
          <w:rFonts w:hint="eastAsia" w:ascii="宋体" w:hAnsi="宋体" w:eastAsia="宋体" w:cs="宋体"/>
          <w:b w:val="0"/>
          <w:bCs w:val="0"/>
          <w:color w:val="auto"/>
          <w:sz w:val="24"/>
          <w:szCs w:val="24"/>
          <w:highlight w:val="none"/>
        </w:rPr>
        <w:t>：</w:t>
      </w:r>
    </w:p>
    <w:p w14:paraId="4A1ECA3A">
      <w:pPr>
        <w:spacing w:line="560" w:lineRule="exact"/>
        <w:jc w:val="center"/>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依法缴纳税收承诺书</w:t>
      </w:r>
    </w:p>
    <w:p w14:paraId="6AE65210">
      <w:pPr>
        <w:pStyle w:val="2"/>
        <w:spacing w:before="720" w:beforeLines="300" w:after="120" w:afterLines="50"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w:t>
      </w:r>
      <w:r>
        <w:rPr>
          <w:rFonts w:hint="eastAsia" w:ascii="宋体" w:hAnsi="宋体" w:eastAsia="宋体" w:cs="宋体"/>
          <w:color w:val="auto"/>
          <w:sz w:val="24"/>
          <w:szCs w:val="24"/>
          <w:highlight w:val="none"/>
          <w:lang w:eastAsia="zh-CN"/>
        </w:rPr>
        <w:t>隆信项目管理有限公司</w:t>
      </w:r>
      <w:r>
        <w:rPr>
          <w:rFonts w:hint="eastAsia" w:ascii="宋体" w:hAnsi="宋体" w:eastAsia="宋体" w:cs="宋体"/>
          <w:color w:val="auto"/>
          <w:sz w:val="24"/>
          <w:szCs w:val="24"/>
          <w:highlight w:val="none"/>
        </w:rPr>
        <w:t xml:space="preserve">： </w:t>
      </w:r>
    </w:p>
    <w:p w14:paraId="7976540E">
      <w:pPr>
        <w:pStyle w:val="2"/>
        <w:spacing w:line="360" w:lineRule="auto"/>
        <w:ind w:left="341" w:leftChars="14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）项目的政府采购活动，现承诺如下：</w:t>
      </w:r>
    </w:p>
    <w:p w14:paraId="7DD73D85">
      <w:pPr>
        <w:pStyle w:val="2"/>
        <w:spacing w:line="360" w:lineRule="auto"/>
        <w:ind w:left="341" w:leftChars="14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我方承诺将依法缴纳税收，并符合《中华人民共和国政府采购法》及其实施条例和采购文件资格要求的规定。</w:t>
      </w:r>
    </w:p>
    <w:p w14:paraId="6A3E1E94">
      <w:pPr>
        <w:pStyle w:val="2"/>
        <w:spacing w:line="360" w:lineRule="auto"/>
        <w:ind w:left="341" w:leftChars="14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若我方以上承诺不实，自愿承担提供虚假材料谋取成交的法律责任。</w:t>
      </w:r>
    </w:p>
    <w:p w14:paraId="5161C002">
      <w:pPr>
        <w:pStyle w:val="2"/>
        <w:spacing w:line="360" w:lineRule="auto"/>
        <w:ind w:firstLine="573"/>
        <w:rPr>
          <w:rFonts w:hint="eastAsia" w:ascii="宋体" w:hAnsi="宋体" w:eastAsia="宋体" w:cs="宋体"/>
          <w:color w:val="auto"/>
          <w:sz w:val="24"/>
          <w:szCs w:val="24"/>
          <w:highlight w:val="none"/>
        </w:rPr>
      </w:pPr>
    </w:p>
    <w:p w14:paraId="4C15A2AA">
      <w:pPr>
        <w:pStyle w:val="2"/>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4"/>
          <w:szCs w:val="24"/>
          <w:highlight w:val="none"/>
        </w:rPr>
      </w:pPr>
    </w:p>
    <w:p w14:paraId="28BA6737">
      <w:pPr>
        <w:pStyle w:val="2"/>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 诺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（供应商名称、盖单位章）</w:t>
      </w:r>
    </w:p>
    <w:p w14:paraId="3637F6DF">
      <w:pPr>
        <w:pStyle w:val="2"/>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3955144">
      <w:pPr>
        <w:pStyle w:val="2"/>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4"/>
          <w:szCs w:val="24"/>
          <w:highlight w:val="none"/>
        </w:rPr>
      </w:pPr>
    </w:p>
    <w:p w14:paraId="2D4159E8">
      <w:pPr>
        <w:pStyle w:val="2"/>
        <w:spacing w:line="360" w:lineRule="auto"/>
        <w:ind w:firstLine="0"/>
        <w:rPr>
          <w:rFonts w:hint="eastAsia" w:ascii="宋体" w:hAnsi="宋体" w:eastAsia="宋体" w:cs="宋体"/>
          <w:color w:val="auto"/>
          <w:sz w:val="24"/>
          <w:szCs w:val="24"/>
          <w:highlight w:val="none"/>
        </w:rPr>
      </w:pPr>
    </w:p>
    <w:p w14:paraId="456CD2CD">
      <w:pPr>
        <w:pStyle w:val="4"/>
        <w:adjustRightInd w:val="0"/>
        <w:snapToGrid w:val="0"/>
        <w:spacing w:line="360" w:lineRule="auto"/>
        <w:jc w:val="left"/>
        <w:rPr>
          <w:rFonts w:hint="eastAsia" w:ascii="宋体" w:hAnsi="宋体" w:eastAsia="宋体" w:cs="宋体"/>
          <w:b/>
          <w:color w:val="auto"/>
          <w:sz w:val="24"/>
          <w:szCs w:val="24"/>
          <w:highlight w:val="none"/>
        </w:rPr>
      </w:pPr>
    </w:p>
    <w:p w14:paraId="31C632D1">
      <w:pPr>
        <w:pStyle w:val="4"/>
        <w:adjustRightInd w:val="0"/>
        <w:snapToGrid w:val="0"/>
        <w:spacing w:line="360" w:lineRule="auto"/>
        <w:rPr>
          <w:rFonts w:hint="eastAsia" w:ascii="宋体" w:hAnsi="宋体" w:eastAsia="宋体" w:cs="宋体"/>
          <w:b/>
          <w:color w:val="auto"/>
          <w:sz w:val="24"/>
          <w:szCs w:val="24"/>
          <w:highlight w:val="none"/>
        </w:rPr>
      </w:pPr>
    </w:p>
    <w:p w14:paraId="204F50E6">
      <w:pPr>
        <w:pStyle w:val="4"/>
        <w:adjustRightInd w:val="0"/>
        <w:snapToGrid w:val="0"/>
        <w:spacing w:line="360" w:lineRule="auto"/>
        <w:jc w:val="center"/>
        <w:rPr>
          <w:rFonts w:hint="eastAsia" w:ascii="宋体" w:hAnsi="宋体" w:eastAsia="宋体" w:cs="宋体"/>
          <w:color w:val="auto"/>
          <w:sz w:val="24"/>
          <w:szCs w:val="24"/>
          <w:highlight w:val="none"/>
        </w:rPr>
      </w:pPr>
    </w:p>
    <w:p w14:paraId="00D4819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1CC4EF7">
      <w:pPr>
        <w:pStyle w:val="4"/>
        <w:numPr>
          <w:ilvl w:val="0"/>
          <w:numId w:val="0"/>
        </w:numPr>
        <w:adjustRightInd w:val="0"/>
        <w:snapToGrid w:val="0"/>
        <w:spacing w:line="360" w:lineRule="auto"/>
        <w:jc w:val="center"/>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缴纳社会保障资金证明</w:t>
      </w:r>
    </w:p>
    <w:p w14:paraId="66CCC4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要求：</w:t>
      </w:r>
    </w:p>
    <w:p w14:paraId="28E0A2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（1）提供</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年1月至今已缴存的任意时段的社会保障资金缴存单据或社保机构开具的社会保险参保缴费情况证明；</w:t>
      </w:r>
    </w:p>
    <w:p w14:paraId="0390B6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（2）依法不需要缴纳社会保障资金的供应商应提供相关文件证明；</w:t>
      </w:r>
    </w:p>
    <w:p w14:paraId="4824F6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）新成立（成立时间至提交响应文件截止时间不足一年）未发生缴纳社保资金事项的</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，应提供缴纳社保资金的书面承诺；</w:t>
      </w:r>
    </w:p>
    <w:p w14:paraId="7DED4BF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）其他组织和自然人需提供缴纳社会保险的凭据</w:t>
      </w:r>
      <w:r>
        <w:rPr>
          <w:rFonts w:hint="eastAsia" w:ascii="宋体" w:hAnsi="宋体" w:eastAsia="宋体" w:cs="宋体"/>
          <w:color w:val="auto"/>
          <w:kern w:val="0"/>
          <w:sz w:val="24"/>
          <w:szCs w:val="24"/>
          <w:highlight w:val="none"/>
          <w:lang w:eastAsia="zh-CN"/>
        </w:rPr>
        <w:t>。</w:t>
      </w:r>
    </w:p>
    <w:p w14:paraId="2BF417A9">
      <w:pPr>
        <w:pStyle w:val="4"/>
        <w:adjustRightInd w:val="0"/>
        <w:snapToGrid w:val="0"/>
        <w:spacing w:line="360" w:lineRule="auto"/>
        <w:ind w:firstLine="482"/>
        <w:rPr>
          <w:rFonts w:hint="eastAsia" w:ascii="宋体" w:hAnsi="宋体" w:eastAsia="宋体" w:cs="宋体"/>
          <w:color w:val="auto"/>
          <w:sz w:val="24"/>
          <w:szCs w:val="24"/>
          <w:highlight w:val="none"/>
        </w:rPr>
      </w:pPr>
    </w:p>
    <w:p w14:paraId="477F6473">
      <w:pPr>
        <w:pStyle w:val="2"/>
        <w:spacing w:line="360" w:lineRule="auto"/>
        <w:ind w:firstLine="0"/>
        <w:rPr>
          <w:rFonts w:hint="eastAsia" w:ascii="宋体" w:hAnsi="宋体" w:eastAsia="宋体" w:cs="宋体"/>
          <w:b/>
          <w:color w:val="auto"/>
          <w:sz w:val="24"/>
          <w:szCs w:val="24"/>
          <w:highlight w:val="none"/>
        </w:rPr>
      </w:pPr>
    </w:p>
    <w:p w14:paraId="76768589">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4"/>
          <w:szCs w:val="24"/>
          <w:highlight w:val="none"/>
        </w:rPr>
      </w:pPr>
    </w:p>
    <w:p w14:paraId="164F3351">
      <w:pPr>
        <w:pStyle w:val="2"/>
        <w:spacing w:line="360" w:lineRule="auto"/>
        <w:ind w:firstLine="0"/>
        <w:rPr>
          <w:rFonts w:hint="eastAsia" w:ascii="宋体" w:hAnsi="宋体" w:eastAsia="宋体" w:cs="宋体"/>
          <w:b/>
          <w:color w:val="auto"/>
          <w:sz w:val="24"/>
          <w:szCs w:val="24"/>
          <w:highlight w:val="none"/>
        </w:rPr>
      </w:pPr>
    </w:p>
    <w:p w14:paraId="666CFEB5">
      <w:pPr>
        <w:pStyle w:val="2"/>
        <w:spacing w:line="360" w:lineRule="auto"/>
        <w:ind w:firstLine="0"/>
        <w:rPr>
          <w:rFonts w:hint="eastAsia" w:ascii="宋体" w:hAnsi="宋体" w:eastAsia="宋体" w:cs="宋体"/>
          <w:b/>
          <w:color w:val="auto"/>
          <w:sz w:val="24"/>
          <w:szCs w:val="24"/>
          <w:highlight w:val="none"/>
        </w:rPr>
      </w:pPr>
    </w:p>
    <w:p w14:paraId="2FEBD822">
      <w:pPr>
        <w:pStyle w:val="2"/>
        <w:spacing w:line="360" w:lineRule="auto"/>
        <w:ind w:firstLine="0"/>
        <w:rPr>
          <w:rFonts w:hint="eastAsia" w:ascii="宋体" w:hAnsi="宋体" w:eastAsia="宋体" w:cs="宋体"/>
          <w:b/>
          <w:color w:val="auto"/>
          <w:sz w:val="24"/>
          <w:szCs w:val="24"/>
          <w:highlight w:val="none"/>
        </w:rPr>
      </w:pPr>
    </w:p>
    <w:p w14:paraId="17375585">
      <w:pPr>
        <w:pStyle w:val="2"/>
        <w:spacing w:line="360" w:lineRule="auto"/>
        <w:ind w:firstLine="0"/>
        <w:rPr>
          <w:rFonts w:hint="eastAsia" w:ascii="宋体" w:hAnsi="宋体" w:eastAsia="宋体" w:cs="宋体"/>
          <w:b/>
          <w:color w:val="auto"/>
          <w:sz w:val="24"/>
          <w:szCs w:val="24"/>
          <w:highlight w:val="none"/>
        </w:rPr>
      </w:pPr>
    </w:p>
    <w:p w14:paraId="092B5D76">
      <w:pPr>
        <w:pStyle w:val="2"/>
        <w:spacing w:line="360" w:lineRule="auto"/>
        <w:ind w:firstLine="0"/>
        <w:rPr>
          <w:rFonts w:hint="eastAsia" w:ascii="宋体" w:hAnsi="宋体" w:eastAsia="宋体" w:cs="宋体"/>
          <w:b/>
          <w:color w:val="auto"/>
          <w:sz w:val="24"/>
          <w:szCs w:val="24"/>
          <w:highlight w:val="none"/>
        </w:rPr>
      </w:pPr>
    </w:p>
    <w:p w14:paraId="79A0E8BD">
      <w:pPr>
        <w:pStyle w:val="2"/>
        <w:spacing w:line="360" w:lineRule="auto"/>
        <w:ind w:firstLine="0"/>
        <w:rPr>
          <w:rFonts w:hint="eastAsia" w:ascii="宋体" w:hAnsi="宋体" w:eastAsia="宋体" w:cs="宋体"/>
          <w:b/>
          <w:color w:val="auto"/>
          <w:sz w:val="24"/>
          <w:szCs w:val="24"/>
          <w:highlight w:val="none"/>
        </w:rPr>
      </w:pPr>
    </w:p>
    <w:p w14:paraId="7247C1E9">
      <w:pPr>
        <w:pStyle w:val="2"/>
        <w:spacing w:line="360" w:lineRule="auto"/>
        <w:ind w:firstLine="0"/>
        <w:rPr>
          <w:rFonts w:hint="eastAsia" w:ascii="宋体" w:hAnsi="宋体" w:eastAsia="宋体" w:cs="宋体"/>
          <w:b/>
          <w:color w:val="auto"/>
          <w:sz w:val="24"/>
          <w:szCs w:val="24"/>
          <w:highlight w:val="none"/>
        </w:rPr>
      </w:pPr>
    </w:p>
    <w:p w14:paraId="3026FAEC">
      <w:pPr>
        <w:pStyle w:val="2"/>
        <w:spacing w:line="360" w:lineRule="auto"/>
        <w:ind w:firstLine="0"/>
        <w:rPr>
          <w:rFonts w:hint="eastAsia" w:ascii="宋体" w:hAnsi="宋体" w:eastAsia="宋体" w:cs="宋体"/>
          <w:b/>
          <w:color w:val="auto"/>
          <w:sz w:val="24"/>
          <w:szCs w:val="24"/>
          <w:highlight w:val="none"/>
        </w:rPr>
      </w:pPr>
    </w:p>
    <w:p w14:paraId="60CEC675">
      <w:pPr>
        <w:pStyle w:val="2"/>
        <w:spacing w:line="360" w:lineRule="auto"/>
        <w:ind w:firstLine="0"/>
        <w:rPr>
          <w:rFonts w:hint="eastAsia" w:ascii="宋体" w:hAnsi="宋体" w:eastAsia="宋体" w:cs="宋体"/>
          <w:b/>
          <w:color w:val="auto"/>
          <w:sz w:val="24"/>
          <w:szCs w:val="24"/>
          <w:highlight w:val="none"/>
        </w:rPr>
      </w:pPr>
    </w:p>
    <w:p w14:paraId="546ED7A6">
      <w:pPr>
        <w:pStyle w:val="2"/>
        <w:spacing w:line="360" w:lineRule="auto"/>
        <w:ind w:firstLine="0"/>
        <w:rPr>
          <w:rFonts w:hint="eastAsia" w:ascii="宋体" w:hAnsi="宋体" w:eastAsia="宋体" w:cs="宋体"/>
          <w:b/>
          <w:color w:val="auto"/>
          <w:sz w:val="24"/>
          <w:szCs w:val="24"/>
          <w:highlight w:val="none"/>
        </w:rPr>
      </w:pPr>
    </w:p>
    <w:p w14:paraId="4C17DF17">
      <w:pPr>
        <w:pStyle w:val="2"/>
        <w:spacing w:line="360" w:lineRule="auto"/>
        <w:ind w:firstLine="0"/>
        <w:rPr>
          <w:rFonts w:hint="eastAsia" w:ascii="宋体" w:hAnsi="宋体" w:eastAsia="宋体" w:cs="宋体"/>
          <w:b/>
          <w:color w:val="auto"/>
          <w:sz w:val="24"/>
          <w:szCs w:val="24"/>
          <w:highlight w:val="none"/>
        </w:rPr>
      </w:pPr>
    </w:p>
    <w:p w14:paraId="6ADEF741">
      <w:pPr>
        <w:pStyle w:val="2"/>
        <w:spacing w:line="360" w:lineRule="auto"/>
        <w:ind w:firstLine="0"/>
        <w:rPr>
          <w:rFonts w:hint="eastAsia" w:ascii="宋体" w:hAnsi="宋体" w:eastAsia="宋体" w:cs="宋体"/>
          <w:b/>
          <w:color w:val="auto"/>
          <w:sz w:val="24"/>
          <w:szCs w:val="24"/>
          <w:highlight w:val="none"/>
        </w:rPr>
      </w:pPr>
    </w:p>
    <w:p w14:paraId="68AF4D24">
      <w:pPr>
        <w:pStyle w:val="2"/>
        <w:spacing w:line="360" w:lineRule="auto"/>
        <w:ind w:firstLine="0"/>
        <w:rPr>
          <w:rFonts w:hint="eastAsia" w:ascii="宋体" w:hAnsi="宋体" w:eastAsia="宋体" w:cs="宋体"/>
          <w:b/>
          <w:color w:val="auto"/>
          <w:sz w:val="24"/>
          <w:szCs w:val="24"/>
          <w:highlight w:val="none"/>
        </w:rPr>
      </w:pPr>
    </w:p>
    <w:p w14:paraId="416701C2">
      <w:pPr>
        <w:pStyle w:val="2"/>
        <w:spacing w:line="360" w:lineRule="auto"/>
        <w:ind w:firstLine="0"/>
        <w:rPr>
          <w:rFonts w:hint="eastAsia" w:ascii="宋体" w:hAnsi="宋体" w:eastAsia="宋体" w:cs="宋体"/>
          <w:b/>
          <w:color w:val="auto"/>
          <w:sz w:val="24"/>
          <w:szCs w:val="24"/>
          <w:highlight w:val="none"/>
        </w:rPr>
      </w:pPr>
    </w:p>
    <w:p w14:paraId="42952727">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754D5188">
      <w:pPr>
        <w:pStyle w:val="4"/>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（新成立未发生缴纳税收事项的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，应按附件格式提供依法缴纳税收书面承诺）</w:t>
      </w:r>
      <w:r>
        <w:rPr>
          <w:rFonts w:hint="eastAsia" w:ascii="宋体" w:hAnsi="宋体" w:eastAsia="宋体" w:cs="宋体"/>
          <w:color w:val="auto"/>
          <w:sz w:val="24"/>
          <w:szCs w:val="24"/>
          <w:highlight w:val="none"/>
        </w:rPr>
        <w:t>：</w:t>
      </w:r>
    </w:p>
    <w:p w14:paraId="379DDB71">
      <w:pPr>
        <w:pStyle w:val="4"/>
        <w:adjustRightInd w:val="0"/>
        <w:snapToGrid w:val="0"/>
        <w:spacing w:line="360" w:lineRule="auto"/>
        <w:jc w:val="left"/>
        <w:rPr>
          <w:rFonts w:hint="eastAsia" w:ascii="宋体" w:hAnsi="宋体" w:eastAsia="宋体" w:cs="宋体"/>
          <w:color w:val="auto"/>
          <w:sz w:val="24"/>
          <w:szCs w:val="24"/>
          <w:highlight w:val="none"/>
        </w:rPr>
      </w:pPr>
    </w:p>
    <w:p w14:paraId="2D50AFBB">
      <w:pPr>
        <w:spacing w:line="560" w:lineRule="exact"/>
        <w:jc w:val="center"/>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依法缴纳社会保障资金承诺书</w:t>
      </w:r>
    </w:p>
    <w:p w14:paraId="3BB1C883">
      <w:pPr>
        <w:pStyle w:val="2"/>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w:t>
      </w:r>
      <w:r>
        <w:rPr>
          <w:rFonts w:hint="eastAsia" w:ascii="宋体" w:hAnsi="宋体" w:eastAsia="宋体" w:cs="宋体"/>
          <w:color w:val="auto"/>
          <w:sz w:val="24"/>
          <w:szCs w:val="24"/>
          <w:highlight w:val="none"/>
          <w:lang w:eastAsia="zh-CN"/>
        </w:rPr>
        <w:t>隆信项目管理有限公司</w:t>
      </w:r>
      <w:r>
        <w:rPr>
          <w:rFonts w:hint="eastAsia" w:ascii="宋体" w:hAnsi="宋体" w:eastAsia="宋体" w:cs="宋体"/>
          <w:color w:val="auto"/>
          <w:sz w:val="24"/>
          <w:szCs w:val="24"/>
          <w:highlight w:val="none"/>
        </w:rPr>
        <w:t xml:space="preserve">： </w:t>
      </w:r>
    </w:p>
    <w:p w14:paraId="08D9380E">
      <w:pPr>
        <w:pStyle w:val="2"/>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）项目的政府采购活动，现承诺如下：</w:t>
      </w:r>
    </w:p>
    <w:p w14:paraId="4D7602B9">
      <w:pPr>
        <w:pStyle w:val="2"/>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我方承诺将依法缴纳社会保障资金，并符合《中华人民共和国政府采购法》及其实施条例和采购文件资格要求的规定。</w:t>
      </w:r>
    </w:p>
    <w:p w14:paraId="7B6F28EE">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若我方以上承诺不实，自愿承担提供虚假材料谋取成交的法律责任。</w:t>
      </w:r>
    </w:p>
    <w:p w14:paraId="2C88AA59">
      <w:pPr>
        <w:pStyle w:val="2"/>
        <w:spacing w:line="360" w:lineRule="auto"/>
        <w:ind w:firstLine="573"/>
        <w:jc w:val="left"/>
        <w:rPr>
          <w:rFonts w:hint="eastAsia" w:ascii="宋体" w:hAnsi="宋体" w:eastAsia="宋体" w:cs="宋体"/>
          <w:color w:val="auto"/>
          <w:sz w:val="24"/>
          <w:szCs w:val="24"/>
          <w:highlight w:val="none"/>
        </w:rPr>
      </w:pPr>
    </w:p>
    <w:p w14:paraId="2166EC98">
      <w:pPr>
        <w:pStyle w:val="2"/>
        <w:spacing w:line="360" w:lineRule="auto"/>
        <w:ind w:firstLine="573"/>
        <w:jc w:val="left"/>
        <w:rPr>
          <w:rFonts w:hint="eastAsia" w:ascii="宋体" w:hAnsi="宋体" w:eastAsia="宋体" w:cs="宋体"/>
          <w:color w:val="auto"/>
          <w:sz w:val="24"/>
          <w:szCs w:val="24"/>
          <w:highlight w:val="none"/>
        </w:rPr>
      </w:pPr>
    </w:p>
    <w:p w14:paraId="1F49C820">
      <w:pPr>
        <w:pStyle w:val="2"/>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 诺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（供应商名称、盖单位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1F1C6A2E">
      <w:pPr>
        <w:pStyle w:val="2"/>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9D53E72">
      <w:pPr>
        <w:pStyle w:val="2"/>
        <w:spacing w:line="360" w:lineRule="auto"/>
        <w:ind w:firstLine="573"/>
        <w:jc w:val="left"/>
        <w:rPr>
          <w:rFonts w:hint="eastAsia" w:ascii="宋体" w:hAnsi="宋体" w:eastAsia="宋体" w:cs="宋体"/>
          <w:color w:val="auto"/>
          <w:sz w:val="24"/>
          <w:szCs w:val="24"/>
          <w:highlight w:val="none"/>
        </w:rPr>
      </w:pPr>
    </w:p>
    <w:p w14:paraId="4749C564">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2CDD0B4">
      <w:pPr>
        <w:pStyle w:val="4"/>
        <w:numPr>
          <w:ilvl w:val="0"/>
          <w:numId w:val="0"/>
        </w:numPr>
        <w:adjustRightInd w:val="0"/>
        <w:snapToGrid w:val="0"/>
        <w:spacing w:line="360" w:lineRule="auto"/>
        <w:jc w:val="center"/>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4.被授权代表的身份证复印件以及2025年1月至今任意时段在本单位注册的已缴纳的社会保障资金缴存单据或社保机构开具的社会保险参保缴费情况证明</w:t>
      </w:r>
    </w:p>
    <w:p w14:paraId="0E81139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5FE7F29">
      <w:pPr>
        <w:pStyle w:val="4"/>
        <w:numPr>
          <w:ilvl w:val="0"/>
          <w:numId w:val="0"/>
        </w:numPr>
        <w:adjustRightInd w:val="0"/>
        <w:snapToGrid w:val="0"/>
        <w:spacing w:line="360" w:lineRule="auto"/>
        <w:jc w:val="left"/>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5.成交供应商的业绩(业绩需与磋商响应文件中所提供的保持一致)</w:t>
      </w:r>
    </w:p>
    <w:p w14:paraId="6ABE3F70">
      <w:pPr>
        <w:pStyle w:val="11"/>
        <w:rPr>
          <w:rFonts w:hint="eastAsia" w:ascii="宋体" w:hAnsi="宋体" w:eastAsia="宋体" w:cs="宋体"/>
          <w:sz w:val="24"/>
          <w:szCs w:val="24"/>
          <w:lang w:val="en-US" w:eastAsia="zh-Hans"/>
        </w:rPr>
      </w:pPr>
      <w:r>
        <w:rPr>
          <w:rFonts w:hint="eastAsia" w:ascii="宋体" w:hAnsi="宋体" w:eastAsia="宋体" w:cs="宋体"/>
          <w:sz w:val="24"/>
          <w:szCs w:val="24"/>
        </w:rPr>
        <w:br w:type="textWrapping"/>
      </w:r>
    </w:p>
    <w:p w14:paraId="4DE07DC5">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2670B"/>
    <w:rsid w:val="02680801"/>
    <w:rsid w:val="05093BF9"/>
    <w:rsid w:val="0E55245E"/>
    <w:rsid w:val="1D426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kinsoku w:val="0"/>
      <w:autoSpaceDE w:val="0"/>
      <w:autoSpaceDN w:val="0"/>
      <w:adjustRightInd w:val="0"/>
      <w:snapToGrid w:val="0"/>
      <w:spacing w:line="240" w:lineRule="auto"/>
      <w:ind w:firstLine="420"/>
      <w:jc w:val="left"/>
      <w:textAlignment w:val="baseline"/>
    </w:pPr>
    <w:rPr>
      <w:rFonts w:ascii="Arial" w:hAnsi="Arial" w:eastAsia="Arial" w:cs="Arial"/>
      <w:snapToGrid w:val="0"/>
      <w:color w:val="000000"/>
      <w:kern w:val="0"/>
      <w:sz w:val="21"/>
      <w:szCs w:val="20"/>
      <w:lang w:eastAsia="en-US"/>
    </w:rPr>
  </w:style>
  <w:style w:type="paragraph" w:styleId="3">
    <w:name w:val="Body Text"/>
    <w:basedOn w:val="1"/>
    <w:semiHidden/>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Plain Text"/>
    <w:basedOn w:val="1"/>
    <w:qFormat/>
    <w:uiPriority w:val="0"/>
    <w:pPr>
      <w:widowControl/>
      <w:kinsoku w:val="0"/>
      <w:autoSpaceDE w:val="0"/>
      <w:autoSpaceDN w:val="0"/>
      <w:adjustRightInd w:val="0"/>
      <w:snapToGrid w:val="0"/>
      <w:spacing w:line="240" w:lineRule="auto"/>
      <w:jc w:val="left"/>
      <w:textAlignment w:val="baseline"/>
    </w:pPr>
    <w:rPr>
      <w:rFonts w:ascii="宋体" w:hAnsi="Courier New" w:eastAsia="Arial" w:cs="Courier New"/>
      <w:snapToGrid w:val="0"/>
      <w:color w:val="000000"/>
      <w:kern w:val="0"/>
      <w:sz w:val="21"/>
      <w:szCs w:val="21"/>
      <w:lang w:eastAsia="en-US"/>
    </w:rPr>
  </w:style>
  <w:style w:type="paragraph" w:styleId="5">
    <w:name w:val="footer"/>
    <w:basedOn w:val="1"/>
    <w:qFormat/>
    <w:uiPriority w:val="0"/>
    <w:pPr>
      <w:widowControl/>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eastAsia="en-US"/>
    </w:rPr>
  </w:style>
  <w:style w:type="paragraph" w:styleId="6">
    <w:name w:val="toc 1"/>
    <w:basedOn w:val="1"/>
    <w:next w:val="1"/>
    <w:qFormat/>
    <w:uiPriority w:val="39"/>
    <w:pPr>
      <w:widowControl/>
      <w:tabs>
        <w:tab w:val="right" w:leader="dot" w:pos="9060"/>
      </w:tabs>
      <w:kinsoku w:val="0"/>
      <w:autoSpaceDE w:val="0"/>
      <w:autoSpaceDN w:val="0"/>
      <w:adjustRightInd w:val="0"/>
      <w:snapToGrid w:val="0"/>
      <w:spacing w:line="720" w:lineRule="auto"/>
      <w:ind w:firstLine="0" w:firstLineChars="0"/>
      <w:jc w:val="left"/>
      <w:textAlignment w:val="baseline"/>
    </w:pPr>
    <w:rPr>
      <w:rFonts w:ascii="Times New Roman" w:hAnsi="Times New Roman" w:eastAsia="宋体" w:cs="Times New Roman"/>
      <w:snapToGrid w:val="0"/>
      <w:color w:val="000000"/>
      <w:kern w:val="0"/>
      <w:sz w:val="21"/>
      <w:szCs w:val="21"/>
      <w:lang w:eastAsia="en-US"/>
    </w:rPr>
  </w:style>
  <w:style w:type="paragraph" w:customStyle="1" w:styleId="9">
    <w:name w:val="样式 首行缩进:  2 字符"/>
    <w:basedOn w:val="1"/>
    <w:qFormat/>
    <w:uiPriority w:val="0"/>
    <w:pPr>
      <w:widowControl/>
      <w:kinsoku w:val="0"/>
      <w:autoSpaceDE w:val="0"/>
      <w:autoSpaceDN w:val="0"/>
      <w:adjustRightInd w:val="0"/>
      <w:snapToGrid w:val="0"/>
      <w:spacing w:line="400" w:lineRule="exact"/>
      <w:ind w:firstLine="200" w:firstLineChars="200"/>
      <w:jc w:val="left"/>
      <w:textAlignment w:val="baseline"/>
    </w:pPr>
    <w:rPr>
      <w:rFonts w:ascii="Arial" w:hAnsi="Arial" w:eastAsia="Arial" w:cs="宋体"/>
      <w:snapToGrid w:val="0"/>
      <w:color w:val="000000"/>
      <w:kern w:val="0"/>
      <w:sz w:val="24"/>
      <w:szCs w:val="21"/>
      <w:lang w:eastAsia="en-US"/>
    </w:rPr>
  </w:style>
  <w:style w:type="paragraph" w:styleId="10">
    <w:name w:val="List Paragraph"/>
    <w:basedOn w:val="1"/>
    <w:qFormat/>
    <w:uiPriority w:val="0"/>
    <w:pPr>
      <w:widowControl/>
      <w:kinsoku w:val="0"/>
      <w:autoSpaceDE w:val="0"/>
      <w:autoSpaceDN w:val="0"/>
      <w:adjustRightInd w:val="0"/>
      <w:snapToGrid w:val="0"/>
      <w:spacing w:line="240" w:lineRule="auto"/>
      <w:ind w:firstLine="420" w:firstLineChars="200"/>
      <w:jc w:val="left"/>
      <w:textAlignment w:val="baseline"/>
    </w:pPr>
    <w:rPr>
      <w:rFonts w:ascii="Arial" w:hAnsi="Arial" w:eastAsia="Arial" w:cs="Arial"/>
      <w:snapToGrid w:val="0"/>
      <w:color w:val="000000"/>
      <w:kern w:val="0"/>
      <w:sz w:val="18"/>
      <w:szCs w:val="18"/>
      <w:lang w:eastAsia="en-US"/>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4931</Words>
  <Characters>5061</Characters>
  <Lines>0</Lines>
  <Paragraphs>0</Paragraphs>
  <TotalTime>0</TotalTime>
  <ScaleCrop>false</ScaleCrop>
  <LinksUpToDate>false</LinksUpToDate>
  <CharactersWithSpaces>5665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2025-10-09T06:42:00Z</dcterms:created>
  <dc:creator>Lenovo</dc:creator>
  <cp:lastModifiedBy>Lenovo</cp:lastModifiedBy>
  <dcterms:modified xsi:type="dcterms:W3CDTF">2025-10-16T09:14:32Z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E15B9C2659D943919E14B156BF32B813_11</vt:lpwstr>
  </property>
  <property fmtid="{D5CDD505-2E9C-101B-9397-08002B2CF9AE}" pid="4" name="KSOTemplateDocerSaveRecord">
    <vt:lpwstr>eyJoZGlkIjoiZjI1NmI3NmZmNDdlNDcxOGMxZDEzNGMzNTZjYTcxMWMiLCJ1c2VySWQiOiI0NDgyMTE1NDUifQ==</vt:lpwstr>
  </property>
</Properties>
</file>