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版本号：OTXA-252003131420251124002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柏树林街道新增房屋安全性检测鉴定项目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OTXA-2520031314</w:t>
      </w:r>
      <w:r>
        <w:br/>
      </w:r>
      <w:r>
        <w:br/>
      </w:r>
      <w:r>
        <w:br/>
      </w:r>
    </w:p>
    <w:p>
      <w:pPr>
        <w:pStyle w:val="null3"/>
        <w:jc w:val="center"/>
        <w:outlineLvl w:val="2"/>
      </w:pPr>
      <w:r>
        <w:rPr>
          <w:rFonts w:ascii="仿宋_GB2312" w:hAnsi="仿宋_GB2312" w:cs="仿宋_GB2312" w:eastAsia="仿宋_GB2312"/>
          <w:sz w:val="28"/>
          <w:b/>
        </w:rPr>
        <w:t>西安市碑林区柏树林街道办事处（本级）</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西安市碑林区柏树林街道办事处（本级）</w:t>
      </w:r>
      <w:r>
        <w:rPr>
          <w:rFonts w:ascii="仿宋_GB2312" w:hAnsi="仿宋_GB2312" w:cs="仿宋_GB2312" w:eastAsia="仿宋_GB2312"/>
        </w:rPr>
        <w:t>委托，拟对</w:t>
      </w:r>
      <w:r>
        <w:rPr>
          <w:rFonts w:ascii="仿宋_GB2312" w:hAnsi="仿宋_GB2312" w:cs="仿宋_GB2312" w:eastAsia="仿宋_GB2312"/>
        </w:rPr>
        <w:t>柏树林街道新增房屋安全性检测鉴定项目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OTXA-2520031314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柏树林街道新增房屋安全性检测鉴定项目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本次检测区域为原三学街周边棚户区改造项目范围内，柏树林街办责任片区新增加需维修加固的房屋及毗邻建筑，检测鉴定房屋建筑面积为13117.08平方。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采购包1（柏树林街道新增房屋安全性检测鉴定项目）：属于专门面向中小企业采购。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5、具有履行合同所必需的设备和专业技术能力的书面声明：提供书面声明</w:t>
      </w:r>
    </w:p>
    <w:p>
      <w:pPr>
        <w:pStyle w:val="null3"/>
      </w:pPr>
      <w:r>
        <w:rPr>
          <w:rFonts w:ascii="仿宋_GB2312" w:hAnsi="仿宋_GB2312" w:cs="仿宋_GB2312" w:eastAsia="仿宋_GB2312"/>
        </w:rPr>
        <w:t>6、法定代表人委托授权书：非法定代表人参加投标的，须提供法定代表人委托授权书及被授权人身份证，法定代表人参加投标时,只需提供法定代表人身份证。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7、参加政府采购活动前3年内在经营活动中没有重大违法记录的书面声明：提供书面声明</w:t>
      </w:r>
    </w:p>
    <w:p>
      <w:pPr>
        <w:pStyle w:val="null3"/>
      </w:pPr>
      <w:r>
        <w:rPr>
          <w:rFonts w:ascii="仿宋_GB2312" w:hAnsi="仿宋_GB2312" w:cs="仿宋_GB2312" w:eastAsia="仿宋_GB2312"/>
        </w:rPr>
        <w:t>8、具有行政主管部门颁发的建设工程质量检测机构资质证书：（检测类别：同时具备主体结构及装饰装修、地基基础、钢结构）或综合资质，提供资质复印件或扫描件</w:t>
      </w:r>
    </w:p>
    <w:p>
      <w:pPr>
        <w:pStyle w:val="null3"/>
      </w:pPr>
      <w:r>
        <w:rPr>
          <w:rFonts w:ascii="仿宋_GB2312" w:hAnsi="仿宋_GB2312" w:cs="仿宋_GB2312" w:eastAsia="仿宋_GB2312"/>
        </w:rPr>
        <w:t>9、省级或以上行政主管部门核发的检验检测机构资质认定证书（CMA）：提供资质复印件或扫描件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西安市碑林区柏树林街道办事处（本级）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西安市碑林区和平路东十道巷19号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西安市碑林区柏树林街道办事处（本级）经办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87399613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吴琅、陈灏、张强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029-89585685-811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应在确定成交人3日内，向采购代理机构一次性支付采购代理服务费。采购代理服务费参照国家计委关于印发《招标代理服务收费管理暂行办法》的通知（计价格〔2002〕1980号）、《国家发展和改革委员会办公厅关于招标代理服务收费有关问题的通知》（发改办价格〔2003〕857号）规定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西安市碑林区柏树林街道办事处（本级）</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西安市碑林区柏树林街道办事处（本级）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西安市碑林区柏树林街道办事处（本级）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联系人：吴琅、陈灏、张强</w:t>
      </w:r>
    </w:p>
    <w:p>
      <w:pPr>
        <w:pStyle w:val="null3"/>
      </w:pPr>
      <w:r>
        <w:rPr>
          <w:rFonts w:ascii="仿宋_GB2312" w:hAnsi="仿宋_GB2312" w:cs="仿宋_GB2312" w:eastAsia="仿宋_GB2312"/>
        </w:rPr>
        <w:t>联系电话：029-89585685-811</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本次检测区域为原三学街周边棚户区改造项目范围内，柏树林街办责任片区新增加需维修加固的房屋及毗邻建筑，检测鉴定房屋建筑面积为13117.08平方。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柏树林街道新增房屋安全性检测鉴定项目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标的名称：柏树林街道新增房屋安全性检测鉴定项目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1、项目名称：柏树林街道新增房屋安全性检测鉴定项目</w:t>
            </w:r>
          </w:p>
          <w:p>
            <w:pPr>
              <w:pStyle w:val="null3"/>
              <w:ind w:firstLine="480"/>
              <w:jc w:val="both"/>
            </w:pPr>
            <w:r>
              <w:rPr>
                <w:rFonts w:ascii="仿宋_GB2312" w:hAnsi="仿宋_GB2312" w:cs="仿宋_GB2312" w:eastAsia="仿宋_GB2312"/>
                <w:sz w:val="24"/>
                <w:color w:val="000000"/>
              </w:rPr>
              <w:t>2、项目</w:t>
            </w:r>
            <w:r>
              <w:rPr>
                <w:rFonts w:ascii="仿宋_GB2312" w:hAnsi="仿宋_GB2312" w:cs="仿宋_GB2312" w:eastAsia="仿宋_GB2312"/>
                <w:sz w:val="24"/>
              </w:rPr>
              <w:t>规模：本次检测区域为原三学街周边棚户区改造项目范围内，柏树林街办责任片区新增加需维修加固的房屋及毗邻建筑，检测鉴定房屋建筑面积为</w:t>
            </w:r>
            <w:r>
              <w:rPr>
                <w:rFonts w:ascii="仿宋_GB2312" w:hAnsi="仿宋_GB2312" w:cs="仿宋_GB2312" w:eastAsia="仿宋_GB2312"/>
                <w:sz w:val="24"/>
              </w:rPr>
              <w:t>13117.08平方。招标</w:t>
            </w:r>
            <w:r>
              <w:rPr>
                <w:rFonts w:ascii="仿宋_GB2312" w:hAnsi="仿宋_GB2312" w:cs="仿宋_GB2312" w:eastAsia="仿宋_GB2312"/>
                <w:sz w:val="24"/>
                <w:color w:val="000000"/>
              </w:rPr>
              <w:t>范围：本次招标为</w:t>
            </w:r>
            <w:r>
              <w:rPr>
                <w:rFonts w:ascii="仿宋_GB2312" w:hAnsi="仿宋_GB2312" w:cs="仿宋_GB2312" w:eastAsia="仿宋_GB2312"/>
                <w:sz w:val="24"/>
              </w:rPr>
              <w:t>柏树林街道新增房屋安全性检测鉴定项目</w:t>
            </w:r>
            <w:r>
              <w:rPr>
                <w:rFonts w:ascii="仿宋_GB2312" w:hAnsi="仿宋_GB2312" w:cs="仿宋_GB2312" w:eastAsia="仿宋_GB2312"/>
                <w:sz w:val="24"/>
                <w:color w:val="000000"/>
              </w:rPr>
              <w:t>竞争性磋商文件范围内全部工作内容。</w:t>
            </w:r>
          </w:p>
          <w:p>
            <w:pPr>
              <w:pStyle w:val="null3"/>
              <w:ind w:firstLine="480"/>
              <w:jc w:val="both"/>
            </w:pPr>
            <w:r>
              <w:rPr>
                <w:rFonts w:ascii="仿宋_GB2312" w:hAnsi="仿宋_GB2312" w:cs="仿宋_GB2312" w:eastAsia="仿宋_GB2312"/>
                <w:sz w:val="24"/>
                <w:color w:val="000000"/>
              </w:rPr>
              <w:t>3、项目地点：西安市</w:t>
            </w:r>
          </w:p>
          <w:p>
            <w:pPr>
              <w:pStyle w:val="null3"/>
              <w:ind w:firstLine="480"/>
              <w:jc w:val="both"/>
            </w:pPr>
            <w:r>
              <w:rPr>
                <w:rFonts w:ascii="仿宋_GB2312" w:hAnsi="仿宋_GB2312" w:cs="仿宋_GB2312" w:eastAsia="仿宋_GB2312"/>
                <w:sz w:val="24"/>
                <w:color w:val="000000"/>
              </w:rPr>
              <w:t>4、服务质量标准：合格。</w:t>
            </w:r>
          </w:p>
          <w:p>
            <w:pPr>
              <w:pStyle w:val="null3"/>
              <w:ind w:firstLine="480"/>
              <w:jc w:val="both"/>
            </w:pPr>
            <w:r>
              <w:rPr>
                <w:rFonts w:ascii="仿宋_GB2312" w:hAnsi="仿宋_GB2312" w:cs="仿宋_GB2312" w:eastAsia="仿宋_GB2312"/>
                <w:sz w:val="24"/>
                <w:color w:val="000000"/>
              </w:rPr>
              <w:t>5、服务期限：60日历天（自本合同生效之日起计算）</w:t>
            </w:r>
          </w:p>
          <w:p>
            <w:pPr>
              <w:pStyle w:val="null3"/>
              <w:ind w:firstLine="482"/>
              <w:jc w:val="both"/>
            </w:pPr>
            <w:r>
              <w:rPr>
                <w:rFonts w:ascii="仿宋_GB2312" w:hAnsi="仿宋_GB2312" w:cs="仿宋_GB2312" w:eastAsia="仿宋_GB2312"/>
                <w:sz w:val="24"/>
                <w:b/>
                <w:color w:val="000000"/>
              </w:rPr>
              <w:t>二、采购内容及要求：</w:t>
            </w:r>
          </w:p>
          <w:p>
            <w:pPr>
              <w:pStyle w:val="null3"/>
              <w:ind w:firstLine="480"/>
              <w:jc w:val="both"/>
            </w:pPr>
            <w:r>
              <w:rPr>
                <w:rFonts w:ascii="仿宋_GB2312" w:hAnsi="仿宋_GB2312" w:cs="仿宋_GB2312" w:eastAsia="仿宋_GB2312"/>
                <w:sz w:val="24"/>
                <w:color w:val="000000"/>
              </w:rPr>
              <w:t>1、质量要求:质量达到现行合格标准，符合国家、行业、地方规定的质量和安全标准要求。</w:t>
            </w:r>
          </w:p>
          <w:p>
            <w:pPr>
              <w:pStyle w:val="null3"/>
              <w:ind w:firstLine="480"/>
              <w:jc w:val="both"/>
            </w:pPr>
            <w:r>
              <w:rPr>
                <w:rFonts w:ascii="仿宋_GB2312" w:hAnsi="仿宋_GB2312" w:cs="仿宋_GB2312" w:eastAsia="仿宋_GB2312"/>
                <w:sz w:val="24"/>
                <w:color w:val="000000"/>
              </w:rPr>
              <w:t>2、检测验收标准：鉴定报告符合国家和地方相关法律、法规规定，符合相关主管单位的要求，并出具正式版盖章报告</w:t>
            </w:r>
          </w:p>
          <w:p>
            <w:pPr>
              <w:pStyle w:val="null3"/>
              <w:ind w:firstLine="480"/>
              <w:jc w:val="both"/>
            </w:pPr>
            <w:r>
              <w:rPr>
                <w:rFonts w:ascii="仿宋_GB2312" w:hAnsi="仿宋_GB2312" w:cs="仿宋_GB2312" w:eastAsia="仿宋_GB2312"/>
                <w:sz w:val="24"/>
                <w:color w:val="000000"/>
              </w:rPr>
              <w:t>3、检测要求内容：</w:t>
            </w:r>
          </w:p>
          <w:p>
            <w:pPr>
              <w:pStyle w:val="null3"/>
              <w:ind w:firstLine="480"/>
              <w:jc w:val="both"/>
            </w:pPr>
            <w:r>
              <w:rPr>
                <w:rFonts w:ascii="仿宋_GB2312" w:hAnsi="仿宋_GB2312" w:cs="仿宋_GB2312" w:eastAsia="仿宋_GB2312"/>
                <w:sz w:val="24"/>
                <w:color w:val="000000"/>
              </w:rPr>
              <w:t>3.1、两层及以下房屋（适用规范《危险房屋鉴定标准》（JGJ 125-2016））检测鉴定内容为：</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1）建筑物原始资料及加固改造历史调查；</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2）建筑物使用环境及损伤使用情况检测；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3）建筑物建筑、结构情况检测；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4）建筑物地基基础情况检测；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5）建筑物使用荷载调查；</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6）建筑物现状下结构承载力验算；</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7）建筑物现状下结构危险性鉴定评级及抗震能力鉴定</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3.2、三层及以上房屋（适用规范《既有建筑鉴定与加固通用规范》（GB 55021-2021））检测鉴定内容为：</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1）建筑物原始资料及加固改造历史调查；</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2）建筑物使用环境及损伤使用情况检测；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3）建筑物建筑、结构情况检测；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4）建筑物混凝土构件现龄期抗压强度及碳化深度检测；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5）建筑物承重墙体材料强度（砂浆、砖砌块）检测；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6）建筑物主体结构变形检测；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7）建筑物地基基础情况检测；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8）建筑物使用荷载调查；</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9）建筑物现状下结构承载力验算；</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10）建筑物现状下结构安全性鉴定评级及抗震能力鉴定。</w:t>
            </w:r>
          </w:p>
          <w:p>
            <w:pPr>
              <w:pStyle w:val="null3"/>
              <w:ind w:firstLine="480"/>
              <w:jc w:val="both"/>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、服务要求</w:t>
            </w:r>
          </w:p>
          <w:p>
            <w:pPr>
              <w:pStyle w:val="null3"/>
              <w:ind w:firstLine="480"/>
              <w:jc w:val="both"/>
            </w:pPr>
            <w:r>
              <w:rPr>
                <w:rFonts w:ascii="仿宋_GB2312" w:hAnsi="仿宋_GB2312" w:cs="仿宋_GB2312" w:eastAsia="仿宋_GB2312"/>
                <w:sz w:val="24"/>
                <w:color w:val="000000"/>
              </w:rPr>
              <w:t>检测单位出具的检验报告应符合国家现行有关标准、规范规定，并对报告的真实性、有效性承担相应的法律责任。对鉴定工作需要所提供的工程设计文件、施工图及乙方提交的成果报告等一切与检测有关的技术资料承担保管、保密责任。</w:t>
            </w:r>
          </w:p>
          <w:p>
            <w:pPr>
              <w:pStyle w:val="null3"/>
              <w:ind w:firstLine="480"/>
              <w:jc w:val="both"/>
            </w:pPr>
            <w:r>
              <w:rPr>
                <w:rFonts w:ascii="仿宋_GB2312" w:hAnsi="仿宋_GB2312" w:cs="仿宋_GB2312" w:eastAsia="仿宋_GB2312"/>
                <w:sz w:val="24"/>
                <w:color w:val="000000"/>
              </w:rPr>
              <w:t>四</w:t>
            </w:r>
            <w:r>
              <w:rPr>
                <w:rFonts w:ascii="仿宋_GB2312" w:hAnsi="仿宋_GB2312" w:cs="仿宋_GB2312" w:eastAsia="仿宋_GB2312"/>
                <w:sz w:val="24"/>
                <w:color w:val="000000"/>
              </w:rPr>
              <w:t>、商务要求</w:t>
            </w:r>
          </w:p>
          <w:p>
            <w:pPr>
              <w:pStyle w:val="null3"/>
              <w:ind w:firstLine="480"/>
              <w:jc w:val="both"/>
            </w:pPr>
            <w:r>
              <w:rPr>
                <w:rFonts w:ascii="仿宋_GB2312" w:hAnsi="仿宋_GB2312" w:cs="仿宋_GB2312" w:eastAsia="仿宋_GB2312"/>
                <w:sz w:val="24"/>
                <w:color w:val="000000"/>
              </w:rPr>
              <w:t>（一）服务期限</w:t>
            </w:r>
          </w:p>
          <w:p>
            <w:pPr>
              <w:pStyle w:val="null3"/>
              <w:ind w:firstLine="480"/>
              <w:jc w:val="both"/>
            </w:pPr>
            <w:r>
              <w:rPr>
                <w:rFonts w:ascii="仿宋_GB2312" w:hAnsi="仿宋_GB2312" w:cs="仿宋_GB2312" w:eastAsia="仿宋_GB2312"/>
                <w:sz w:val="24"/>
                <w:color w:val="000000"/>
              </w:rPr>
              <w:t>检测单位进场后，</w:t>
            </w:r>
            <w:r>
              <w:rPr>
                <w:rFonts w:ascii="仿宋_GB2312" w:hAnsi="仿宋_GB2312" w:cs="仿宋_GB2312" w:eastAsia="仿宋_GB2312"/>
                <w:sz w:val="24"/>
                <w:color w:val="000000"/>
              </w:rPr>
              <w:t>15个工作日完成现场检测、现场调查工作，现场工作结束后</w:t>
            </w:r>
            <w:r>
              <w:rPr>
                <w:rFonts w:ascii="仿宋_GB2312" w:hAnsi="仿宋_GB2312" w:cs="仿宋_GB2312" w:eastAsia="仿宋_GB2312"/>
                <w:sz w:val="24"/>
                <w:color w:val="000000"/>
              </w:rPr>
              <w:t>60</w:t>
            </w:r>
            <w:r>
              <w:rPr>
                <w:rFonts w:ascii="仿宋_GB2312" w:hAnsi="仿宋_GB2312" w:cs="仿宋_GB2312" w:eastAsia="仿宋_GB2312"/>
                <w:sz w:val="24"/>
                <w:color w:val="000000"/>
              </w:rPr>
              <w:t>个</w:t>
            </w:r>
            <w:r>
              <w:rPr>
                <w:rFonts w:ascii="仿宋_GB2312" w:hAnsi="仿宋_GB2312" w:cs="仿宋_GB2312" w:eastAsia="仿宋_GB2312"/>
                <w:sz w:val="24"/>
                <w:color w:val="000000"/>
              </w:rPr>
              <w:t>日历天</w:t>
            </w:r>
            <w:r>
              <w:rPr>
                <w:rFonts w:ascii="仿宋_GB2312" w:hAnsi="仿宋_GB2312" w:cs="仿宋_GB2312" w:eastAsia="仿宋_GB2312"/>
                <w:sz w:val="24"/>
                <w:color w:val="000000"/>
              </w:rPr>
              <w:t>内提交检测鉴定报告。</w:t>
            </w:r>
          </w:p>
          <w:p>
            <w:pPr>
              <w:pStyle w:val="null3"/>
              <w:ind w:firstLine="480"/>
              <w:jc w:val="both"/>
            </w:pPr>
            <w:r>
              <w:rPr>
                <w:rFonts w:ascii="仿宋_GB2312" w:hAnsi="仿宋_GB2312" w:cs="仿宋_GB2312" w:eastAsia="仿宋_GB2312"/>
                <w:sz w:val="24"/>
                <w:color w:val="000000"/>
              </w:rPr>
              <w:t>（二）款项结算</w:t>
            </w:r>
          </w:p>
          <w:p>
            <w:pPr>
              <w:pStyle w:val="null3"/>
              <w:ind w:firstLine="480"/>
              <w:jc w:val="both"/>
            </w:pPr>
            <w:r>
              <w:rPr>
                <w:rFonts w:ascii="仿宋_GB2312" w:hAnsi="仿宋_GB2312" w:cs="仿宋_GB2312" w:eastAsia="仿宋_GB2312"/>
                <w:sz w:val="24"/>
                <w:color w:val="000000"/>
              </w:rPr>
              <w:t>检测合同签订后，完成现场检测，向检测单位支付第一次费用，金额为合同总额的</w:t>
            </w:r>
            <w:r>
              <w:rPr>
                <w:rFonts w:ascii="仿宋_GB2312" w:hAnsi="仿宋_GB2312" w:cs="仿宋_GB2312" w:eastAsia="仿宋_GB2312"/>
                <w:sz w:val="24"/>
                <w:color w:val="000000"/>
              </w:rPr>
              <w:t>50%；提交正式检测报告前，一次性结清剩余检测费用。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详见采购文件及技术需求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详见采购文件及技术需求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详见采购文件及技术需求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（1）《建筑结构检测技术标准》（GB/T50344-2019）； （2）《民用建筑可靠性鉴定标准》（GB50292-2015）； （3）《建筑结构荷载规范》（GB50009-2012）； （4）《建筑地基基础设计规范》（GB50007-2011）； （5）《建筑抗震设计规范》（GB50011-2010）（2016年版）； （6）《建筑地基处理技术规范》（JGJ79-2012）； （7）《回弹法检测混凝土抗压强度技术规程》（JGJ/T23-2011）； （8）《混凝土结构设计规范》（GB50010-2010）（2015年版）； （9）《砌体结构工程施工质量验收规范》（GB50203-2011）； （10）《砌体工程现场检测技术标准》（GB/T 50315-2011）； （11）《贯入法检测砌筑砂浆抗压强度技术规程》（JGJ/T 136-2017）； （12）《既有建筑鉴定与加固通用规范》（GB55021-2021）； （13）《工程结构通用规范》（GB55007-2021）； （14）国家现行相关的其他规范、标准技术规程； （15）委托方提供的施工图纸。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检测合同签订后，完成现场检测</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提交正式检测报告前</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（1）检测时严格执行国家有关标准，确保检测结构科学、公正，对提交的检测报告质量负责。由于检测单位自身原因，检查过程中不能满足国家现行标准、规范要求，检测单位承担一切造成的损失的费用； （2）检测单位应保证检测报告的真实性和科学性，如发生有虚假报告等情况，每次按照合同价的5%罚款，此类情况发生三次时，解除合同且追究经济和法律责任。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本项目包为专门面向中小企业采购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提供书面声明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提供书面声明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具有行政主管部门颁发的建设工程质量检测机构资质证书</w:t>
            </w:r>
          </w:p>
        </w:tc>
        <w:tc>
          <w:tcPr>
            <w:tcW w:type="dxa" w:w="3322"/>
          </w:tcPr>
          <w:p>
            <w:pPr>
              <w:pStyle w:val="null3"/>
            </w:pPr>
            <w:r>
              <w:rPr>
                <w:rFonts w:ascii="仿宋_GB2312" w:hAnsi="仿宋_GB2312" w:cs="仿宋_GB2312" w:eastAsia="仿宋_GB2312"/>
              </w:rPr>
              <w:t>（检测类别：同时具备主体结构及装饰装修、地基基础、钢结构）或综合资质，提供资质复印件或扫描件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省级或以上行政主管部门核发的检验检测机构资质认定证书（CMA）</w:t>
            </w:r>
          </w:p>
        </w:tc>
        <w:tc>
          <w:tcPr>
            <w:tcW w:type="dxa" w:w="3322"/>
          </w:tcPr>
          <w:p>
            <w:pPr>
              <w:pStyle w:val="null3"/>
            </w:pPr>
            <w:r>
              <w:rPr>
                <w:rFonts w:ascii="仿宋_GB2312" w:hAnsi="仿宋_GB2312" w:cs="仿宋_GB2312" w:eastAsia="仿宋_GB2312"/>
              </w:rPr>
              <w:t>提供资质复印件或扫描件</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响应报价超过采购预算或者最高限价的将否决其磋商资格。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响应文件的服务期</w:t>
            </w:r>
          </w:p>
        </w:tc>
        <w:tc>
          <w:tcPr>
            <w:tcW w:type="dxa" w:w="3322"/>
          </w:tcPr>
          <w:p>
            <w:pPr>
              <w:pStyle w:val="null3"/>
            </w:pPr>
            <w:r>
              <w:rPr>
                <w:rFonts w:ascii="仿宋_GB2312" w:hAnsi="仿宋_GB2312" w:cs="仿宋_GB2312" w:eastAsia="仿宋_GB2312"/>
              </w:rPr>
              <w:t>服务期应满足招磋商件要求，不满足将否决其磋商资格。</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响应文件有效期应满足磋商文件要求，不满足的否决其磋商资格。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响应文件含有采购人不能接受的附加条件的将否决其磋商资格。</w:t>
            </w:r>
          </w:p>
        </w:tc>
        <w:tc>
          <w:tcPr>
            <w:tcW w:type="dxa" w:w="1661"/>
          </w:tcPr>
          <w:p>
            <w:pPr>
              <w:pStyle w:val="null3"/>
            </w:pPr>
            <w:r>
              <w:rPr>
                <w:rFonts w:ascii="仿宋_GB2312" w:hAnsi="仿宋_GB2312" w:cs="仿宋_GB2312" w:eastAsia="仿宋_GB2312"/>
              </w:rPr>
              <w:t>服务要求响应表.docx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项目分析方案</w:t>
            </w:r>
          </w:p>
        </w:tc>
        <w:tc>
          <w:tcPr>
            <w:tcW w:type="dxa" w:w="2492"/>
          </w:tcPr>
          <w:p>
            <w:pPr>
              <w:pStyle w:val="null3"/>
            </w:pPr>
            <w:r>
              <w:rPr>
                <w:rFonts w:ascii="仿宋_GB2312" w:hAnsi="仿宋_GB2312" w:cs="仿宋_GB2312" w:eastAsia="仿宋_GB2312"/>
              </w:rPr>
              <w:t>对本项目背景了解、现状理解透彻、项目目标、任务理解及对项目内容情况理有详细分析得7（不含）-10分； 对本项目背景了解基本正确、现状理解较为简单、项目目标、任务理解及对项目内容情况分析不够详细得3（不含）-7分； 对本项目背景了解较为简单、现状不够理解、项目目标、任务理解及对项目内容情况分析欠缺得0-3分。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项目分析方案.docx</w:t>
            </w:r>
          </w:p>
        </w:tc>
      </w:tr>
      <w:tr>
        <w:tc>
          <w:tcPr>
            <w:tcW w:type="dxa" w:w="831"/>
            <w:vMerge/>
          </w:tcPr>
          <w:p/>
        </w:tc>
        <w:tc>
          <w:tcPr>
            <w:tcW w:type="dxa" w:w="1661"/>
          </w:tcPr>
          <w:p>
            <w:pPr>
              <w:pStyle w:val="null3"/>
            </w:pPr>
            <w:r>
              <w:rPr>
                <w:rFonts w:ascii="仿宋_GB2312" w:hAnsi="仿宋_GB2312" w:cs="仿宋_GB2312" w:eastAsia="仿宋_GB2312"/>
              </w:rPr>
              <w:t>鉴定工作方案</w:t>
            </w:r>
          </w:p>
        </w:tc>
        <w:tc>
          <w:tcPr>
            <w:tcW w:type="dxa" w:w="2492"/>
          </w:tcPr>
          <w:p>
            <w:pPr>
              <w:pStyle w:val="null3"/>
            </w:pPr>
            <w:r>
              <w:rPr>
                <w:rFonts w:ascii="仿宋_GB2312" w:hAnsi="仿宋_GB2312" w:cs="仿宋_GB2312" w:eastAsia="仿宋_GB2312"/>
              </w:rPr>
              <w:t>提供鉴定工作方案的合理、完整及可执行性高得7（不含）-10分； 提供鉴定工作方案的较为合理、完整及可执行性一般得3（不含）-7分； 提供鉴定工作方案的合理性欠缺、不完整及可执行性低得0-3分。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鉴定工作方案.docx</w:t>
            </w:r>
          </w:p>
        </w:tc>
      </w:tr>
      <w:tr>
        <w:tc>
          <w:tcPr>
            <w:tcW w:type="dxa" w:w="831"/>
            <w:vMerge/>
          </w:tcPr>
          <w:p/>
        </w:tc>
        <w:tc>
          <w:tcPr>
            <w:tcW w:type="dxa" w:w="1661"/>
          </w:tcPr>
          <w:p>
            <w:pPr>
              <w:pStyle w:val="null3"/>
            </w:pPr>
            <w:r>
              <w:rPr>
                <w:rFonts w:ascii="仿宋_GB2312" w:hAnsi="仿宋_GB2312" w:cs="仿宋_GB2312" w:eastAsia="仿宋_GB2312"/>
              </w:rPr>
              <w:t>安全鉴定结果分析方案</w:t>
            </w:r>
          </w:p>
        </w:tc>
        <w:tc>
          <w:tcPr>
            <w:tcW w:type="dxa" w:w="2492"/>
          </w:tcPr>
          <w:p>
            <w:pPr>
              <w:pStyle w:val="null3"/>
            </w:pPr>
            <w:r>
              <w:rPr>
                <w:rFonts w:ascii="仿宋_GB2312" w:hAnsi="仿宋_GB2312" w:cs="仿宋_GB2312" w:eastAsia="仿宋_GB2312"/>
              </w:rPr>
              <w:t>提供结果分析方案的合理、完整及可执行性高得7（不含）-10分； 提供结果分析方案的较为合理、完整及可执行性一般得3（不含）-7分； 提供结果分析方案合理性欠缺、不完整及可执行性低得0-3分。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安全鉴定结果分析方案.docx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工作进度计划合理，雾霾天、雨天、大风天气等恶劣环境下进度的有效保证措施和质量的相关保障措施，可操作性高得6（不含）-8分； 工作进度计划较为合理，雾霾天、雨天、大风天气等恶劣环境下进度的有效保证措施和质量的相关保障措施基本合理，基本能操作得3（不含）-6分； 工作进度计划合理简单，雾霾天、雨天、大风天气等恶劣环境下进度的有效保证措施和质量的相关保障措施，可操作性低得0-3分。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工作进度计划及保障措施.docx</w:t>
            </w:r>
          </w:p>
        </w:tc>
      </w:tr>
      <w:tr>
        <w:tc>
          <w:tcPr>
            <w:tcW w:type="dxa" w:w="831"/>
            <w:vMerge/>
          </w:tcPr>
          <w:p/>
        </w:tc>
        <w:tc>
          <w:tcPr>
            <w:tcW w:type="dxa" w:w="1661"/>
          </w:tcPr>
          <w:p>
            <w:pPr>
              <w:pStyle w:val="null3"/>
            </w:pPr>
            <w:r>
              <w:rPr>
                <w:rFonts w:ascii="仿宋_GB2312" w:hAnsi="仿宋_GB2312" w:cs="仿宋_GB2312" w:eastAsia="仿宋_GB2312"/>
              </w:rPr>
              <w:t>保证检测结果准确的措施和方案</w:t>
            </w:r>
          </w:p>
        </w:tc>
        <w:tc>
          <w:tcPr>
            <w:tcW w:type="dxa" w:w="2492"/>
          </w:tcPr>
          <w:p>
            <w:pPr>
              <w:pStyle w:val="null3"/>
            </w:pPr>
            <w:r>
              <w:rPr>
                <w:rFonts w:ascii="仿宋_GB2312" w:hAnsi="仿宋_GB2312" w:cs="仿宋_GB2312" w:eastAsia="仿宋_GB2312"/>
              </w:rPr>
              <w:t>检测结果措施和方案进行详细得5（不含）-7分； 检测结果措施和方案进行基本合理得3（不含）-5分； 检测结果措施和方案进行欠缺得0-2分。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保证检测结果准确的措施和方案.docx</w:t>
            </w:r>
          </w:p>
        </w:tc>
      </w:tr>
      <w:tr>
        <w:tc>
          <w:tcPr>
            <w:tcW w:type="dxa" w:w="831"/>
            <w:vMerge/>
          </w:tcPr>
          <w:p/>
        </w:tc>
        <w:tc>
          <w:tcPr>
            <w:tcW w:type="dxa" w:w="1661"/>
          </w:tcPr>
          <w:p>
            <w:pPr>
              <w:pStyle w:val="null3"/>
            </w:pPr>
            <w:r>
              <w:rPr>
                <w:rFonts w:ascii="仿宋_GB2312" w:hAnsi="仿宋_GB2312" w:cs="仿宋_GB2312" w:eastAsia="仿宋_GB2312"/>
              </w:rPr>
              <w:t>技术、质量及安全保障措施及服务内容的响应</w:t>
            </w:r>
          </w:p>
        </w:tc>
        <w:tc>
          <w:tcPr>
            <w:tcW w:type="dxa" w:w="2492"/>
          </w:tcPr>
          <w:p>
            <w:pPr>
              <w:pStyle w:val="null3"/>
            </w:pPr>
            <w:r>
              <w:rPr>
                <w:rFonts w:ascii="仿宋_GB2312" w:hAnsi="仿宋_GB2312" w:cs="仿宋_GB2312" w:eastAsia="仿宋_GB2312"/>
              </w:rPr>
              <w:t>采取的技术质量及安全保障措施全面、详细得4（不含）-5分； 采取的技术质量及安全保障措施较为全面性、基本合理得2（不含）-4分； 采取的技术质量及安全保障措施不够全面、欠缺得0-2分。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技术、质量及安全保障措施及服务内容的响应.docx</w:t>
            </w:r>
          </w:p>
        </w:tc>
      </w:tr>
      <w:tr>
        <w:tc>
          <w:tcPr>
            <w:tcW w:type="dxa" w:w="831"/>
            <w:vMerge/>
          </w:tcPr>
          <w:p/>
        </w:tc>
        <w:tc>
          <w:tcPr>
            <w:tcW w:type="dxa" w:w="1661"/>
          </w:tcPr>
          <w:p>
            <w:pPr>
              <w:pStyle w:val="null3"/>
            </w:pPr>
            <w:r>
              <w:rPr>
                <w:rFonts w:ascii="仿宋_GB2312" w:hAnsi="仿宋_GB2312" w:cs="仿宋_GB2312" w:eastAsia="仿宋_GB2312"/>
              </w:rPr>
              <w:t>拟投入本项目排查、鉴定的相关设备</w:t>
            </w:r>
          </w:p>
        </w:tc>
        <w:tc>
          <w:tcPr>
            <w:tcW w:type="dxa" w:w="2492"/>
          </w:tcPr>
          <w:p>
            <w:pPr>
              <w:pStyle w:val="null3"/>
            </w:pPr>
            <w:r>
              <w:rPr>
                <w:rFonts w:ascii="仿宋_GB2312" w:hAnsi="仿宋_GB2312" w:cs="仿宋_GB2312" w:eastAsia="仿宋_GB2312"/>
              </w:rPr>
              <w:t>供应商拟投入本项目的检测设备、仪器应与本项目的检测工作内 容、规模相匹配，应满足本项目检测需求。由磋商小组根据各供应 商拟投入本项目的检测设备、仪器横向对比综合赋分[1.0-5.0]分。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拟投入本项目排查、鉴定的相关设备.docx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突发事件应急处理能力和资源调配能力方案完整科学性、可操作性高得4（不含）-5分； 突发事件应急处理能力和资源调配能力方案不够完整、不够科学、基本可操作得2（不含）-4分； 突发事件应急处理能力和资源调配能力方案欠缺完整科学性、可操作性低得0-2分。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1、拟派项目负责人具备注册结构工程师二级(含)以上注册证书且具备相关专业中级(含)及以上职称得3分，否则不得分； 2、项目组其他人员人数达到4人得基本分4分，每增加1人加1分，本小项最多可得6分； ②每有一个高级或以上职称得1分，本小项最多可得2分； ③每有一个注册结构工程师资格得1分，本小项最多可得2分；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供应商提供职业健康安全管理体系认证证书、质量管理体系认证证 书、环境管理体系认证证书，提供 3 项得 5 分，提供 2 项得 3 分， 提供1项得 1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体系认证.docx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提供供应商的2022年至今签订的同类项目合同或中标通知书复印件：每提供一份计1分，满分5分。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项目承诺及后期服务</w:t>
            </w:r>
          </w:p>
        </w:tc>
        <w:tc>
          <w:tcPr>
            <w:tcW w:type="dxa" w:w="2492"/>
          </w:tcPr>
          <w:p>
            <w:pPr>
              <w:pStyle w:val="null3"/>
            </w:pPr>
            <w:r>
              <w:rPr>
                <w:rFonts w:ascii="仿宋_GB2312" w:hAnsi="仿宋_GB2312" w:cs="仿宋_GB2312" w:eastAsia="仿宋_GB2312"/>
              </w:rPr>
              <w:t>针对本项目的相关承诺和后期服务全面、详细、可行性高得3（不含）-5分； 针对本项目的相关承诺和后期服务较为全面、详细、基本可行性得0-3分。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项目承诺及后期服务.docx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供应商提出针对本项目实施的合理化建议，具体合理可行高得2分； 供应商提出针对本项目实施的合理化建议，较为合理可行得0-1分。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1、经初审合格的磋商响应文件，其最终磋商报价为有效磋商报价，并进行价格评审。 2、满足磋商文件实质性要求且最终报价经政策性扣减后最低的供应商的价格为磋商基准价，其价格分为满分10分。 磋商报价得分=（磋商基准价/最终磋商报价）×10的公式计算得分。 3.磋商报价不完整的，不进入磋商基准价的计算，本项得0分。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详见附件：安全鉴定结果分析方案.docx</w:t>
      </w:r>
    </w:p>
    <w:p>
      <w:pPr>
        <w:pStyle w:val="null3"/>
        <w:ind w:firstLine="960"/>
      </w:pPr>
      <w:r>
        <w:rPr>
          <w:rFonts w:ascii="仿宋_GB2312" w:hAnsi="仿宋_GB2312" w:cs="仿宋_GB2312" w:eastAsia="仿宋_GB2312"/>
        </w:rPr>
        <w:t>详见附件：保证检测结果准确的措施和方案.docx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详见附件：服务要求响应表.docx</w:t>
      </w:r>
    </w:p>
    <w:p>
      <w:pPr>
        <w:pStyle w:val="null3"/>
        <w:ind w:firstLine="960"/>
      </w:pPr>
      <w:r>
        <w:rPr>
          <w:rFonts w:ascii="仿宋_GB2312" w:hAnsi="仿宋_GB2312" w:cs="仿宋_GB2312" w:eastAsia="仿宋_GB2312"/>
        </w:rPr>
        <w:t>详见附件：工作进度计划及保障措施.docx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详见附件：技术、质量及安全保障措施及服务内容的响应.docx</w:t>
      </w:r>
    </w:p>
    <w:p>
      <w:pPr>
        <w:pStyle w:val="null3"/>
        <w:ind w:firstLine="960"/>
      </w:pPr>
      <w:r>
        <w:rPr>
          <w:rFonts w:ascii="仿宋_GB2312" w:hAnsi="仿宋_GB2312" w:cs="仿宋_GB2312" w:eastAsia="仿宋_GB2312"/>
        </w:rPr>
        <w:t>详见附件：鉴定工作方案.docx</w:t>
      </w:r>
    </w:p>
    <w:p>
      <w:pPr>
        <w:pStyle w:val="null3"/>
        <w:ind w:firstLine="960"/>
      </w:pPr>
      <w:r>
        <w:rPr>
          <w:rFonts w:ascii="仿宋_GB2312" w:hAnsi="仿宋_GB2312" w:cs="仿宋_GB2312" w:eastAsia="仿宋_GB2312"/>
        </w:rPr>
        <w:t>详见附件：拟投入本项目排查、鉴定的相关设备.docx</w:t>
      </w:r>
    </w:p>
    <w:p>
      <w:pPr>
        <w:pStyle w:val="null3"/>
        <w:ind w:firstLine="960"/>
      </w:pPr>
      <w:r>
        <w:rPr>
          <w:rFonts w:ascii="仿宋_GB2312" w:hAnsi="仿宋_GB2312" w:cs="仿宋_GB2312" w:eastAsia="仿宋_GB2312"/>
        </w:rPr>
        <w:t>详见附件：拟投入本项目人员.docx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详见附件：体系认证.docx</w:t>
      </w:r>
    </w:p>
    <w:p>
      <w:pPr>
        <w:pStyle w:val="null3"/>
        <w:ind w:firstLine="960"/>
      </w:pPr>
      <w:r>
        <w:rPr>
          <w:rFonts w:ascii="仿宋_GB2312" w:hAnsi="仿宋_GB2312" w:cs="仿宋_GB2312" w:eastAsia="仿宋_GB2312"/>
        </w:rPr>
        <w:t>详见附件：项目承诺及后期服务.docx</w:t>
      </w:r>
    </w:p>
    <w:p>
      <w:pPr>
        <w:pStyle w:val="null3"/>
        <w:ind w:firstLine="960"/>
      </w:pPr>
      <w:r>
        <w:rPr>
          <w:rFonts w:ascii="仿宋_GB2312" w:hAnsi="仿宋_GB2312" w:cs="仿宋_GB2312" w:eastAsia="仿宋_GB2312"/>
        </w:rPr>
        <w:t>详见附件：项目分析方案.docx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