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DF932">
      <w:pPr>
        <w:pStyle w:val="3"/>
        <w:tabs>
          <w:tab w:val="left" w:pos="1444"/>
        </w:tabs>
        <w:spacing w:before="20"/>
        <w:rPr>
          <w:rFonts w:eastAsia="宋体"/>
        </w:rPr>
      </w:pPr>
      <w:r>
        <w:rPr>
          <w:rFonts w:hint="eastAsia"/>
        </w:rPr>
        <w:t>拟签订合同文本</w:t>
      </w:r>
    </w:p>
    <w:p w14:paraId="7CC00D5E">
      <w:pPr>
        <w:pStyle w:val="4"/>
        <w:spacing w:before="204"/>
        <w:ind w:left="477" w:right="117"/>
        <w:jc w:val="center"/>
      </w:pPr>
      <w:r>
        <w:t>（本合同仅供参考，以实际签订合同为准）</w:t>
      </w:r>
    </w:p>
    <w:p w14:paraId="34F89E92">
      <w:pPr>
        <w:pStyle w:val="2"/>
        <w:rPr>
          <w:b/>
        </w:rPr>
      </w:pPr>
    </w:p>
    <w:p w14:paraId="30E79BB6">
      <w:pPr>
        <w:pStyle w:val="2"/>
        <w:spacing w:before="7"/>
        <w:rPr>
          <w:b/>
          <w:sz w:val="23"/>
        </w:rPr>
      </w:pPr>
    </w:p>
    <w:p w14:paraId="36952916">
      <w:pPr>
        <w:pStyle w:val="2"/>
        <w:spacing w:line="360" w:lineRule="auto"/>
        <w:jc w:val="center"/>
        <w:rPr>
          <w:rFonts w:hint="eastAsia" w:eastAsia="宋体"/>
          <w:b/>
          <w:sz w:val="32"/>
          <w:szCs w:val="22"/>
          <w:lang w:eastAsia="zh-CN"/>
        </w:rPr>
      </w:pPr>
      <w:r>
        <w:rPr>
          <w:rFonts w:hint="eastAsia"/>
          <w:b/>
          <w:sz w:val="44"/>
          <w:szCs w:val="28"/>
          <w:lang w:eastAsia="zh-CN"/>
        </w:rPr>
        <w:t>2025年城市道路挖掘修复前期安全隐患排查</w:t>
      </w:r>
    </w:p>
    <w:p w14:paraId="6CDD67AF">
      <w:pPr>
        <w:pStyle w:val="2"/>
        <w:rPr>
          <w:b/>
          <w:sz w:val="36"/>
        </w:rPr>
      </w:pPr>
    </w:p>
    <w:p w14:paraId="0FAA3237">
      <w:pPr>
        <w:pStyle w:val="2"/>
        <w:spacing w:before="1"/>
        <w:rPr>
          <w:b/>
          <w:sz w:val="43"/>
        </w:rPr>
      </w:pPr>
    </w:p>
    <w:p w14:paraId="473B3EFE">
      <w:pPr>
        <w:ind w:right="117"/>
        <w:jc w:val="center"/>
        <w:rPr>
          <w:b/>
          <w:sz w:val="48"/>
          <w:szCs w:val="36"/>
        </w:rPr>
      </w:pPr>
      <w:r>
        <w:rPr>
          <w:b/>
          <w:sz w:val="48"/>
          <w:szCs w:val="36"/>
        </w:rPr>
        <w:t>项目服务合同</w:t>
      </w:r>
    </w:p>
    <w:p w14:paraId="221C50C3">
      <w:pPr>
        <w:pStyle w:val="2"/>
        <w:rPr>
          <w:b/>
          <w:sz w:val="36"/>
        </w:rPr>
      </w:pPr>
    </w:p>
    <w:p w14:paraId="774F7BFA">
      <w:pPr>
        <w:pStyle w:val="2"/>
        <w:rPr>
          <w:b/>
          <w:sz w:val="36"/>
        </w:rPr>
      </w:pPr>
    </w:p>
    <w:p w14:paraId="6939A8E0">
      <w:pPr>
        <w:pStyle w:val="2"/>
        <w:rPr>
          <w:b/>
          <w:sz w:val="36"/>
        </w:rPr>
      </w:pPr>
    </w:p>
    <w:p w14:paraId="540D41E9">
      <w:pPr>
        <w:pStyle w:val="2"/>
        <w:spacing w:before="3"/>
        <w:rPr>
          <w:b/>
          <w:sz w:val="44"/>
        </w:rPr>
      </w:pPr>
    </w:p>
    <w:p w14:paraId="6A77EB4D">
      <w:pPr>
        <w:tabs>
          <w:tab w:val="left" w:pos="6533"/>
        </w:tabs>
        <w:ind w:right="129"/>
        <w:jc w:val="center"/>
        <w:rPr>
          <w:rFonts w:eastAsia="Times New Roman"/>
          <w:b/>
          <w:sz w:val="28"/>
        </w:rPr>
      </w:pPr>
      <w:r>
        <w:rPr>
          <w:b/>
          <w:spacing w:val="-1"/>
          <w:w w:val="95"/>
          <w:sz w:val="28"/>
        </w:rPr>
        <w:t>采购</w:t>
      </w:r>
      <w:r>
        <w:rPr>
          <w:rFonts w:hint="eastAsia"/>
          <w:b/>
          <w:spacing w:val="-1"/>
          <w:w w:val="95"/>
          <w:sz w:val="28"/>
          <w:lang w:val="en-US" w:eastAsia="zh-CN"/>
        </w:rPr>
        <w:t>人</w:t>
      </w:r>
      <w:r>
        <w:rPr>
          <w:b/>
          <w:spacing w:val="-1"/>
          <w:w w:val="95"/>
          <w:sz w:val="28"/>
        </w:rPr>
        <w:t>（</w:t>
      </w:r>
      <w:r>
        <w:rPr>
          <w:rFonts w:hint="eastAsia"/>
          <w:b/>
          <w:spacing w:val="-1"/>
          <w:w w:val="95"/>
          <w:sz w:val="28"/>
        </w:rPr>
        <w:t>甲方</w:t>
      </w:r>
      <w:r>
        <w:rPr>
          <w:b/>
          <w:w w:val="95"/>
          <w:sz w:val="28"/>
        </w:rPr>
        <w:t>）：</w:t>
      </w:r>
      <w:r>
        <w:rPr>
          <w:rFonts w:eastAsia="Times New Roman"/>
          <w:b/>
          <w:sz w:val="28"/>
          <w:u w:val="single"/>
        </w:rPr>
        <w:t xml:space="preserve"> </w:t>
      </w:r>
      <w:r>
        <w:rPr>
          <w:rFonts w:eastAsia="Times New Roman"/>
          <w:b/>
          <w:sz w:val="28"/>
          <w:u w:val="single"/>
        </w:rPr>
        <w:tab/>
      </w:r>
    </w:p>
    <w:p w14:paraId="063D7195">
      <w:pPr>
        <w:tabs>
          <w:tab w:val="left" w:pos="6537"/>
        </w:tabs>
        <w:spacing w:before="71"/>
        <w:ind w:right="125"/>
        <w:jc w:val="center"/>
        <w:rPr>
          <w:rFonts w:eastAsia="Times New Roman"/>
          <w:b/>
          <w:sz w:val="28"/>
        </w:rPr>
      </w:pPr>
      <w:r>
        <w:rPr>
          <w:b/>
          <w:spacing w:val="-1"/>
          <w:w w:val="95"/>
          <w:sz w:val="28"/>
        </w:rPr>
        <w:t>供应</w:t>
      </w:r>
      <w:r>
        <w:rPr>
          <w:rFonts w:hint="eastAsia"/>
          <w:b/>
          <w:spacing w:val="-1"/>
          <w:w w:val="95"/>
          <w:sz w:val="28"/>
          <w:lang w:val="en-US" w:eastAsia="zh-CN"/>
        </w:rPr>
        <w:t>商</w:t>
      </w:r>
      <w:r>
        <w:rPr>
          <w:b/>
          <w:w w:val="95"/>
          <w:sz w:val="28"/>
        </w:rPr>
        <w:t>（</w:t>
      </w:r>
      <w:r>
        <w:rPr>
          <w:rFonts w:hint="eastAsia"/>
          <w:b/>
          <w:w w:val="95"/>
          <w:sz w:val="28"/>
        </w:rPr>
        <w:t>乙方</w:t>
      </w:r>
      <w:r>
        <w:rPr>
          <w:b/>
          <w:w w:val="95"/>
          <w:sz w:val="28"/>
        </w:rPr>
        <w:t>）：</w:t>
      </w:r>
      <w:r>
        <w:rPr>
          <w:rFonts w:eastAsia="Times New Roman"/>
          <w:b/>
          <w:sz w:val="28"/>
          <w:u w:val="single"/>
        </w:rPr>
        <w:t xml:space="preserve"> </w:t>
      </w:r>
      <w:r>
        <w:rPr>
          <w:rFonts w:eastAsia="Times New Roman"/>
          <w:b/>
          <w:sz w:val="28"/>
          <w:u w:val="single"/>
        </w:rPr>
        <w:tab/>
      </w:r>
    </w:p>
    <w:p w14:paraId="214D8D88">
      <w:pPr>
        <w:pStyle w:val="4"/>
        <w:spacing w:before="204"/>
        <w:ind w:left="17" w:right="117" w:hanging="17" w:hangingChars="7"/>
        <w:jc w:val="center"/>
      </w:pPr>
      <w:r>
        <w:rPr>
          <w:rFonts w:hint="eastAsia"/>
          <w:spacing w:val="-1"/>
          <w:w w:val="95"/>
          <w:sz w:val="28"/>
        </w:rPr>
        <w:t xml:space="preserve"> </w:t>
      </w:r>
      <w:r>
        <w:rPr>
          <w:spacing w:val="-1"/>
          <w:w w:val="95"/>
          <w:sz w:val="28"/>
        </w:rPr>
        <w:t>签订</w:t>
      </w:r>
      <w:r>
        <w:rPr>
          <w:w w:val="95"/>
          <w:sz w:val="28"/>
        </w:rPr>
        <w:t>日期：</w:t>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 xml:space="preserve"> </w:t>
      </w:r>
      <w:r>
        <w:rPr>
          <w:rFonts w:ascii="Times New Roman" w:eastAsia="Times New Roman"/>
          <w:sz w:val="28"/>
          <w:u w:val="single"/>
        </w:rPr>
        <w:tab/>
      </w:r>
    </w:p>
    <w:p w14:paraId="2B579E0C">
      <w:pPr>
        <w:tabs>
          <w:tab w:val="left" w:pos="9030"/>
        </w:tabs>
        <w:snapToGrid w:val="0"/>
        <w:spacing w:line="360" w:lineRule="auto"/>
        <w:ind w:right="-65" w:firstLine="514" w:firstLineChars="200"/>
        <w:rPr>
          <w:rFonts w:hint="eastAsia" w:ascii="宋体" w:hAnsi="宋体" w:cs="宋体"/>
          <w:b/>
          <w:bCs/>
          <w:sz w:val="28"/>
          <w:szCs w:val="28"/>
          <w:lang w:val="zh-CN"/>
        </w:rPr>
      </w:pPr>
    </w:p>
    <w:p w14:paraId="68EDCE1D">
      <w:pPr>
        <w:rPr>
          <w:rFonts w:hint="eastAsia"/>
          <w:lang w:val="zh-CN"/>
        </w:rPr>
      </w:pPr>
    </w:p>
    <w:p w14:paraId="4C72F23D">
      <w:pPr>
        <w:tabs>
          <w:tab w:val="left" w:pos="9030"/>
        </w:tabs>
        <w:snapToGrid w:val="0"/>
        <w:spacing w:line="360" w:lineRule="auto"/>
        <w:ind w:right="-65"/>
        <w:rPr>
          <w:rFonts w:hint="eastAsia" w:ascii="宋体" w:hAnsi="宋体" w:cs="宋体"/>
          <w:b/>
          <w:bCs/>
          <w:sz w:val="28"/>
          <w:szCs w:val="28"/>
          <w:lang w:val="zh-CN"/>
        </w:rPr>
      </w:pPr>
    </w:p>
    <w:p w14:paraId="5C444777">
      <w:pPr>
        <w:tabs>
          <w:tab w:val="left" w:pos="9030"/>
        </w:tabs>
        <w:snapToGrid w:val="0"/>
        <w:spacing w:line="360" w:lineRule="auto"/>
        <w:ind w:right="-65" w:firstLine="514" w:firstLineChars="200"/>
        <w:rPr>
          <w:rFonts w:hint="eastAsia" w:ascii="宋体" w:hAnsi="宋体" w:cs="宋体"/>
          <w:b/>
          <w:bCs/>
          <w:sz w:val="28"/>
          <w:szCs w:val="28"/>
          <w:lang w:val="zh-CN"/>
        </w:rPr>
      </w:pPr>
    </w:p>
    <w:p w14:paraId="043A3269">
      <w:pPr>
        <w:tabs>
          <w:tab w:val="left" w:pos="9030"/>
        </w:tabs>
        <w:snapToGrid w:val="0"/>
        <w:spacing w:line="360" w:lineRule="auto"/>
        <w:ind w:right="-65" w:firstLine="514" w:firstLineChars="200"/>
        <w:rPr>
          <w:rFonts w:hint="eastAsia" w:ascii="宋体" w:hAnsi="宋体" w:cs="宋体"/>
          <w:b/>
          <w:bCs/>
          <w:sz w:val="28"/>
          <w:szCs w:val="28"/>
          <w:lang w:val="zh-CN"/>
        </w:rPr>
      </w:pPr>
    </w:p>
    <w:p w14:paraId="1AE9AAA0">
      <w:pPr>
        <w:tabs>
          <w:tab w:val="left" w:pos="9030"/>
        </w:tabs>
        <w:snapToGrid w:val="0"/>
        <w:spacing w:line="360" w:lineRule="auto"/>
        <w:ind w:right="-65" w:firstLine="514" w:firstLineChars="200"/>
        <w:rPr>
          <w:rFonts w:hint="default" w:ascii="宋体" w:hAnsi="宋体" w:eastAsia="宋体" w:cs="宋体"/>
          <w:b/>
          <w:bCs/>
          <w:sz w:val="28"/>
          <w:szCs w:val="28"/>
          <w:u w:val="single"/>
          <w:lang w:val="en-US" w:eastAsia="zh-CN"/>
        </w:rPr>
      </w:pPr>
      <w:r>
        <w:rPr>
          <w:rFonts w:hint="eastAsia" w:ascii="宋体" w:hAnsi="宋体" w:cs="宋体"/>
          <w:b/>
          <w:bCs/>
          <w:sz w:val="28"/>
          <w:szCs w:val="28"/>
          <w:lang w:val="zh-CN"/>
        </w:rPr>
        <w:t>甲方：</w:t>
      </w:r>
      <w:r>
        <w:rPr>
          <w:rFonts w:hint="eastAsia" w:ascii="宋体" w:hAnsi="宋体" w:cs="宋体"/>
          <w:bCs/>
          <w:sz w:val="28"/>
          <w:szCs w:val="28"/>
          <w:u w:val="single"/>
          <w:lang w:val="zh-CN"/>
        </w:rPr>
        <w:t>（前款所称采购人）</w:t>
      </w:r>
      <w:r>
        <w:rPr>
          <w:rFonts w:hint="eastAsia" w:ascii="宋体" w:hAnsi="宋体" w:cs="宋体"/>
          <w:bCs/>
          <w:sz w:val="28"/>
          <w:szCs w:val="28"/>
          <w:u w:val="single"/>
          <w:lang w:val="en-US" w:eastAsia="zh-CN"/>
        </w:rPr>
        <w:t xml:space="preserve">  </w:t>
      </w:r>
    </w:p>
    <w:p w14:paraId="7F13D7A4">
      <w:pPr>
        <w:tabs>
          <w:tab w:val="left" w:pos="9030"/>
        </w:tabs>
        <w:snapToGrid w:val="0"/>
        <w:spacing w:line="360" w:lineRule="auto"/>
        <w:ind w:right="-65" w:firstLine="514" w:firstLineChars="200"/>
        <w:rPr>
          <w:rFonts w:ascii="宋体" w:hAnsi="宋体" w:cs="宋体"/>
          <w:bCs/>
          <w:sz w:val="28"/>
          <w:szCs w:val="28"/>
          <w:lang w:val="zh-CN"/>
        </w:rPr>
      </w:pPr>
      <w:r>
        <w:rPr>
          <w:rFonts w:hint="eastAsia" w:ascii="宋体" w:hAnsi="宋体" w:cs="宋体"/>
          <w:b/>
          <w:bCs/>
          <w:sz w:val="28"/>
          <w:szCs w:val="28"/>
          <w:lang w:val="zh-CN"/>
        </w:rPr>
        <w:t>乙方：</w:t>
      </w:r>
      <w:r>
        <w:rPr>
          <w:rFonts w:hint="eastAsia" w:ascii="宋体" w:hAnsi="宋体" w:cs="宋体"/>
          <w:bCs/>
          <w:sz w:val="28"/>
          <w:szCs w:val="28"/>
          <w:u w:val="single"/>
          <w:lang w:val="zh-CN"/>
        </w:rPr>
        <w:t>（前款所称</w:t>
      </w:r>
      <w:r>
        <w:rPr>
          <w:rFonts w:hint="eastAsia" w:ascii="宋体" w:hAnsi="宋体" w:cs="宋体"/>
          <w:bCs/>
          <w:sz w:val="28"/>
          <w:szCs w:val="28"/>
          <w:u w:val="single"/>
        </w:rPr>
        <w:t>成交供应商</w:t>
      </w:r>
      <w:r>
        <w:rPr>
          <w:rFonts w:hint="eastAsia" w:ascii="宋体" w:hAnsi="宋体" w:cs="宋体"/>
          <w:bCs/>
          <w:sz w:val="28"/>
          <w:szCs w:val="28"/>
          <w:u w:val="single"/>
          <w:lang w:val="zh-CN"/>
        </w:rPr>
        <w:t>）</w:t>
      </w:r>
    </w:p>
    <w:p w14:paraId="435A831F">
      <w:pPr>
        <w:bidi w:val="0"/>
        <w:rPr>
          <w:rFonts w:hint="eastAsia" w:ascii="宋体" w:hAnsi="宋体" w:eastAsia="宋体" w:cs="宋体"/>
          <w:b/>
          <w:bCs/>
          <w:sz w:val="28"/>
          <w:szCs w:val="36"/>
          <w:lang w:val="zh-CN"/>
        </w:rPr>
      </w:pPr>
      <w:r>
        <w:rPr>
          <w:rFonts w:hint="eastAsia" w:ascii="宋体" w:hAnsi="宋体" w:eastAsia="宋体" w:cs="宋体"/>
          <w:b/>
          <w:bCs/>
          <w:sz w:val="28"/>
          <w:szCs w:val="36"/>
          <w:lang w:val="en-US" w:eastAsia="zh-CN"/>
        </w:rPr>
        <w:t>一、</w:t>
      </w:r>
      <w:r>
        <w:rPr>
          <w:rFonts w:hint="eastAsia" w:ascii="宋体" w:hAnsi="宋体" w:eastAsia="宋体" w:cs="宋体"/>
          <w:b/>
          <w:bCs/>
          <w:sz w:val="28"/>
          <w:szCs w:val="36"/>
          <w:lang w:val="zh-CN"/>
        </w:rPr>
        <w:t>合同内容</w:t>
      </w:r>
    </w:p>
    <w:p w14:paraId="2CC1C013">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完成西安市碑林区辖区内指定的</w:t>
      </w:r>
      <w:r>
        <w:rPr>
          <w:rFonts w:hint="eastAsia" w:ascii="宋体" w:hAnsi="宋体" w:eastAsia="宋体" w:cs="宋体"/>
          <w:sz w:val="24"/>
          <w:szCs w:val="24"/>
          <w:lang w:val="en-US" w:eastAsia="zh-CN"/>
        </w:rPr>
        <w:t>214</w:t>
      </w:r>
      <w:r>
        <w:rPr>
          <w:rFonts w:hint="eastAsia" w:ascii="宋体" w:hAnsi="宋体" w:eastAsia="宋体" w:cs="宋体"/>
          <w:sz w:val="24"/>
          <w:szCs w:val="24"/>
        </w:rPr>
        <w:t>条市政道路（含人行道）地下病害体探测，查清路面下方已经存在的空洞、脱空区、疏松区及富水区等地下病害体，绘制道路地下病害分布图，为城市道路地下病害防治与决策提供基础数据。</w:t>
      </w:r>
    </w:p>
    <w:p w14:paraId="5932EFA4">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二、合同价款</w:t>
      </w:r>
    </w:p>
    <w:p w14:paraId="7C6E7505">
      <w:pPr>
        <w:adjustRightInd w:val="0"/>
        <w:snapToGrid w:val="0"/>
        <w:spacing w:line="360" w:lineRule="auto"/>
        <w:ind w:firstLine="434" w:firstLineChars="200"/>
        <w:rPr>
          <w:rFonts w:hint="default" w:ascii="宋体" w:hAnsi="宋体" w:eastAsia="宋体" w:cs="宋体"/>
          <w:sz w:val="24"/>
          <w:szCs w:val="24"/>
          <w:u w:val="single"/>
          <w:lang w:val="en-US" w:eastAsia="zh-CN"/>
        </w:rPr>
      </w:pPr>
      <w:r>
        <w:rPr>
          <w:rFonts w:hint="eastAsia" w:ascii="宋体" w:hAnsi="宋体" w:cs="宋体"/>
          <w:sz w:val="24"/>
          <w:szCs w:val="24"/>
        </w:rPr>
        <w:t>1、合同总价：大写：</w:t>
      </w:r>
      <w:r>
        <w:rPr>
          <w:rFonts w:hint="eastAsia" w:ascii="宋体" w:hAnsi="宋体" w:cs="宋体"/>
          <w:sz w:val="24"/>
          <w:szCs w:val="24"/>
          <w:u w:val="single"/>
        </w:rPr>
        <w:t xml:space="preserve">             </w:t>
      </w:r>
      <w:r>
        <w:rPr>
          <w:rFonts w:hint="eastAsia" w:ascii="宋体" w:hAnsi="宋体" w:cs="宋体"/>
          <w:sz w:val="24"/>
          <w:szCs w:val="24"/>
        </w:rPr>
        <w:t xml:space="preserve"> 小写：</w:t>
      </w:r>
      <w:r>
        <w:rPr>
          <w:rFonts w:hint="eastAsia" w:ascii="宋体" w:hAnsi="宋体" w:cs="宋体"/>
          <w:sz w:val="24"/>
          <w:szCs w:val="24"/>
          <w:u w:val="single"/>
          <w:lang w:val="en-US" w:eastAsia="zh-CN"/>
        </w:rPr>
        <w:t xml:space="preserve">           </w:t>
      </w:r>
    </w:p>
    <w:p w14:paraId="7AA991E7">
      <w:pPr>
        <w:adjustRightInd w:val="0"/>
        <w:snapToGrid w:val="0"/>
        <w:spacing w:line="360" w:lineRule="auto"/>
        <w:ind w:firstLine="434" w:firstLineChars="200"/>
        <w:jc w:val="left"/>
        <w:rPr>
          <w:rFonts w:ascii="宋体" w:hAnsi="宋体" w:cs="宋体"/>
          <w:sz w:val="24"/>
          <w:szCs w:val="24"/>
        </w:rPr>
      </w:pPr>
      <w:r>
        <w:rPr>
          <w:rFonts w:hint="eastAsia" w:ascii="宋体" w:hAnsi="宋体" w:cs="宋体"/>
          <w:sz w:val="24"/>
          <w:szCs w:val="24"/>
        </w:rPr>
        <w:t>2、合同总价包括：是完成本项目全部内容所需的全部费用。报价包括测绘设备使用费、人工费、成果处理费、国家所规定的税金及其他相关的费用。</w:t>
      </w:r>
    </w:p>
    <w:p w14:paraId="2419F540">
      <w:pPr>
        <w:adjustRightInd w:val="0"/>
        <w:snapToGrid w:val="0"/>
        <w:spacing w:line="360" w:lineRule="auto"/>
        <w:ind w:firstLine="434" w:firstLineChars="200"/>
        <w:rPr>
          <w:rFonts w:ascii="宋体" w:hAnsi="宋体" w:cs="宋体"/>
          <w:b/>
          <w:sz w:val="24"/>
          <w:szCs w:val="24"/>
          <w:lang w:val="zh-CN"/>
        </w:rPr>
      </w:pPr>
      <w:r>
        <w:rPr>
          <w:rFonts w:hint="eastAsia" w:ascii="宋体" w:hAnsi="宋体" w:cs="宋体"/>
          <w:sz w:val="24"/>
          <w:szCs w:val="24"/>
        </w:rPr>
        <w:t>3、合同总价一次包死，不受市场价变化的影响。</w:t>
      </w:r>
    </w:p>
    <w:p w14:paraId="4593C17B">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三、合同结算</w:t>
      </w:r>
    </w:p>
    <w:p w14:paraId="590F54F7">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付款比例：</w:t>
      </w:r>
    </w:p>
    <w:p w14:paraId="2C29E831">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服务商单位向甲方单位提供正式成果，经甲方确认（以甲乙双方在工作量确认单签字盖章为准），验收合格后支付合同总价款。</w:t>
      </w:r>
    </w:p>
    <w:p w14:paraId="5EBD63FC">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支付方式：银行转账。</w:t>
      </w:r>
    </w:p>
    <w:p w14:paraId="40282B3C">
      <w:pPr>
        <w:adjustRightInd w:val="0"/>
        <w:snapToGrid w:val="0"/>
        <w:spacing w:line="360" w:lineRule="auto"/>
        <w:ind w:firstLine="434" w:firstLineChars="200"/>
        <w:jc w:val="left"/>
        <w:rPr>
          <w:rFonts w:ascii="宋体" w:hAnsi="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结算单位：由甲方进行工作量确认，服务商开具合同总价数的全额发票交于甲方。</w:t>
      </w:r>
    </w:p>
    <w:p w14:paraId="133E34B5">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四、服务条件</w:t>
      </w:r>
    </w:p>
    <w:p w14:paraId="0217AEC6">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1、服务地点：甲方指定地点</w:t>
      </w:r>
    </w:p>
    <w:p w14:paraId="4674F3C4">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2、服务期限：自合同签订之日起</w:t>
      </w:r>
      <w:r>
        <w:rPr>
          <w:rFonts w:hint="eastAsia" w:ascii="宋体" w:hAnsi="宋体" w:eastAsia="宋体" w:cs="宋体"/>
          <w:sz w:val="24"/>
          <w:szCs w:val="24"/>
          <w:lang w:val="en-US" w:eastAsia="zh-CN"/>
        </w:rPr>
        <w:t>45</w:t>
      </w:r>
      <w:r>
        <w:rPr>
          <w:rFonts w:hint="eastAsia" w:ascii="宋体" w:hAnsi="宋体" w:eastAsia="宋体" w:cs="宋体"/>
          <w:sz w:val="24"/>
          <w:szCs w:val="24"/>
        </w:rPr>
        <w:t>日历天内完成。</w:t>
      </w:r>
    </w:p>
    <w:p w14:paraId="7D06287B">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质量保证期为工程验收合格后</w:t>
      </w:r>
      <w:r>
        <w:rPr>
          <w:rFonts w:hint="eastAsia" w:ascii="宋体" w:hAnsi="宋体" w:eastAsia="宋体" w:cs="宋体"/>
          <w:sz w:val="24"/>
          <w:szCs w:val="24"/>
          <w:lang w:val="en-US" w:eastAsia="zh-CN"/>
        </w:rPr>
        <w:t>12</w:t>
      </w:r>
      <w:r>
        <w:rPr>
          <w:rFonts w:hint="eastAsia" w:ascii="宋体" w:hAnsi="宋体" w:eastAsia="宋体" w:cs="宋体"/>
          <w:sz w:val="24"/>
          <w:szCs w:val="24"/>
        </w:rPr>
        <w:t>个月且不少于10次的道路应急检测服务。</w:t>
      </w:r>
    </w:p>
    <w:p w14:paraId="52ADDD68">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五、权利与义务</w:t>
      </w:r>
    </w:p>
    <w:p w14:paraId="3AEF225F">
      <w:pPr>
        <w:bidi w:val="0"/>
        <w:ind w:firstLine="434" w:firstLineChars="200"/>
        <w:rPr>
          <w:rFonts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甲方的权利</w:t>
      </w:r>
    </w:p>
    <w:p w14:paraId="3CED30C6">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eastAsia="宋体" w:cs="宋体"/>
          <w:sz w:val="24"/>
          <w:szCs w:val="24"/>
        </w:rPr>
        <w:t>甲方有权向乙方询问工作进展情况及相关的内容。</w:t>
      </w:r>
    </w:p>
    <w:p w14:paraId="604A04B7">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甲方有权阐述对具体问题的意见和建议。</w:t>
      </w:r>
    </w:p>
    <w:p w14:paraId="3927B68F">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甲方有权根据项目的具体情况，要求乙方按期到项目现场勘探解决争议。</w:t>
      </w:r>
    </w:p>
    <w:p w14:paraId="05954550">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当甲方认定专业技术人员不按合同履行其职责，或与第三人串通给甲方造成经济损失的，甲方有权要求更换技术专业人员，直至终止合同并要求乙方承担相应的赔偿责任。</w:t>
      </w:r>
    </w:p>
    <w:p w14:paraId="6D45709D">
      <w:pPr>
        <w:bidi w:val="0"/>
        <w:ind w:firstLine="434" w:firstLineChars="200"/>
        <w:rPr>
          <w:rFonts w:hint="eastAsia" w:ascii="宋体" w:hAnsi="宋体" w:cs="宋体"/>
          <w:sz w:val="24"/>
          <w:szCs w:val="24"/>
          <w:lang w:val="en-US" w:eastAsia="zh-CN"/>
        </w:rPr>
      </w:pPr>
      <w:r>
        <w:rPr>
          <w:rFonts w:hint="eastAsia" w:ascii="宋体" w:hAnsi="宋体" w:cs="宋体"/>
          <w:sz w:val="24"/>
          <w:szCs w:val="24"/>
          <w:lang w:val="en-US" w:eastAsia="zh-CN"/>
        </w:rPr>
        <w:t>2、甲方的义务</w:t>
      </w:r>
    </w:p>
    <w:p w14:paraId="3ABA2C4C">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甲方应负责与本项目有关的第三人的协调，为乙方工作提供外部条件。</w:t>
      </w:r>
    </w:p>
    <w:p w14:paraId="78A7FF00">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甲方应当在约定的时间内，向乙方提供与本项目有关的资料。</w:t>
      </w:r>
    </w:p>
    <w:p w14:paraId="6F9AE415">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甲方应当在约定的时间内就乙方书面提交并要求做出答复的事宜做出书面答复。乙方要求第三人提供有关资料时，甲方应负责转达及收集整理相关资料。</w:t>
      </w:r>
    </w:p>
    <w:p w14:paraId="5F0888D7">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甲方应当授权胜任本项目的代表，负责与乙方联系。</w:t>
      </w:r>
    </w:p>
    <w:p w14:paraId="2702208A">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六、质量保证及服务要求</w:t>
      </w:r>
    </w:p>
    <w:p w14:paraId="51D94334">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所提供的成果文件必须保证符合国家相关程序和相关规定。</w:t>
      </w:r>
    </w:p>
    <w:p w14:paraId="6AE56104">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乙方提供相关成果文件确保真实性、可靠性。</w:t>
      </w:r>
    </w:p>
    <w:p w14:paraId="5EA0B9C5">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在合同执行过程中需要服务商应执行的相关服务标准和应当履行的相关义务。</w:t>
      </w:r>
    </w:p>
    <w:p w14:paraId="57039468">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服务商应严格按照国家、行业有关工程地质探测的标准、规范、规程和规定开展探测工作，确保探测结果客观、公正、可靠，对其提交成果的质量负责；</w:t>
      </w:r>
    </w:p>
    <w:p w14:paraId="3F612B74">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服务商应严格按照按甲方指定的工作内容开展作业，配备足够人员和设备投入到本项目，以满足进度、质量、技术等要求；</w:t>
      </w:r>
    </w:p>
    <w:p w14:paraId="0DCCDA8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服务商在探测过程中应做好环境保护工作，若因服务商造成对地方环境污染、地上附着物和构造物损毁等产生经济、法律责任概由服务商承担。</w:t>
      </w:r>
    </w:p>
    <w:p w14:paraId="06E861A3">
      <w:pPr>
        <w:adjustRightInd w:val="0"/>
        <w:snapToGrid w:val="0"/>
        <w:spacing w:line="360" w:lineRule="auto"/>
        <w:ind w:firstLine="434" w:firstLineChars="200"/>
        <w:jc w:val="left"/>
        <w:rPr>
          <w:rFonts w:hint="eastAsia" w:ascii="宋体" w:hAnsi="宋体" w:cs="宋体"/>
          <w:sz w:val="24"/>
          <w:szCs w:val="24"/>
          <w:lang w:val="en-US" w:eastAsia="zh-CN"/>
        </w:rPr>
      </w:pPr>
      <w:r>
        <w:rPr>
          <w:rFonts w:hint="eastAsia" w:ascii="宋体" w:hAnsi="宋体" w:cs="宋体"/>
          <w:sz w:val="24"/>
          <w:szCs w:val="24"/>
          <w:lang w:val="en-US" w:eastAsia="zh-CN"/>
        </w:rPr>
        <w:t>4、须遵循的标准、规范</w:t>
      </w:r>
    </w:p>
    <w:p w14:paraId="1BF64F9B">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符合国家及行业相关的雷达探测的技术规范要求，包括并不仅限于：</w:t>
      </w:r>
    </w:p>
    <w:p w14:paraId="5358B94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(1)《城市地下病害体综合探测与风险评估技术标准》JGJ/T-437-2018；</w:t>
      </w:r>
    </w:p>
    <w:p w14:paraId="0DC90668">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(2)《城市工程地球物理探测规范》CJJ/T-7-2017；</w:t>
      </w:r>
    </w:p>
    <w:p w14:paraId="740771EF">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(3)《岩土工程勘察规范》GB50021-2001(2009年版)；</w:t>
      </w:r>
    </w:p>
    <w:p w14:paraId="5CAAD9D4">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(4)《道路三维探地雷达探测技术规程》T/CAS 516-2021</w:t>
      </w:r>
    </w:p>
    <w:p w14:paraId="21738B8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(4)《建筑工程地质勘探与取样技术规程》JGJ/T-87-2012；</w:t>
      </w:r>
    </w:p>
    <w:p w14:paraId="68BCC15C">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(5)《城市测量规范》GB50026-2019；</w:t>
      </w:r>
    </w:p>
    <w:p w14:paraId="2C52E846">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(6)《城市地下管线探测技术规程》CJJ61-2017；</w:t>
      </w:r>
    </w:p>
    <w:p w14:paraId="03A596F5">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(7)《国家基本比例尺地图图式第1部分：1:500-1:1000-1:2000地形图图式》GB/T-20257.1-2007；</w:t>
      </w:r>
    </w:p>
    <w:p w14:paraId="029CDA1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(8)《城市排水许可管理办法》建设部令第152号；</w:t>
      </w:r>
    </w:p>
    <w:p w14:paraId="5667A12F">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(9)《城市排水监测工作管理规定》建城字第[1992]886号；</w:t>
      </w:r>
    </w:p>
    <w:p w14:paraId="609F7971">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(10)审定通过的本项目技术设计书。</w:t>
      </w:r>
    </w:p>
    <w:p w14:paraId="6102CE13">
      <w:pPr>
        <w:adjustRightInd w:val="0"/>
        <w:snapToGrid w:val="0"/>
        <w:spacing w:line="360" w:lineRule="auto"/>
        <w:ind w:firstLine="434" w:firstLineChars="200"/>
        <w:jc w:val="left"/>
        <w:rPr>
          <w:rFonts w:hint="eastAsia" w:ascii="宋体" w:hAnsi="宋体" w:cs="宋体"/>
          <w:sz w:val="24"/>
          <w:szCs w:val="24"/>
          <w:lang w:val="en-US" w:eastAsia="zh-CN"/>
        </w:rPr>
      </w:pPr>
      <w:bookmarkStart w:id="0" w:name="_GoBack"/>
      <w:r>
        <w:rPr>
          <w:rFonts w:hint="eastAsia" w:ascii="宋体" w:hAnsi="宋体" w:cs="宋体"/>
          <w:sz w:val="24"/>
          <w:szCs w:val="24"/>
          <w:lang w:val="en-US" w:eastAsia="zh-CN"/>
        </w:rPr>
        <w:t>5、基本工作原则</w:t>
      </w:r>
    </w:p>
    <w:bookmarkEnd w:id="0"/>
    <w:p w14:paraId="43A88991">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执行有关项目建设的国家法律、法规、规范、标准和制度，履行普查合同规定的义务和职责；遵守国家的法律和政府的有关条例、规定和办法等。</w:t>
      </w:r>
    </w:p>
    <w:p w14:paraId="33B25146">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不得泄漏普查项目各方认为需要保密的事项。</w:t>
      </w:r>
    </w:p>
    <w:p w14:paraId="5AE4BCD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坚持科学的态度和实事求是的原则，保持普查成果的正确性，维护招标人的合法权益。</w:t>
      </w:r>
    </w:p>
    <w:p w14:paraId="142DC98B">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由于探测单位施工不当而造成招标人经济损失的，探测单位要负责赔偿造成的全部经济损失。</w:t>
      </w:r>
    </w:p>
    <w:p w14:paraId="4A784B1C">
      <w:pPr>
        <w:adjustRightInd w:val="0"/>
        <w:snapToGrid w:val="0"/>
        <w:spacing w:line="360" w:lineRule="auto"/>
        <w:ind w:firstLine="434" w:firstLineChars="200"/>
        <w:jc w:val="left"/>
        <w:rPr>
          <w:rFonts w:hint="eastAsia"/>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派驻本项目的所有管理人员和作业人员均应为服务商正式职工，服务商承担其工作人员的食宿、施工和作业全过程的安全生产责任。</w:t>
      </w:r>
    </w:p>
    <w:p w14:paraId="1BBF55B3">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七、验收依据</w:t>
      </w:r>
    </w:p>
    <w:p w14:paraId="53581EAE">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商在工程竣工之日起将验收日期以书面形式通知甲方，要求甲方届时组织验收，如甲方不能按时组织验收须提前通知服务商，另定验收日期，但甲方须承认竣工日期。工程竣工后20个工作日内甲方未完成验收的，服务商有权组织相关专家、并通知甲方人员到场进行验收，甲方与服务商双方均应承认专家验收结果。</w:t>
      </w:r>
    </w:p>
    <w:p w14:paraId="769DD9A4">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工程竣工后在验收合格之日起十日内，服务商向甲方移交完毕。</w:t>
      </w:r>
    </w:p>
    <w:p w14:paraId="20B36004">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在进行竣工验收中如发现工程质量不符合规定，服务商应负责无偿返工，并按双方议定的措施和期限完成，经验收合格后再行移交。</w:t>
      </w:r>
    </w:p>
    <w:p w14:paraId="1C77419D">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工程竣工验收合格后，服务商对探查成果负责保修3个月。在质量保证期内，对甲方提出的问题，服务商立即投入人员设备进行探测与复核。</w:t>
      </w:r>
    </w:p>
    <w:p w14:paraId="261CD471">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所供的成果文件必须保证符合国家相关程序和相关规定。</w:t>
      </w:r>
    </w:p>
    <w:p w14:paraId="3B0EB391">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服务商提供相关成果文件确保真实性、可靠性。</w:t>
      </w:r>
    </w:p>
    <w:p w14:paraId="3E0B8436">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质量成果应符合国家及行业相关的雷达探测的技术规范要求，包括并不仅限于：</w:t>
      </w:r>
    </w:p>
    <w:p w14:paraId="5ADBF0D8">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(1)《城市地下病害体综合探测与风险评估技术标准》JGJ/T-437-2018；</w:t>
      </w:r>
    </w:p>
    <w:p w14:paraId="42B37785">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(2)《城市工程地球物理探测规范》CJJ/T-7-2017；</w:t>
      </w:r>
    </w:p>
    <w:p w14:paraId="79FCF61D">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(3)《岩土工程勘察规范》GB50021-2001(2009年版)；</w:t>
      </w:r>
    </w:p>
    <w:p w14:paraId="787ABDB4">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(4)《道路三维探地雷达探测技术规程》T/CAS 516-2021</w:t>
      </w:r>
    </w:p>
    <w:p w14:paraId="17CC964F">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(4)《建筑工程地质勘探与取样技术规程》JGJ/T-87-2012；</w:t>
      </w:r>
    </w:p>
    <w:p w14:paraId="1EAF082D">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(5)《城市测量规范》GB50026-2019；</w:t>
      </w:r>
    </w:p>
    <w:p w14:paraId="3BD97805">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(6)《城市地下管线探测技术规程》CJJ61-2017；</w:t>
      </w:r>
    </w:p>
    <w:p w14:paraId="20DE3135">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(7)《国家基本比例尺地图图式第1部分：1:500-1:1000-1:2000地形图图式》GB/T-20257.1-2007；</w:t>
      </w:r>
    </w:p>
    <w:p w14:paraId="07128C7C">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(8)《城市排水许可管理办法》建设部令第152号；</w:t>
      </w:r>
    </w:p>
    <w:p w14:paraId="6DA4166F">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(9)《城市排水监测工作管理规定》建城字第[1992]886号；</w:t>
      </w:r>
    </w:p>
    <w:p w14:paraId="4AFD92AA">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(10) 审定通过的本项目技术设计书。</w:t>
      </w:r>
    </w:p>
    <w:p w14:paraId="007A031A">
      <w:pPr>
        <w:bidi w:val="0"/>
        <w:rPr>
          <w:rFonts w:hint="eastAsia" w:ascii="宋体" w:hAnsi="宋体" w:cs="宋体"/>
          <w:b/>
          <w:bCs/>
          <w:sz w:val="28"/>
          <w:szCs w:val="36"/>
          <w:lang w:val="zh-CN" w:eastAsia="zh-CN"/>
        </w:rPr>
      </w:pPr>
      <w:r>
        <w:rPr>
          <w:rFonts w:hint="eastAsia" w:ascii="宋体" w:hAnsi="宋体" w:eastAsia="宋体" w:cs="宋体"/>
          <w:b/>
          <w:bCs/>
          <w:sz w:val="28"/>
          <w:szCs w:val="36"/>
          <w:lang w:val="zh-CN" w:eastAsia="zh-CN"/>
        </w:rPr>
        <w:t>八、其他事项在合同中约定</w:t>
      </w:r>
    </w:p>
    <w:p w14:paraId="258BE9B2">
      <w:pPr>
        <w:adjustRightInd w:val="0"/>
        <w:snapToGrid w:val="0"/>
        <w:spacing w:line="360" w:lineRule="auto"/>
        <w:ind w:firstLine="434"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无</w:t>
      </w:r>
      <w:r>
        <w:rPr>
          <w:rFonts w:hint="eastAsia" w:ascii="宋体" w:hAnsi="宋体" w:cs="宋体"/>
          <w:sz w:val="24"/>
          <w:szCs w:val="24"/>
          <w:lang w:val="en-US" w:eastAsia="zh-CN"/>
        </w:rPr>
        <w:t>。</w:t>
      </w:r>
    </w:p>
    <w:p w14:paraId="4CFE03E0">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九、违约责任</w:t>
      </w:r>
    </w:p>
    <w:p w14:paraId="5FC1503A">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按《中华人民共和国民法典》中的相关条款执行。</w:t>
      </w:r>
    </w:p>
    <w:p w14:paraId="29F24449">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服务商履约延误</w:t>
      </w:r>
    </w:p>
    <w:p w14:paraId="1DBD6ACC">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）如服务商事先未征得甲方同意而单方面延迟交付数据，将按违约终止合同。</w:t>
      </w:r>
    </w:p>
    <w:p w14:paraId="06B6DED1">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2）在履行合同过程中，如果服务商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w:t>
      </w:r>
    </w:p>
    <w:p w14:paraId="308EAF13">
      <w:pPr>
        <w:adjustRightInd w:val="0"/>
        <w:snapToGrid w:val="0"/>
        <w:spacing w:line="360" w:lineRule="auto"/>
        <w:ind w:firstLine="434" w:firstLineChars="200"/>
        <w:jc w:val="left"/>
        <w:rPr>
          <w:rFonts w:hint="eastAsia" w:ascii="宋体" w:hAnsi="宋体" w:eastAsia="宋体" w:cs="宋体"/>
          <w:sz w:val="24"/>
          <w:szCs w:val="24"/>
        </w:rPr>
      </w:pPr>
      <w:r>
        <w:rPr>
          <w:rFonts w:hint="eastAsia" w:ascii="宋体" w:hAnsi="宋体" w:eastAsia="宋体" w:cs="宋体"/>
          <w:sz w:val="24"/>
          <w:szCs w:val="24"/>
        </w:rPr>
        <w:t>（3）违约终止合同：未按合同要求提供服务质量不能满足技术要求，甲方会同监督机构有权终止合同，对服务商违约行为进行追究，同时按政府采购法的有关规定进行相应的处罚。</w:t>
      </w:r>
    </w:p>
    <w:p w14:paraId="7610365B">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十、不可抵抗力的应对措施和解决办法</w:t>
      </w:r>
    </w:p>
    <w:p w14:paraId="2A68A111">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6650061C">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2、遭受不可抗力一方应在不可抗力事故发生后尽快以书面形式通知对方，并于事故发生后14天内将有关部门出具的证明文件、详细情况报告以及不可抗力对履行合同影响程度的说明通知对方。</w:t>
      </w:r>
    </w:p>
    <w:p w14:paraId="2F11B598">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发生不可抗力时，任何一方均不对因不可抗力无法履行或延迟履行本合同义务而使另一方蒙受损失承担责任，但遭受不可抗力一方有责任尽可能采取适当或必要措施减少或消除不可抗力的影响。遭受不可抗力的一方对因未尽本项义务而造成的损失承担赔偿责任。</w:t>
      </w:r>
    </w:p>
    <w:p w14:paraId="6DCD79E2">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4、一旦不可抗力事故的影响持续120天以上，甲乙双方通过友好协商，在合理的时间内达成进一步履行合同或者终止合同协议。</w:t>
      </w:r>
    </w:p>
    <w:p w14:paraId="31802A45">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十一、合同组成</w:t>
      </w:r>
    </w:p>
    <w:p w14:paraId="140968EC">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成交</w:t>
      </w:r>
      <w:r>
        <w:rPr>
          <w:rFonts w:hint="eastAsia" w:ascii="宋体" w:hAnsi="宋体" w:eastAsia="宋体" w:cs="宋体"/>
          <w:sz w:val="24"/>
          <w:szCs w:val="24"/>
          <w:lang w:val="en-US" w:eastAsia="zh-CN"/>
        </w:rPr>
        <w:t>通知书</w:t>
      </w:r>
    </w:p>
    <w:p w14:paraId="52A44364">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2、合同文件</w:t>
      </w:r>
    </w:p>
    <w:p w14:paraId="546BA809">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3、产品技术规格及参数表</w:t>
      </w:r>
    </w:p>
    <w:p w14:paraId="6DF8365F">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4、采购文件</w:t>
      </w:r>
    </w:p>
    <w:p w14:paraId="020771E1">
      <w:pPr>
        <w:adjustRightInd w:val="0"/>
        <w:snapToGrid w:val="0"/>
        <w:spacing w:line="360" w:lineRule="auto"/>
        <w:ind w:firstLine="434"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5、响应文件</w:t>
      </w:r>
    </w:p>
    <w:p w14:paraId="1EAA0092">
      <w:pPr>
        <w:bidi w:val="0"/>
        <w:rPr>
          <w:rFonts w:hint="eastAsia" w:ascii="宋体" w:hAnsi="宋体" w:eastAsia="宋体" w:cs="宋体"/>
          <w:b/>
          <w:bCs/>
          <w:sz w:val="28"/>
          <w:szCs w:val="36"/>
          <w:lang w:val="zh-CN" w:eastAsia="zh-CN"/>
        </w:rPr>
      </w:pPr>
      <w:r>
        <w:rPr>
          <w:rFonts w:hint="eastAsia" w:ascii="宋体" w:hAnsi="宋体" w:eastAsia="宋体" w:cs="宋体"/>
          <w:b/>
          <w:bCs/>
          <w:sz w:val="28"/>
          <w:szCs w:val="36"/>
          <w:lang w:val="zh-CN" w:eastAsia="zh-CN"/>
        </w:rPr>
        <w:t>十二、合同生效及其它</w:t>
      </w:r>
    </w:p>
    <w:p w14:paraId="61B37580">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1、合同未尽事宜、由甲、乙双方协商，作为合同补充，与原合同具有同等法律效力。</w:t>
      </w:r>
    </w:p>
    <w:p w14:paraId="766ED535">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2、 本合同正本一式  份，甲方、乙方双方分别执</w:t>
      </w:r>
      <w:r>
        <w:rPr>
          <w:rFonts w:hint="eastAsia" w:ascii="宋体" w:hAnsi="宋体" w:cs="宋体"/>
          <w:sz w:val="24"/>
          <w:szCs w:val="24"/>
          <w:u w:val="single"/>
          <w:lang w:val="en-US" w:eastAsia="zh-CN"/>
        </w:rPr>
        <w:t xml:space="preserve">   </w:t>
      </w:r>
      <w:r>
        <w:rPr>
          <w:rFonts w:hint="eastAsia" w:ascii="宋体" w:hAnsi="宋体" w:cs="宋体"/>
          <w:sz w:val="24"/>
          <w:szCs w:val="24"/>
        </w:rPr>
        <w:t>份，备案</w:t>
      </w:r>
      <w:r>
        <w:rPr>
          <w:rFonts w:hint="eastAsia" w:ascii="宋体" w:hAnsi="宋体" w:cs="宋体"/>
          <w:sz w:val="24"/>
          <w:szCs w:val="24"/>
          <w:u w:val="single"/>
          <w:lang w:val="en-US" w:eastAsia="zh-CN"/>
        </w:rPr>
        <w:t xml:space="preserve">   </w:t>
      </w:r>
      <w:r>
        <w:rPr>
          <w:rFonts w:hint="eastAsia" w:ascii="宋体" w:hAnsi="宋体" w:cs="宋体"/>
          <w:sz w:val="24"/>
          <w:szCs w:val="24"/>
        </w:rPr>
        <w:t>份。</w:t>
      </w:r>
    </w:p>
    <w:p w14:paraId="00FB5BED">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 xml:space="preserve">3、合同经甲乙双方盖章、签字后生效，合同签订地点为 </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E4C610E">
      <w:pPr>
        <w:adjustRightInd w:val="0"/>
        <w:snapToGrid w:val="0"/>
        <w:spacing w:line="360" w:lineRule="auto"/>
        <w:ind w:firstLine="434" w:firstLineChars="200"/>
      </w:pPr>
      <w:r>
        <w:rPr>
          <w:rFonts w:hint="eastAsia" w:ascii="宋体" w:hAnsi="宋体" w:cs="宋体"/>
          <w:sz w:val="24"/>
          <w:szCs w:val="24"/>
        </w:rPr>
        <w:t xml:space="preserve">4、生效时间：   年 </w:t>
      </w:r>
      <w:r>
        <w:rPr>
          <w:rFonts w:hint="eastAsia" w:ascii="宋体" w:hAnsi="宋体" w:cs="宋体"/>
          <w:sz w:val="24"/>
          <w:szCs w:val="24"/>
          <w:lang w:val="en-US" w:eastAsia="zh-CN"/>
        </w:rPr>
        <w:t xml:space="preserve"> </w:t>
      </w:r>
      <w:r>
        <w:rPr>
          <w:rFonts w:hint="eastAsia" w:ascii="宋体" w:hAnsi="宋体" w:cs="宋体"/>
          <w:sz w:val="24"/>
          <w:szCs w:val="24"/>
        </w:rPr>
        <w:t xml:space="preserve"> 月 </w:t>
      </w:r>
      <w:r>
        <w:rPr>
          <w:rFonts w:hint="eastAsia" w:ascii="宋体" w:hAnsi="宋体" w:cs="宋体"/>
          <w:sz w:val="24"/>
          <w:szCs w:val="24"/>
          <w:lang w:val="en-US" w:eastAsia="zh-CN"/>
        </w:rPr>
        <w:t xml:space="preserve"> </w:t>
      </w:r>
      <w:r>
        <w:rPr>
          <w:rFonts w:hint="eastAsia" w:ascii="宋体" w:hAnsi="宋体" w:cs="宋体"/>
          <w:sz w:val="24"/>
          <w:szCs w:val="24"/>
        </w:rPr>
        <w:t xml:space="preserve"> 日</w:t>
      </w:r>
    </w:p>
    <w:tbl>
      <w:tblPr>
        <w:tblStyle w:val="7"/>
        <w:tblW w:w="0" w:type="auto"/>
        <w:jc w:val="center"/>
        <w:tblLayout w:type="fixed"/>
        <w:tblCellMar>
          <w:top w:w="0" w:type="dxa"/>
          <w:left w:w="108" w:type="dxa"/>
          <w:bottom w:w="0" w:type="dxa"/>
          <w:right w:w="108" w:type="dxa"/>
        </w:tblCellMar>
      </w:tblPr>
      <w:tblGrid>
        <w:gridCol w:w="4643"/>
        <w:gridCol w:w="4643"/>
      </w:tblGrid>
      <w:tr w14:paraId="0D3E98C2">
        <w:tblPrEx>
          <w:tblCellMar>
            <w:top w:w="0" w:type="dxa"/>
            <w:left w:w="108" w:type="dxa"/>
            <w:bottom w:w="0" w:type="dxa"/>
            <w:right w:w="108" w:type="dxa"/>
          </w:tblCellMar>
        </w:tblPrEx>
        <w:trPr>
          <w:jc w:val="center"/>
        </w:trPr>
        <w:tc>
          <w:tcPr>
            <w:tcW w:w="4643" w:type="dxa"/>
          </w:tcPr>
          <w:p w14:paraId="40409E35">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甲方名称（盖章）:</w:t>
            </w:r>
          </w:p>
          <w:p w14:paraId="00931700">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地址：</w:t>
            </w:r>
          </w:p>
          <w:p w14:paraId="456247F9">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代表人（签字）：</w:t>
            </w:r>
          </w:p>
          <w:p w14:paraId="4B7F410B">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电话：</w:t>
            </w:r>
          </w:p>
          <w:p w14:paraId="5B948C91">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开户银行：</w:t>
            </w:r>
          </w:p>
          <w:p w14:paraId="6EFCD37F">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帐号：</w:t>
            </w:r>
          </w:p>
        </w:tc>
        <w:tc>
          <w:tcPr>
            <w:tcW w:w="4643" w:type="dxa"/>
          </w:tcPr>
          <w:p w14:paraId="1016888E">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乙方名称（盖章）:</w:t>
            </w:r>
          </w:p>
          <w:p w14:paraId="4B397DDA">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地址：</w:t>
            </w:r>
          </w:p>
          <w:p w14:paraId="220CE018">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代表人（签字）：</w:t>
            </w:r>
          </w:p>
          <w:p w14:paraId="29BDCA3F">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电话：</w:t>
            </w:r>
          </w:p>
          <w:p w14:paraId="19AD822C">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开户银行：</w:t>
            </w:r>
          </w:p>
          <w:p w14:paraId="4DFE5F7E">
            <w:pPr>
              <w:adjustRightInd w:val="0"/>
              <w:snapToGrid w:val="0"/>
              <w:spacing w:line="360" w:lineRule="auto"/>
              <w:ind w:firstLine="434" w:firstLineChars="200"/>
              <w:rPr>
                <w:rFonts w:ascii="宋体" w:hAnsi="宋体" w:cs="宋体"/>
                <w:sz w:val="24"/>
                <w:szCs w:val="24"/>
              </w:rPr>
            </w:pPr>
            <w:r>
              <w:rPr>
                <w:rFonts w:hint="eastAsia" w:ascii="宋体" w:hAnsi="宋体" w:cs="宋体"/>
                <w:sz w:val="24"/>
                <w:szCs w:val="24"/>
              </w:rPr>
              <w:t>帐号：</w:t>
            </w:r>
          </w:p>
        </w:tc>
      </w:tr>
    </w:tbl>
    <w:p w14:paraId="59FF38DC">
      <w:pPr>
        <w:tabs>
          <w:tab w:val="left" w:pos="1815"/>
        </w:tabs>
        <w:bidi w:val="0"/>
        <w:jc w:val="left"/>
        <w:rPr>
          <w:rFonts w:ascii="Times New Roman" w:hAnsi="Times New Roman" w:eastAsia="宋体" w:cs="Times New Roman"/>
          <w:kern w:val="2"/>
          <w:sz w:val="21"/>
          <w:szCs w:val="24"/>
          <w:lang w:val="en-US" w:eastAsia="zh-CN" w:bidi="ar-SA"/>
        </w:rPr>
      </w:pPr>
    </w:p>
    <w:sectPr>
      <w:pgSz w:w="11906" w:h="16838"/>
      <w:pgMar w:top="1440" w:right="1803" w:bottom="1440" w:left="1803" w:header="851" w:footer="992" w:gutter="0"/>
      <w:cols w:space="0" w:num="1"/>
      <w:docGrid w:type="linesAndChars" w:linePitch="631" w:charSpace="-47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kNjNjNWNjNDI0NzRjZThlNmUwYzc1NTkxZDlhMDAifQ=="/>
    <w:docVar w:name="KSO_WPS_MARK_KEY" w:val="6ae5f6d9-97a2-45ee-8eaa-f1ed4ae71414"/>
  </w:docVars>
  <w:rsids>
    <w:rsidRoot w:val="00DA78E5"/>
    <w:rsid w:val="009561C6"/>
    <w:rsid w:val="00DA78E5"/>
    <w:rsid w:val="0192652E"/>
    <w:rsid w:val="096D1193"/>
    <w:rsid w:val="0AEC263C"/>
    <w:rsid w:val="158100B7"/>
    <w:rsid w:val="159B37AB"/>
    <w:rsid w:val="20E95D13"/>
    <w:rsid w:val="21193E93"/>
    <w:rsid w:val="2CBE62A5"/>
    <w:rsid w:val="34F6391C"/>
    <w:rsid w:val="36ED7BA0"/>
    <w:rsid w:val="37FE7E9E"/>
    <w:rsid w:val="38107BD1"/>
    <w:rsid w:val="3BA2432A"/>
    <w:rsid w:val="43C95804"/>
    <w:rsid w:val="49400964"/>
    <w:rsid w:val="495D254A"/>
    <w:rsid w:val="4EEC071D"/>
    <w:rsid w:val="52923265"/>
    <w:rsid w:val="542C54E5"/>
    <w:rsid w:val="55081F04"/>
    <w:rsid w:val="59747B68"/>
    <w:rsid w:val="5C1D0043"/>
    <w:rsid w:val="60EE1FAE"/>
    <w:rsid w:val="63B374DF"/>
    <w:rsid w:val="64304D38"/>
    <w:rsid w:val="643B19AE"/>
    <w:rsid w:val="65E460B5"/>
    <w:rsid w:val="69961435"/>
    <w:rsid w:val="6B3057ED"/>
    <w:rsid w:val="721879D9"/>
    <w:rsid w:val="74E514C2"/>
    <w:rsid w:val="7A28257D"/>
    <w:rsid w:val="7B3B008E"/>
    <w:rsid w:val="7B6F4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360" w:lineRule="auto"/>
      <w:jc w:val="center"/>
      <w:outlineLvl w:val="0"/>
    </w:pPr>
    <w:rPr>
      <w:rFonts w:eastAsia="黑体"/>
      <w:b/>
      <w:kern w:val="44"/>
      <w:sz w:val="44"/>
      <w:szCs w:val="20"/>
    </w:rPr>
  </w:style>
  <w:style w:type="paragraph" w:styleId="4">
    <w:name w:val="heading 2"/>
    <w:basedOn w:val="1"/>
    <w:next w:val="1"/>
    <w:qFormat/>
    <w:uiPriority w:val="1"/>
    <w:pPr>
      <w:spacing w:before="1"/>
      <w:ind w:left="598"/>
      <w:outlineLvl w:val="1"/>
    </w:pPr>
    <w:rPr>
      <w:rFonts w:ascii="宋体" w:hAnsi="宋体" w:cs="宋体"/>
      <w:b/>
      <w:bCs/>
      <w:sz w:val="24"/>
    </w:rPr>
  </w:style>
  <w:style w:type="paragraph" w:styleId="5">
    <w:name w:val="heading 3"/>
    <w:basedOn w:val="1"/>
    <w:next w:val="1"/>
    <w:link w:val="10"/>
    <w:semiHidden/>
    <w:unhideWhenUsed/>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6">
    <w:name w:val="footer"/>
    <w:basedOn w:val="1"/>
    <w:next w:val="1"/>
    <w:qFormat/>
    <w:uiPriority w:val="0"/>
    <w:pPr>
      <w:tabs>
        <w:tab w:val="center" w:pos="4153"/>
        <w:tab w:val="right" w:pos="8306"/>
      </w:tabs>
      <w:snapToGrid w:val="0"/>
      <w:jc w:val="left"/>
    </w:pPr>
    <w:rPr>
      <w:sz w:val="18"/>
      <w:szCs w:val="20"/>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标题 3 Char"/>
    <w:basedOn w:val="8"/>
    <w:link w:val="5"/>
    <w:semiHidden/>
    <w:qFormat/>
    <w:uiPriority w:val="0"/>
    <w:rPr>
      <w:rFonts w:ascii="Times New Roman" w:hAnsi="Times New Roman" w:eastAsia="宋体" w:cs="Times New Roman"/>
      <w:b/>
      <w:bCs/>
      <w:kern w:val="2"/>
      <w:sz w:val="32"/>
      <w:szCs w:val="32"/>
    </w:rPr>
  </w:style>
  <w:style w:type="paragraph" w:styleId="11">
    <w:name w:val="List Paragraph"/>
    <w:basedOn w:val="1"/>
    <w:unhideWhenUsed/>
    <w:qFormat/>
    <w:uiPriority w:val="99"/>
    <w:pPr>
      <w:ind w:firstLine="420" w:firstLineChars="200"/>
    </w:pPr>
  </w:style>
  <w:style w:type="paragraph" w:customStyle="1" w:styleId="12">
    <w:name w:val="文档正文_表格"/>
    <w:basedOn w:val="13"/>
    <w:next w:val="13"/>
    <w:qFormat/>
    <w:uiPriority w:val="0"/>
    <w:pPr>
      <w:ind w:firstLine="0"/>
    </w:pPr>
  </w:style>
  <w:style w:type="paragraph" w:customStyle="1" w:styleId="13">
    <w:name w:val="文档正文"/>
    <w:basedOn w:val="1"/>
    <w:qFormat/>
    <w:uiPriority w:val="0"/>
    <w:pPr>
      <w:spacing w:line="440" w:lineRule="exact"/>
      <w:ind w:firstLine="567"/>
    </w:pPr>
    <w:rPr>
      <w:rFonts w:ascii="Arial Narrow" w:hAnsi="Arial Narrow"/>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QBPC</Company>
  <Pages>6</Pages>
  <Words>3218</Words>
  <Characters>3534</Characters>
  <Lines>20</Lines>
  <Paragraphs>5</Paragraphs>
  <TotalTime>11</TotalTime>
  <ScaleCrop>false</ScaleCrop>
  <LinksUpToDate>false</LinksUpToDate>
  <CharactersWithSpaces>3623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2022-05-09T09:21:00Z</dcterms:created>
  <dc:creator>pc</dc:creator>
  <cp:lastModifiedBy>蜗牛</cp:lastModifiedBy>
  <dcterms:modified xsi:type="dcterms:W3CDTF">2025-11-07T07:30:40Z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373D358856A84597A16A4843A61F6DA8_13</vt:lpwstr>
  </property>
  <property fmtid="{D5CDD505-2E9C-101B-9397-08002B2CF9AE}" pid="4" name="KSOTemplateDocerSaveRecord">
    <vt:lpwstr>eyJoZGlkIjoiMGJkYTQ5MmJhOGExOGFjYzAwNTYzNGM3MTJlMDQ1YTgiLCJ1c2VySWQiOiIyNTAzNjg5NjYifQ==</vt:lpwstr>
  </property>
</Properties>
</file>