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版本号：XBZB-2025-18420251212001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区政府门户网站建设和运维</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XBZB-2025-184</w:t>
      </w:r>
      <w:r>
        <w:br/>
      </w:r>
      <w:r>
        <w:br/>
      </w:r>
      <w:r>
        <w:br/>
      </w:r>
    </w:p>
    <w:p>
      <w:pPr>
        <w:pStyle w:val="null3"/>
        <w:jc w:val="center"/>
        <w:outlineLvl w:val="2"/>
      </w:pPr>
      <w:r>
        <w:rPr>
          <w:rFonts w:ascii="仿宋_GB2312" w:hAnsi="仿宋_GB2312" w:cs="仿宋_GB2312" w:eastAsia="仿宋_GB2312"/>
          <w:sz w:val="28"/>
          <w:b/>
        </w:rPr>
        <w:t>西安市碑林区人民政府办公室（本级）</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西安市碑林区人民政府办公室（本级）</w:t>
      </w:r>
      <w:r>
        <w:rPr>
          <w:rFonts w:ascii="仿宋_GB2312" w:hAnsi="仿宋_GB2312" w:cs="仿宋_GB2312" w:eastAsia="仿宋_GB2312"/>
        </w:rPr>
        <w:t>委托，拟对</w:t>
      </w:r>
      <w:r>
        <w:rPr>
          <w:rFonts w:ascii="仿宋_GB2312" w:hAnsi="仿宋_GB2312" w:cs="仿宋_GB2312" w:eastAsia="仿宋_GB2312"/>
        </w:rPr>
        <w:t>区政府门户网站建设和运维</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XBZB-2025-184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区政府门户网站建设和运维</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做好我区政务公开工作，迎接省考和全市政务公开年度考核工作，丰富和创新我区政务公开应用，根据《西安市人民政府办公厅关于印发2025年西安市政务公开重点工作和绩效评估方案的通知》要求，并结合我区政务公开绩效评估自查自评情况，拟计划开展碑林区政务公开及网站运维建设工作，以期省、市对区县政务公开绩效评估工作取得优异成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采购包1（区政府门户网站建设和运维）：属于专门面向中小企业采购。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不得被“信用中国”网站（www.creditchina.gov.cn）列入失信被执行人、重大税收违法案件当事人名单，不得被中国政府采购网站（www.ccgp.gov.cn）列入政府采购严重违法失信行为记录名单。（以现场信用记录查询结果为准）</w:t>
      </w:r>
    </w:p>
    <w:p>
      <w:pPr>
        <w:pStyle w:val="null3"/>
      </w:pPr>
      <w:r>
        <w:rPr>
          <w:rFonts w:ascii="仿宋_GB2312" w:hAnsi="仿宋_GB2312" w:cs="仿宋_GB2312" w:eastAsia="仿宋_GB2312"/>
        </w:rPr>
        <w:t>2、非联合体磋商：本项目不接受联合体磋商。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西安市碑林区人民政府办公室（本级）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西安市碑林区南院门27号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029-89625076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陕西省西安市碑林区陕西省西安市碑林区长安国际中心F座办公楼17层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王富敏、苗璐超、王薇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029-85221302/13909108642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文、《国家发展改革委办公厅关于招标代理服务收费有关问题的通知》发改办价格〔2003〕857号，以中标金额为基数，按服务类标准计取。不足8000元，按照8000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西安市碑林区人民政府办公室（本级）</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西安市碑林区人民政府办公室（本级）</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西安市碑林区人民政府办公室（本级）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符合国家有关现行规范、标准的要求。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联系人：王富敏、苗璐超、王薇</w:t>
      </w:r>
    </w:p>
    <w:p>
      <w:pPr>
        <w:pStyle w:val="null3"/>
      </w:pPr>
      <w:r>
        <w:rPr>
          <w:rFonts w:ascii="仿宋_GB2312" w:hAnsi="仿宋_GB2312" w:cs="仿宋_GB2312" w:eastAsia="仿宋_GB2312"/>
        </w:rPr>
        <w:t>联系电话：029-85221302/13909108642</w:t>
      </w:r>
    </w:p>
    <w:p>
      <w:pPr>
        <w:pStyle w:val="null3"/>
      </w:pPr>
      <w:r>
        <w:rPr>
          <w:rFonts w:ascii="仿宋_GB2312" w:hAnsi="仿宋_GB2312" w:cs="仿宋_GB2312" w:eastAsia="仿宋_GB2312"/>
        </w:rPr>
        <w:t>地址：西安市碑林区南关正街长安国际F座17层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做好我区政务公开工作，迎接省考和全市政务公开年度考核工作，丰富和创新我区政务公开应用，根据《西安市人民政府办公厅关于印发2025年西安市政务公开重点工作和绩效评估方案的通知》要求，并结合我区政务公开绩效评估自查自评情况，拟计划开展碑林区政务公开及网站运维建设工作，以期省、市对区县政务公开绩效评估工作取得优异成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碑林区政务公开及网站运维建设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标的名称：碑林区政务公开及网站运维建设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为全面做好我区政务公开工作，迎接省考和全市政务公开年度考核工作，丰富和创新我区政务公开应用，根据《西安市人民政府办公厅关于印发</w:t>
            </w:r>
            <w:r>
              <w:rPr>
                <w:rFonts w:ascii="仿宋_GB2312" w:hAnsi="仿宋_GB2312" w:cs="仿宋_GB2312" w:eastAsia="仿宋_GB2312"/>
                <w:sz w:val="21"/>
              </w:rPr>
              <w:t>2025年西安市政务公开重点工作和绩效评估方案的通知》要求，并结合我区政务公开绩效评估自查自评情况，拟计划开展碑林区政务公开及网站运维建设工作，以期省、市对区县政务公开绩效评估工作</w:t>
            </w:r>
            <w:r>
              <w:rPr>
                <w:rFonts w:ascii="仿宋_GB2312" w:hAnsi="仿宋_GB2312" w:cs="仿宋_GB2312" w:eastAsia="仿宋_GB2312"/>
                <w:sz w:val="21"/>
              </w:rPr>
              <w:t>取得优异成绩。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、服务内容</w:t>
            </w:r>
          </w:p>
          <w:p>
            <w:pPr>
              <w:pStyle w:val="null3"/>
              <w:jc w:val="both"/>
            </w:pPr>
            <w:r>
              <w:rPr>
                <w:rFonts w:ascii="仿宋_GB2312" w:hAnsi="仿宋_GB2312" w:cs="仿宋_GB2312" w:eastAsia="仿宋_GB2312"/>
                <w:sz w:val="21"/>
              </w:rPr>
              <w:t>（一）基础运维服务</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、技术运维服务</w:t>
            </w:r>
          </w:p>
          <w:p>
            <w:pPr>
              <w:pStyle w:val="null3"/>
              <w:jc w:val="both"/>
            </w:pPr>
            <w:r>
              <w:rPr>
                <w:rFonts w:ascii="仿宋_GB2312" w:hAnsi="仿宋_GB2312" w:cs="仿宋_GB2312" w:eastAsia="仿宋_GB2312"/>
                <w:sz w:val="21"/>
              </w:rPr>
              <w:t>提供网站日常技术运维服务，具体包括问题诊断与修改、网站监控、性能优化、系统管理、安全管理、技术咨询、专项保障、系统培训等服务。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、网站页面栏目优化调整</w:t>
            </w:r>
          </w:p>
          <w:p>
            <w:pPr>
              <w:pStyle w:val="null3"/>
              <w:jc w:val="both"/>
            </w:pPr>
            <w:r>
              <w:rPr>
                <w:rFonts w:ascii="仿宋_GB2312" w:hAnsi="仿宋_GB2312" w:cs="仿宋_GB2312" w:eastAsia="仿宋_GB2312"/>
                <w:sz w:val="21"/>
              </w:rPr>
              <w:t>根据中省市政府网站及政务公开考核要求或实际业务需求，提供网站页面优化调整、网站栏目及展示方式调整、网站图片制作、数据处理与统计分析等服务。</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、政策解读制作</w:t>
            </w:r>
          </w:p>
          <w:p>
            <w:pPr>
              <w:pStyle w:val="null3"/>
              <w:jc w:val="both"/>
            </w:pPr>
            <w:r>
              <w:rPr>
                <w:rFonts w:ascii="仿宋_GB2312" w:hAnsi="仿宋_GB2312" w:cs="仿宋_GB2312" w:eastAsia="仿宋_GB2312"/>
                <w:sz w:val="21"/>
              </w:rPr>
              <w:t>开展本地区相关政策、重要文件和政务公开年报等重点信息政策解读的设计、制作和发布。具体包括政策图解和政策动漫解读等解读形式。其中政策图解</w:t>
            </w:r>
            <w:r>
              <w:rPr>
                <w:rFonts w:ascii="仿宋_GB2312" w:hAnsi="仿宋_GB2312" w:cs="仿宋_GB2312" w:eastAsia="仿宋_GB2312"/>
                <w:sz w:val="21"/>
              </w:rPr>
              <w:t>20个/年，动漫解读2个/年（动漫时长控制在90秒以内）。</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、专题专栏制作</w:t>
            </w:r>
          </w:p>
          <w:p>
            <w:pPr>
              <w:pStyle w:val="null3"/>
              <w:jc w:val="both"/>
            </w:pPr>
            <w:r>
              <w:rPr>
                <w:rFonts w:ascii="仿宋_GB2312" w:hAnsi="仿宋_GB2312" w:cs="仿宋_GB2312" w:eastAsia="仿宋_GB2312"/>
                <w:sz w:val="21"/>
              </w:rPr>
              <w:t>根据中、省、市要求及本地区重点工作和热点活动需要，规划建设网站专题专栏，提供专题专栏制作服务。制作数量</w:t>
            </w:r>
            <w:r>
              <w:rPr>
                <w:rFonts w:ascii="仿宋_GB2312" w:hAnsi="仿宋_GB2312" w:cs="仿宋_GB2312" w:eastAsia="仿宋_GB2312"/>
                <w:sz w:val="21"/>
              </w:rPr>
              <w:t>4个/年。</w:t>
            </w:r>
          </w:p>
          <w:p>
            <w:pPr>
              <w:pStyle w:val="null3"/>
              <w:jc w:val="both"/>
            </w:pPr>
            <w:r>
              <w:rPr>
                <w:rFonts w:ascii="仿宋_GB2312" w:hAnsi="仿宋_GB2312" w:cs="仿宋_GB2312" w:eastAsia="仿宋_GB2312"/>
                <w:sz w:val="21"/>
              </w:rPr>
              <w:t>（二）网站应用服务</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智能问答及长者服务优化提升</w:t>
            </w:r>
          </w:p>
          <w:p>
            <w:pPr>
              <w:pStyle w:val="null3"/>
              <w:jc w:val="both"/>
            </w:pPr>
            <w:r>
              <w:rPr>
                <w:rFonts w:ascii="仿宋_GB2312" w:hAnsi="仿宋_GB2312" w:cs="仿宋_GB2312" w:eastAsia="仿宋_GB2312"/>
                <w:sz w:val="21"/>
              </w:rPr>
              <w:t>通过云服务方式，提供智能问答服务，具体包括自动问答、智能提示、关联推荐、场景服务、知识库管理、数据统计报表等功能。同时，提供智能问答知识库梳理服务，针对知识库进行日常业务知识及问题梳理和语义训练，以增强系统的自我学习能力，提高智能问答的准确性、专业性及业务覆盖面。具体包括知识库整理、知识库词条扩充、知识库日常训练、知识库升级、运营分析报告等服务内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网站运行统计分析报告</w:t>
            </w:r>
          </w:p>
          <w:p>
            <w:pPr>
              <w:pStyle w:val="null3"/>
              <w:jc w:val="both"/>
            </w:pPr>
            <w:r>
              <w:rPr>
                <w:rFonts w:ascii="仿宋_GB2312" w:hAnsi="仿宋_GB2312" w:cs="仿宋_GB2312" w:eastAsia="仿宋_GB2312"/>
                <w:sz w:val="21"/>
              </w:rPr>
              <w:t>定期对网站各业务系统数据和运行情况，包括网站访问情况、网站可用性、内容更新和保障情况、互动交流情况、解读专题及其他重点事件等进行汇总和统计分析，提供网站运行情况报告。</w:t>
            </w:r>
          </w:p>
          <w:p>
            <w:pPr>
              <w:pStyle w:val="null3"/>
              <w:jc w:val="both"/>
            </w:pPr>
            <w:r>
              <w:rPr>
                <w:rFonts w:ascii="仿宋_GB2312" w:hAnsi="仿宋_GB2312" w:cs="仿宋_GB2312" w:eastAsia="仿宋_GB2312"/>
                <w:sz w:val="21"/>
              </w:rPr>
              <w:t>（三）政府网站与新媒体监测服务</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、政府网站监测服务</w:t>
            </w:r>
          </w:p>
          <w:p>
            <w:pPr>
              <w:pStyle w:val="null3"/>
              <w:jc w:val="both"/>
            </w:pPr>
            <w:r>
              <w:rPr>
                <w:rFonts w:ascii="仿宋_GB2312" w:hAnsi="仿宋_GB2312" w:cs="仿宋_GB2312" w:eastAsia="仿宋_GB2312"/>
                <w:sz w:val="21"/>
              </w:rPr>
              <w:t>政府网站监测：基于云服务模式，提供网站监测系统，针对政府网站监测出的问题及时预警提醒。针对政府网站无法访问、网站可用性、断链、错链、网站响应、网站更新等方面进行实时监测和扫描，及时预警提醒。并根据《政府网站与政务新媒体检查指标》，按季度对政府网站进行全面检测，结合系统监测和人工检查结果，出具全面的网站监测报告。</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、政务新媒体监测服务</w:t>
            </w:r>
          </w:p>
          <w:p>
            <w:pPr>
              <w:pStyle w:val="null3"/>
              <w:jc w:val="both"/>
            </w:pPr>
            <w:r>
              <w:rPr>
                <w:rFonts w:ascii="仿宋_GB2312" w:hAnsi="仿宋_GB2312" w:cs="仿宋_GB2312" w:eastAsia="仿宋_GB2312"/>
                <w:sz w:val="21"/>
              </w:rPr>
              <w:t>根据《政府网站与政务新媒体检查指标》要求，基于政务新媒体监测平台，采用系统</w:t>
            </w:r>
            <w:r>
              <w:rPr>
                <w:rFonts w:ascii="仿宋_GB2312" w:hAnsi="仿宋_GB2312" w:cs="仿宋_GB2312" w:eastAsia="仿宋_GB2312"/>
                <w:sz w:val="21"/>
              </w:rPr>
              <w:t>+人工的方式对25个新媒体账号的内容更新、错敏信息、涉密信息等内容进行检测。并针对政务新媒体的严重表述错误/泄漏国家机密/反动暴力色情内容、内容更新情况、互动回应情况和账号运营情况等进行全面检查和监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、对标诊断服务</w:t>
            </w:r>
          </w:p>
          <w:p>
            <w:pPr>
              <w:pStyle w:val="null3"/>
              <w:jc w:val="both"/>
            </w:pPr>
            <w:r>
              <w:rPr>
                <w:rFonts w:ascii="仿宋_GB2312" w:hAnsi="仿宋_GB2312" w:cs="仿宋_GB2312" w:eastAsia="仿宋_GB2312"/>
                <w:sz w:val="21"/>
              </w:rPr>
              <w:t>参照国家和省、市政务公开绩效评估指标要求，对政务公开工作从公开渠道、主动公开、依申请公开、政策解读、保障能力等方面进行全面诊断和对标检查，及时发现存在的问题和不足，形成《对标诊断报告》，并提出合理化建议，辅助整改，以期在考核中取得优异成绩。</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打造网站重点专题服务</w:t>
            </w:r>
          </w:p>
          <w:p>
            <w:pPr>
              <w:pStyle w:val="null3"/>
              <w:jc w:val="both"/>
            </w:pPr>
            <w:r>
              <w:rPr>
                <w:rFonts w:ascii="仿宋_GB2312" w:hAnsi="仿宋_GB2312" w:cs="仿宋_GB2312" w:eastAsia="仿宋_GB2312"/>
                <w:sz w:val="21"/>
              </w:rPr>
              <w:t>1、打造招商引资专题，提供碑林招商政策、招商项目宣传等一站式服务</w:t>
            </w:r>
          </w:p>
          <w:p>
            <w:pPr>
              <w:pStyle w:val="null3"/>
              <w:jc w:val="both"/>
            </w:pPr>
            <w:r>
              <w:rPr>
                <w:rFonts w:ascii="仿宋_GB2312" w:hAnsi="仿宋_GB2312" w:cs="仿宋_GB2312" w:eastAsia="仿宋_GB2312"/>
                <w:sz w:val="21"/>
              </w:rPr>
              <w:t>围绕碑林区招商引资重点工作，开展碑林文旅之区、经济实力、历史文化等，汇聚招商政策、投资动态、招商项目、楼宇资源等，推介在人才、产业等方面投资优势，提供招商引资一站式服务，以高质量服务推动项目落地。</w:t>
            </w:r>
          </w:p>
          <w:p>
            <w:pPr>
              <w:pStyle w:val="null3"/>
              <w:jc w:val="both"/>
            </w:pPr>
            <w:r>
              <w:rPr>
                <w:rFonts w:ascii="仿宋_GB2312" w:hAnsi="仿宋_GB2312" w:cs="仿宋_GB2312" w:eastAsia="仿宋_GB2312"/>
                <w:sz w:val="21"/>
              </w:rPr>
              <w:t>2、打造高校毕业生就业专题，为大学毕业生提供就业岗位、创业政策等相关信息</w:t>
            </w:r>
          </w:p>
          <w:p>
            <w:pPr>
              <w:pStyle w:val="null3"/>
              <w:jc w:val="both"/>
            </w:pPr>
            <w:r>
              <w:rPr>
                <w:rFonts w:ascii="仿宋_GB2312" w:hAnsi="仿宋_GB2312" w:cs="仿宋_GB2312" w:eastAsia="仿宋_GB2312"/>
                <w:sz w:val="21"/>
              </w:rPr>
              <w:t>聚焦高校毕业生创业开设服务专题，围绕一次性创业补贴、创业担保贷款、小微企业创业担保贷款、免费创业培训、税收减免等方面，细化政策支持条款、申领条件、申请流程等，提供场景式、集成式服务，支持高校毕业生自主创业。</w:t>
            </w:r>
          </w:p>
          <w:p>
            <w:pPr>
              <w:pStyle w:val="null3"/>
              <w:jc w:val="both"/>
            </w:pPr>
            <w:r>
              <w:rPr>
                <w:rFonts w:ascii="仿宋_GB2312" w:hAnsi="仿宋_GB2312" w:cs="仿宋_GB2312" w:eastAsia="仿宋_GB2312"/>
                <w:sz w:val="21"/>
              </w:rPr>
              <w:t>（五）网站安全服务</w:t>
            </w:r>
          </w:p>
          <w:p>
            <w:pPr>
              <w:pStyle w:val="null3"/>
              <w:jc w:val="both"/>
            </w:pPr>
            <w:r>
              <w:rPr>
                <w:rFonts w:ascii="仿宋_GB2312" w:hAnsi="仿宋_GB2312" w:cs="仿宋_GB2312" w:eastAsia="仿宋_GB2312"/>
                <w:sz w:val="21"/>
              </w:rPr>
              <w:t>SSL</w:t>
            </w:r>
            <w:r>
              <w:rPr>
                <w:rFonts w:ascii="仿宋_GB2312" w:hAnsi="仿宋_GB2312" w:cs="仿宋_GB2312" w:eastAsia="仿宋_GB2312"/>
                <w:sz w:val="21"/>
              </w:rPr>
              <w:t>证书</w:t>
            </w:r>
          </w:p>
          <w:p>
            <w:pPr>
              <w:pStyle w:val="null3"/>
            </w:pPr>
            <w:r>
              <w:rPr>
                <w:rFonts w:ascii="仿宋_GB2312" w:hAnsi="仿宋_GB2312" w:cs="仿宋_GB2312" w:eastAsia="仿宋_GB2312"/>
                <w:sz w:val="21"/>
              </w:rPr>
              <w:t>购买第三方</w:t>
            </w:r>
            <w:r>
              <w:rPr>
                <w:rFonts w:ascii="仿宋_GB2312" w:hAnsi="仿宋_GB2312" w:cs="仿宋_GB2312" w:eastAsia="仿宋_GB2312"/>
                <w:sz w:val="21"/>
              </w:rPr>
              <w:t>SSL</w:t>
            </w:r>
            <w:r>
              <w:rPr>
                <w:rFonts w:ascii="仿宋_GB2312" w:hAnsi="仿宋_GB2312" w:cs="仿宋_GB2312" w:eastAsia="仿宋_GB2312"/>
                <w:sz w:val="21"/>
              </w:rPr>
              <w:t>证书服务，实现网站的身份验证和数据传输加密功能。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、商务要求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、服务期限：</w:t>
            </w:r>
            <w:r>
              <w:rPr>
                <w:rFonts w:ascii="仿宋_GB2312" w:hAnsi="仿宋_GB2312" w:cs="仿宋_GB2312" w:eastAsia="仿宋_GB2312"/>
                <w:sz w:val="21"/>
              </w:rPr>
              <w:t>自合同签订之日起</w:t>
            </w:r>
            <w:r>
              <w:rPr>
                <w:rFonts w:ascii="仿宋_GB2312" w:hAnsi="仿宋_GB2312" w:cs="仿宋_GB2312" w:eastAsia="仿宋_GB2312"/>
                <w:sz w:val="21"/>
              </w:rPr>
              <w:t>2年，合同一年一签。</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、服务地点：采购人指定地点。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、付款方式：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1）合同签订后10日内，支付合同总金额的40.00%</w:t>
            </w:r>
            <w:r>
              <w:rPr>
                <w:rFonts w:ascii="仿宋_GB2312" w:hAnsi="仿宋_GB2312" w:cs="仿宋_GB2312" w:eastAsia="仿宋_GB2312"/>
                <w:sz w:val="21"/>
              </w:rPr>
              <w:t>；服务期满后，乙方根据合同约定向甲方提供服务计划书和监测对标服务报告，经甲方审核确认后</w:t>
            </w:r>
            <w:r>
              <w:rPr>
                <w:rFonts w:ascii="仿宋_GB2312" w:hAnsi="仿宋_GB2312" w:cs="仿宋_GB2312" w:eastAsia="仿宋_GB2312"/>
                <w:sz w:val="21"/>
              </w:rPr>
              <w:t>10日内，支付合同总价款的60.00%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满足付款条件的情况下，乙方应向甲方出具书面付款通知（注明开户行及账户信息）以及符合国家财税规定的增值税发票，否则甲方有权延迟履行付款义务。如因乙方缘故（如开具增值税发票延误等）导致甲方无法按时付款，甲方不承担违约责任。</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）结算方式：银行转账。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1.技术要求</w:t>
            </w:r>
          </w:p>
          <w:p>
            <w:pPr>
              <w:pStyle w:val="null3"/>
              <w:jc w:val="both"/>
            </w:pPr>
            <w:r>
              <w:rPr>
                <w:rFonts w:ascii="仿宋_GB2312" w:hAnsi="仿宋_GB2312" w:cs="仿宋_GB2312" w:eastAsia="仿宋_GB2312"/>
                <w:sz w:val="21"/>
              </w:rPr>
              <w:t>区政府门户网站建设和运维</w:t>
            </w:r>
            <w:r>
              <w:rPr>
                <w:rFonts w:ascii="仿宋_GB2312" w:hAnsi="仿宋_GB2312" w:cs="仿宋_GB2312" w:eastAsia="仿宋_GB2312"/>
                <w:sz w:val="21"/>
              </w:rPr>
              <w:t>要基于</w:t>
            </w:r>
            <w:r>
              <w:rPr>
                <w:rFonts w:ascii="仿宋_GB2312" w:hAnsi="仿宋_GB2312" w:cs="仿宋_GB2312" w:eastAsia="仿宋_GB2312"/>
                <w:sz w:val="21"/>
              </w:rPr>
              <w:t>“西安市政府网站集约化平台”进行实施，需熟悉西安市政府网站集约化平台功能架构、部署实施、开发环境等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2.运维服务要求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）明确承诺服务响应</w:t>
            </w:r>
            <w:r>
              <w:rPr>
                <w:rFonts w:ascii="仿宋_GB2312" w:hAnsi="仿宋_GB2312" w:cs="仿宋_GB2312" w:eastAsia="仿宋_GB2312"/>
                <w:sz w:val="21"/>
              </w:rPr>
              <w:t xml:space="preserve"> 7*24 小时电话服务，半小时内做出明确响应和安排，1小时内到达现场，2小时内做出相应的故障或责任判断，并协助采购人处理后继事宜。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）须详细说明实施本项目拟采用的团队组织方法和具体项目组织机构，保证在此项目服务期间有足够的人力投入和人员的质量。</w:t>
            </w:r>
          </w:p>
          <w:p>
            <w:pPr>
              <w:pStyle w:val="null3"/>
              <w:jc w:val="both"/>
            </w:pPr>
            <w:r>
              <w:rPr>
                <w:rFonts w:ascii="仿宋_GB2312" w:hAnsi="仿宋_GB2312" w:cs="仿宋_GB2312" w:eastAsia="仿宋_GB2312"/>
                <w:sz w:val="21"/>
              </w:rPr>
              <w:t>3.质量保证要求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1）符合国家有关规范要求，确保项目完成后网站达到最佳运行状态。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2）投标人必须按照项目质量管理和质量保证体系，提出具体措施，确保项目服务质量。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提供能满足本项目服务要求的人员配置。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提供能满足本项目服务要求的相关设施设备。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服务完成后，由采购人组织验收；满足国家、行业相关规定、规范。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服务期满后 ，乙方根据合同约定向甲方提供服务计划书和监测对标服务报告，经甲方审核确认后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①按《中华人民共和国民法典》中的相关条款执行。②未按合同或采购文件要求提供服务，或质量不能满足采购人技术要求，采购人有权要求供应商限期整改，整改后仍不满足要求的，采购人有权解除合同，并按本阶段合同总价款的20%收取供应商违约金。 ③乙方由于自身过错，延误按本合同规定的服务成果交付时间，每延误一天，应减收本合同总额的2‰作为延误违约金。 2.本合同在履行过程中发生的争议，由甲、乙双方当事人协商解决，协商不成的依法向甲方所在地法院起诉。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结果公告发布后，成交供应商须提供纸质响应文件3份。递交地址：陕西省西安市碑林区南关正街长安国际F座17层。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被“信用中国”网站（www.creditchina.gov.cn）列入失信被执行人、重大税收违法案件当事人名单，不得被中国政府采购网站（www.ccgp.gov.cn）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磋商报价表.docx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其它资料.docx 磋商方案说明书.docx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磋商方案说明书.docx 磋商报价表.docx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不存在法律、法规和采购文件规定的其他无效磋商情形。</w:t>
            </w:r>
          </w:p>
        </w:tc>
        <w:tc>
          <w:tcPr>
            <w:tcW w:type="dxa" w:w="1661"/>
          </w:tcPr>
          <w:p>
            <w:pPr>
              <w:pStyle w:val="null3"/>
            </w:pPr>
            <w:r>
              <w:rPr>
                <w:rFonts w:ascii="仿宋_GB2312" w:hAnsi="仿宋_GB2312" w:cs="仿宋_GB2312" w:eastAsia="仿宋_GB2312"/>
              </w:rPr>
              <w:t>其它资料.docx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w:t>
            </w:r>
          </w:p>
        </w:tc>
        <w:tc>
          <w:tcPr>
            <w:tcW w:type="dxa" w:w="2492"/>
          </w:tcPr>
          <w:p>
            <w:pPr>
              <w:pStyle w:val="null3"/>
            </w:pPr>
            <w:r>
              <w:rPr>
                <w:rFonts w:ascii="仿宋_GB2312" w:hAnsi="仿宋_GB2312" w:cs="仿宋_GB2312" w:eastAsia="仿宋_GB2312"/>
              </w:rPr>
              <w:t>本次项目基于西安市政府网站集约化平台进行实施，供应商熟悉“西安市政府网站集约化平台”情况，内容包括：功能架构；开发环境；实施部署情况。 评审标准：有关平台描述详尽，符合实际情况得12分；评审内容每缺一项扣4分，扣完为止；评审内容有一项内容缺陷（缺陷是指：内容描述简单、不符合实际情况等）每一处缺陷扣1分，扣完为止。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针对本项目提出具体的服务方案，内容包括：基础运维服务；网站应用服务；政府网站与新媒体监测服务；打造网站重点专题服务；网站安全服务。 评审标准：以上内容切合本项目实际情况及实施要求，内容全面详细、阐述条理清晰详尽，符合本项目采购需求，能保障本项目实施的得20分。评审内容每缺一项扣4分，扣完为止。评审内容有一项内容缺陷（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审标准对“缺陷”定义同此处。）每一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针对本项目提出具体的服务保障措施，内容包含：服务质量保证措施；安全保密措施；故障处理响应时间；突发应急措施。 评审标准：以上内容切合本项目实际情况及实施要求，内容全面详细、阐述条理清晰详尽，符合本项目采购需求，能保障本项目实施的得16分。评审内容每缺一项扣4分，扣完为止。评审内容有一项内容缺陷，每一处缺陷扣1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针对本项目提出具体的人员管理方案，内容包含：运维团队人员配备安排；人员岗位职责；团队人员管理制度。 评审标准：以上内容切合本项目实际情况及实施要求，内容全面详细、阐述条理清晰详尽，符合本项目采购需求，能保障本项目实施的得12分。评审内容每缺一项扣4分，扣完为止。评审内容有一项内容缺陷，每一处缺陷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针对本项目提出具体的培训方案，内容包含：培训内容；培训计划及安排。 评审标准：以上内容切合本项目实际情况及实施要求，内容全面详细、阐述条理清晰详尽，符合本项目采购需求，能保障本项目实施的得8分。评审内容每缺一项扣4分，扣完为止。评审内容有一项内容缺陷，每一处缺陷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（1）投标人提供与本项目相关的软件著作权证书，每提供一个得1分，共计6分。 （2）投标人具有ISO27001信息安全管理体系认证、DCMM数据管理能力成熟度认证证书，每提供1个得2分，共计4分。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供2022年1月1日至投标截止日类似项目业绩（以加盖供应商公章的合同复印件为准，时间以合同签订时间为准），每提供一份有效业绩得2分，最高得12 分。若提供虚假业绩，一经发现，按无效磋商处理。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1、实质性满足磋商文件要求且最终报价最低的有效报价为评标基准价，其价格分值为满分10分。 2、磋商报价得分=（磋商基准价/最终磋商报价）×10。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详见附件：区政府门户网站建设和运维合同.docx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