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DD338">
      <w:pPr>
        <w:jc w:val="center"/>
        <w:rPr>
          <w:rFonts w:hint="eastAsia" w:ascii="宋体" w:hAnsi="宋体" w:eastAsia="宋体" w:cs="宋体"/>
          <w:b/>
          <w:sz w:val="44"/>
          <w:szCs w:val="44"/>
          <w:highlight w:val="none"/>
        </w:rPr>
      </w:pPr>
    </w:p>
    <w:p w14:paraId="7E3D5E6E">
      <w:pPr>
        <w:jc w:val="center"/>
        <w:rPr>
          <w:rFonts w:hint="eastAsia" w:ascii="宋体" w:hAnsi="宋体" w:eastAsia="宋体" w:cs="宋体"/>
          <w:b/>
          <w:sz w:val="44"/>
          <w:szCs w:val="44"/>
          <w:highlight w:val="none"/>
        </w:rPr>
      </w:pPr>
    </w:p>
    <w:p w14:paraId="7548153B">
      <w:pPr>
        <w:pStyle w:val="2"/>
        <w:rPr>
          <w:rFonts w:hint="eastAsia"/>
        </w:rPr>
      </w:pPr>
    </w:p>
    <w:p w14:paraId="6DAC615B">
      <w:pPr>
        <w:jc w:val="center"/>
        <w:rPr>
          <w:rFonts w:hint="eastAsia" w:ascii="宋体" w:hAnsi="宋体" w:eastAsia="宋体" w:cs="宋体"/>
          <w:b/>
          <w:bCs/>
          <w:sz w:val="60"/>
          <w:szCs w:val="96"/>
          <w:highlight w:val="none"/>
          <w:lang w:eastAsia="zh-CN"/>
        </w:rPr>
      </w:pPr>
      <w:bookmarkStart w:id="0" w:name="_GoBack"/>
      <w:r>
        <w:rPr>
          <w:rFonts w:hint="eastAsia" w:ascii="宋体" w:hAnsi="宋体" w:eastAsia="宋体" w:cs="宋体"/>
          <w:b/>
          <w:bCs/>
          <w:sz w:val="60"/>
          <w:szCs w:val="96"/>
          <w:highlight w:val="none"/>
          <w:lang w:eastAsia="zh-CN"/>
        </w:rPr>
        <w:t>区政府门户网站建设和运维</w:t>
      </w:r>
    </w:p>
    <w:bookmarkEnd w:id="0"/>
    <w:p w14:paraId="200F7C88">
      <w:pPr>
        <w:rPr>
          <w:rFonts w:hint="eastAsia" w:ascii="宋体" w:hAnsi="宋体" w:eastAsia="宋体" w:cs="宋体"/>
          <w:highlight w:val="none"/>
        </w:rPr>
      </w:pPr>
    </w:p>
    <w:p w14:paraId="634BE013">
      <w:pPr>
        <w:jc w:val="center"/>
        <w:rPr>
          <w:rFonts w:hint="eastAsia" w:ascii="宋体" w:hAnsi="宋体" w:eastAsia="宋体" w:cs="宋体"/>
          <w:b/>
          <w:sz w:val="52"/>
          <w:szCs w:val="52"/>
          <w:highlight w:val="none"/>
        </w:rPr>
      </w:pPr>
    </w:p>
    <w:p w14:paraId="1D621146">
      <w:pPr>
        <w:jc w:val="center"/>
        <w:rPr>
          <w:rFonts w:hint="eastAsia" w:ascii="宋体" w:hAnsi="宋体" w:eastAsia="宋体" w:cs="宋体"/>
          <w:b/>
          <w:sz w:val="52"/>
          <w:szCs w:val="52"/>
          <w:highlight w:val="none"/>
        </w:rPr>
      </w:pPr>
      <w:r>
        <w:rPr>
          <w:rFonts w:hint="eastAsia" w:ascii="宋体" w:hAnsi="宋体" w:eastAsia="宋体" w:cs="宋体"/>
          <w:b/>
          <w:sz w:val="52"/>
          <w:szCs w:val="52"/>
          <w:highlight w:val="none"/>
        </w:rPr>
        <w:t>合 同 书</w:t>
      </w:r>
    </w:p>
    <w:p w14:paraId="5C517430">
      <w:pPr>
        <w:jc w:val="center"/>
        <w:rPr>
          <w:rFonts w:hint="eastAsia" w:ascii="宋体" w:hAnsi="宋体" w:eastAsia="宋体" w:cs="宋体"/>
          <w:b/>
          <w:sz w:val="48"/>
          <w:szCs w:val="48"/>
          <w:highlight w:val="none"/>
        </w:rPr>
      </w:pPr>
    </w:p>
    <w:p w14:paraId="2B9607A4">
      <w:pPr>
        <w:jc w:val="center"/>
        <w:rPr>
          <w:rFonts w:hint="eastAsia" w:ascii="宋体" w:hAnsi="宋体" w:eastAsia="宋体" w:cs="宋体"/>
          <w:b/>
          <w:sz w:val="48"/>
          <w:szCs w:val="48"/>
          <w:highlight w:val="none"/>
        </w:rPr>
      </w:pPr>
    </w:p>
    <w:p w14:paraId="6FA292F9">
      <w:pPr>
        <w:jc w:val="center"/>
        <w:rPr>
          <w:rFonts w:hint="eastAsia" w:ascii="宋体" w:hAnsi="宋体" w:eastAsia="宋体" w:cs="宋体"/>
          <w:b/>
          <w:bCs/>
          <w:sz w:val="30"/>
          <w:szCs w:val="30"/>
          <w:highlight w:val="none"/>
        </w:rPr>
      </w:pPr>
      <w:r>
        <w:rPr>
          <w:rFonts w:hint="eastAsia" w:ascii="宋体" w:hAnsi="宋体" w:eastAsia="宋体" w:cs="宋体"/>
          <w:b/>
          <w:sz w:val="32"/>
          <w:szCs w:val="32"/>
          <w:highlight w:val="none"/>
        </w:rPr>
        <w:t>合同编号：</w:t>
      </w:r>
      <w:r>
        <w:rPr>
          <w:rFonts w:hint="eastAsia" w:ascii="宋体" w:hAnsi="宋体" w:eastAsia="宋体" w:cs="宋体"/>
          <w:b/>
          <w:bCs/>
          <w:sz w:val="30"/>
          <w:szCs w:val="30"/>
          <w:highlight w:val="none"/>
        </w:rPr>
        <w:t>XXXX</w:t>
      </w:r>
    </w:p>
    <w:p w14:paraId="587099A6">
      <w:pPr>
        <w:rPr>
          <w:rFonts w:hint="eastAsia" w:ascii="宋体" w:hAnsi="宋体" w:eastAsia="宋体" w:cs="宋体"/>
          <w:b/>
          <w:highlight w:val="none"/>
        </w:rPr>
      </w:pPr>
    </w:p>
    <w:p w14:paraId="2E1DDDA2">
      <w:pPr>
        <w:rPr>
          <w:rFonts w:hint="eastAsia" w:ascii="宋体" w:hAnsi="宋体" w:eastAsia="宋体" w:cs="宋体"/>
          <w:b/>
          <w:highlight w:val="none"/>
        </w:rPr>
      </w:pPr>
    </w:p>
    <w:p w14:paraId="617A2AAA">
      <w:pPr>
        <w:rPr>
          <w:rFonts w:hint="eastAsia" w:ascii="宋体" w:hAnsi="宋体" w:eastAsia="宋体" w:cs="宋体"/>
          <w:b/>
          <w:highlight w:val="none"/>
        </w:rPr>
      </w:pPr>
    </w:p>
    <w:p w14:paraId="6B8C2A65">
      <w:pPr>
        <w:rPr>
          <w:rFonts w:hint="eastAsia" w:ascii="宋体" w:hAnsi="宋体" w:eastAsia="宋体" w:cs="宋体"/>
          <w:b/>
          <w:highlight w:val="none"/>
        </w:rPr>
      </w:pPr>
    </w:p>
    <w:p w14:paraId="3FE37D59">
      <w:pPr>
        <w:rPr>
          <w:rFonts w:hint="eastAsia" w:ascii="宋体" w:hAnsi="宋体" w:eastAsia="宋体" w:cs="宋体"/>
          <w:b/>
          <w:highlight w:val="none"/>
        </w:rPr>
      </w:pPr>
    </w:p>
    <w:p w14:paraId="65631851">
      <w:pPr>
        <w:rPr>
          <w:rFonts w:hint="eastAsia" w:ascii="宋体" w:hAnsi="宋体" w:eastAsia="宋体" w:cs="宋体"/>
          <w:b/>
          <w:highlight w:val="none"/>
        </w:rPr>
      </w:pPr>
    </w:p>
    <w:p w14:paraId="17282CE0">
      <w:pPr>
        <w:rPr>
          <w:rFonts w:hint="eastAsia" w:ascii="宋体" w:hAnsi="宋体" w:eastAsia="宋体" w:cs="宋体"/>
          <w:b/>
          <w:highlight w:val="none"/>
        </w:rPr>
      </w:pPr>
    </w:p>
    <w:p w14:paraId="51505D7A">
      <w:pPr>
        <w:rPr>
          <w:rFonts w:hint="eastAsia" w:ascii="宋体" w:hAnsi="宋体" w:eastAsia="宋体" w:cs="宋体"/>
          <w:b/>
          <w:highlight w:val="none"/>
        </w:rPr>
      </w:pPr>
    </w:p>
    <w:p w14:paraId="10DC0CDF">
      <w:pPr>
        <w:keepNext w:val="0"/>
        <w:keepLines w:val="0"/>
        <w:pageBreakBefore w:val="0"/>
        <w:widowControl w:val="0"/>
        <w:wordWrap/>
        <w:overflowPunct/>
        <w:topLinePunct w:val="0"/>
        <w:autoSpaceDE/>
        <w:autoSpaceDN/>
        <w:bidi w:val="0"/>
        <w:adjustRightInd/>
        <w:snapToGrid/>
        <w:spacing w:line="360" w:lineRule="auto"/>
        <w:ind w:left="420" w:leftChars="0" w:firstLine="420" w:firstLineChars="0"/>
        <w:jc w:val="both"/>
        <w:textAlignment w:val="auto"/>
        <w:rPr>
          <w:rFonts w:hint="eastAsia" w:ascii="宋体" w:hAnsi="宋体" w:eastAsia="宋体" w:cs="宋体"/>
          <w:b/>
          <w:spacing w:val="23"/>
          <w:sz w:val="32"/>
          <w:szCs w:val="32"/>
          <w:highlight w:val="none"/>
        </w:rPr>
      </w:pPr>
      <w:r>
        <w:rPr>
          <w:rFonts w:hint="eastAsia" w:ascii="宋体" w:hAnsi="宋体" w:eastAsia="宋体" w:cs="宋体"/>
          <w:b/>
          <w:spacing w:val="23"/>
          <w:sz w:val="32"/>
          <w:szCs w:val="32"/>
          <w:highlight w:val="none"/>
        </w:rPr>
        <w:t>甲方(</w:t>
      </w:r>
      <w:r>
        <w:rPr>
          <w:rFonts w:hint="eastAsia" w:ascii="宋体" w:hAnsi="宋体" w:eastAsia="宋体" w:cs="宋体"/>
          <w:b/>
          <w:spacing w:val="23"/>
          <w:sz w:val="32"/>
          <w:szCs w:val="32"/>
          <w:highlight w:val="none"/>
        </w:rPr>
        <w:fldChar w:fldCharType="begin"/>
      </w:r>
      <w:r>
        <w:rPr>
          <w:rFonts w:hint="eastAsia" w:ascii="宋体" w:hAnsi="宋体" w:eastAsia="宋体" w:cs="宋体"/>
          <w:b/>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宋体" w:hAnsi="宋体" w:eastAsia="宋体" w:cs="宋体"/>
          <w:b/>
          <w:spacing w:val="23"/>
          <w:sz w:val="32"/>
          <w:szCs w:val="32"/>
          <w:highlight w:val="none"/>
        </w:rPr>
        <w:fldChar w:fldCharType="separate"/>
      </w:r>
      <w:r>
        <w:rPr>
          <w:rFonts w:hint="eastAsia" w:ascii="宋体" w:hAnsi="宋体" w:eastAsia="宋体" w:cs="宋体"/>
          <w:b/>
          <w:spacing w:val="23"/>
          <w:sz w:val="32"/>
          <w:szCs w:val="32"/>
          <w:highlight w:val="none"/>
        </w:rPr>
        <w:t>采购人</w:t>
      </w:r>
      <w:r>
        <w:rPr>
          <w:rFonts w:hint="eastAsia" w:ascii="宋体" w:hAnsi="宋体" w:eastAsia="宋体" w:cs="宋体"/>
          <w:b/>
          <w:spacing w:val="23"/>
          <w:sz w:val="32"/>
          <w:szCs w:val="32"/>
          <w:highlight w:val="none"/>
        </w:rPr>
        <w:fldChar w:fldCharType="end"/>
      </w:r>
      <w:r>
        <w:rPr>
          <w:rFonts w:hint="eastAsia" w:ascii="宋体" w:hAnsi="宋体" w:eastAsia="宋体" w:cs="宋体"/>
          <w:b/>
          <w:spacing w:val="23"/>
          <w:sz w:val="32"/>
          <w:szCs w:val="32"/>
          <w:highlight w:val="none"/>
        </w:rPr>
        <w:t>)：</w:t>
      </w:r>
      <w:r>
        <w:rPr>
          <w:rFonts w:hint="eastAsia" w:ascii="宋体" w:hAnsi="宋体" w:cs="宋体"/>
          <w:b/>
          <w:spacing w:val="23"/>
          <w:sz w:val="32"/>
          <w:szCs w:val="32"/>
          <w:highlight w:val="none"/>
          <w:u w:val="single"/>
          <w:lang w:val="en-US" w:eastAsia="zh-CN"/>
        </w:rPr>
        <w:t xml:space="preserve">                     </w:t>
      </w:r>
    </w:p>
    <w:p w14:paraId="70D59766">
      <w:pPr>
        <w:keepNext w:val="0"/>
        <w:keepLines w:val="0"/>
        <w:pageBreakBefore w:val="0"/>
        <w:widowControl w:val="0"/>
        <w:wordWrap/>
        <w:overflowPunct/>
        <w:topLinePunct w:val="0"/>
        <w:autoSpaceDE/>
        <w:autoSpaceDN/>
        <w:bidi w:val="0"/>
        <w:adjustRightInd/>
        <w:snapToGrid/>
        <w:spacing w:line="360" w:lineRule="auto"/>
        <w:ind w:left="420" w:leftChars="0" w:firstLine="420" w:firstLineChars="0"/>
        <w:jc w:val="both"/>
        <w:textAlignment w:val="auto"/>
        <w:rPr>
          <w:rFonts w:hint="default" w:ascii="宋体" w:hAnsi="宋体" w:eastAsia="宋体" w:cs="宋体"/>
          <w:spacing w:val="23"/>
          <w:sz w:val="28"/>
          <w:szCs w:val="28"/>
          <w:highlight w:val="none"/>
          <w:u w:val="single"/>
          <w:lang w:val="en-US" w:eastAsia="zh-CN"/>
        </w:rPr>
      </w:pPr>
      <w:r>
        <w:rPr>
          <w:rFonts w:hint="eastAsia" w:ascii="宋体" w:hAnsi="宋体" w:eastAsia="宋体" w:cs="宋体"/>
          <w:b/>
          <w:spacing w:val="23"/>
          <w:sz w:val="32"/>
          <w:szCs w:val="32"/>
          <w:highlight w:val="none"/>
        </w:rPr>
        <w:fldChar w:fldCharType="begin"/>
      </w:r>
      <w:r>
        <w:rPr>
          <w:rFonts w:hint="eastAsia" w:ascii="宋体" w:hAnsi="宋体" w:eastAsia="宋体" w:cs="宋体"/>
          <w:b/>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spacing w:val="23"/>
          <w:sz w:val="32"/>
          <w:szCs w:val="32"/>
          <w:highlight w:val="none"/>
        </w:rPr>
        <w:fldChar w:fldCharType="separate"/>
      </w:r>
      <w:r>
        <w:rPr>
          <w:rFonts w:hint="eastAsia" w:ascii="宋体" w:hAnsi="宋体" w:eastAsia="宋体" w:cs="宋体"/>
          <w:b/>
          <w:spacing w:val="23"/>
          <w:sz w:val="32"/>
          <w:szCs w:val="32"/>
          <w:highlight w:val="none"/>
        </w:rPr>
        <w:t>乙方</w:t>
      </w:r>
      <w:r>
        <w:rPr>
          <w:rFonts w:hint="eastAsia" w:ascii="宋体" w:hAnsi="宋体" w:eastAsia="宋体" w:cs="宋体"/>
          <w:b/>
          <w:spacing w:val="23"/>
          <w:sz w:val="32"/>
          <w:szCs w:val="32"/>
          <w:highlight w:val="none"/>
        </w:rPr>
        <w:fldChar w:fldCharType="end"/>
      </w:r>
      <w:r>
        <w:rPr>
          <w:rFonts w:hint="eastAsia" w:ascii="宋体" w:hAnsi="宋体" w:eastAsia="宋体" w:cs="宋体"/>
          <w:b/>
          <w:spacing w:val="23"/>
          <w:sz w:val="32"/>
          <w:szCs w:val="32"/>
          <w:highlight w:val="none"/>
        </w:rPr>
        <w:t>(供应商)：</w:t>
      </w:r>
      <w:r>
        <w:rPr>
          <w:rFonts w:hint="eastAsia" w:ascii="宋体" w:hAnsi="宋体" w:cs="宋体"/>
          <w:b/>
          <w:spacing w:val="23"/>
          <w:sz w:val="32"/>
          <w:szCs w:val="32"/>
          <w:highlight w:val="none"/>
          <w:u w:val="single"/>
          <w:lang w:val="en-US" w:eastAsia="zh-CN"/>
        </w:rPr>
        <w:t xml:space="preserve">                     </w:t>
      </w:r>
    </w:p>
    <w:p w14:paraId="7EA6FF73">
      <w:pPr>
        <w:keepNext w:val="0"/>
        <w:keepLines w:val="0"/>
        <w:pageBreakBefore w:val="0"/>
        <w:widowControl w:val="0"/>
        <w:kinsoku w:val="0"/>
        <w:wordWrap/>
        <w:overflowPunct/>
        <w:topLinePunct w:val="0"/>
        <w:autoSpaceDE/>
        <w:autoSpaceDN/>
        <w:bidi w:val="0"/>
        <w:adjustRightInd/>
        <w:snapToGrid/>
        <w:spacing w:line="360" w:lineRule="auto"/>
        <w:ind w:left="420" w:leftChars="0" w:firstLine="420" w:firstLineChars="0"/>
        <w:jc w:val="both"/>
        <w:textAlignment w:val="auto"/>
        <w:rPr>
          <w:rFonts w:hint="eastAsia" w:ascii="宋体" w:hAnsi="宋体" w:eastAsia="宋体" w:cs="宋体"/>
          <w:b/>
          <w:spacing w:val="23"/>
          <w:sz w:val="32"/>
          <w:szCs w:val="32"/>
          <w:highlight w:val="none"/>
        </w:rPr>
      </w:pPr>
      <w:r>
        <w:rPr>
          <w:rFonts w:hint="eastAsia" w:ascii="宋体" w:hAnsi="宋体" w:eastAsia="宋体" w:cs="宋体"/>
          <w:b/>
          <w:spacing w:val="23"/>
          <w:sz w:val="32"/>
          <w:szCs w:val="32"/>
          <w:highlight w:val="none"/>
        </w:rPr>
        <w:t>签订时间：</w:t>
      </w:r>
      <w:r>
        <w:rPr>
          <w:rFonts w:hint="eastAsia" w:ascii="宋体" w:hAnsi="宋体" w:cs="宋体"/>
          <w:spacing w:val="23"/>
          <w:sz w:val="28"/>
          <w:szCs w:val="28"/>
          <w:highlight w:val="none"/>
          <w:u w:val="single"/>
          <w:lang w:val="en-US" w:eastAsia="zh-CN"/>
        </w:rPr>
        <w:t xml:space="preserve">      </w:t>
      </w:r>
      <w:r>
        <w:rPr>
          <w:rFonts w:hint="eastAsia" w:ascii="宋体" w:hAnsi="宋体" w:eastAsia="宋体" w:cs="宋体"/>
          <w:b/>
          <w:spacing w:val="23"/>
          <w:sz w:val="32"/>
          <w:szCs w:val="32"/>
          <w:highlight w:val="none"/>
        </w:rPr>
        <w:t>年</w:t>
      </w:r>
      <w:r>
        <w:rPr>
          <w:rFonts w:hint="eastAsia" w:ascii="宋体" w:hAnsi="宋体" w:cs="宋体"/>
          <w:spacing w:val="23"/>
          <w:sz w:val="28"/>
          <w:szCs w:val="28"/>
          <w:highlight w:val="none"/>
          <w:u w:val="single"/>
          <w:lang w:val="en-US" w:eastAsia="zh-CN"/>
        </w:rPr>
        <w:t xml:space="preserve">    </w:t>
      </w:r>
      <w:r>
        <w:rPr>
          <w:rFonts w:hint="eastAsia" w:ascii="宋体" w:hAnsi="宋体" w:eastAsia="宋体" w:cs="宋体"/>
          <w:b/>
          <w:spacing w:val="23"/>
          <w:sz w:val="32"/>
          <w:szCs w:val="32"/>
          <w:highlight w:val="none"/>
        </w:rPr>
        <w:t>月</w:t>
      </w:r>
      <w:r>
        <w:rPr>
          <w:rFonts w:hint="eastAsia" w:ascii="宋体" w:hAnsi="宋体" w:cs="宋体"/>
          <w:b/>
          <w:spacing w:val="23"/>
          <w:sz w:val="32"/>
          <w:szCs w:val="32"/>
          <w:highlight w:val="none"/>
          <w:u w:val="single"/>
          <w:lang w:val="en-US" w:eastAsia="zh-CN"/>
        </w:rPr>
        <w:t xml:space="preserve">    </w:t>
      </w:r>
      <w:r>
        <w:rPr>
          <w:rFonts w:hint="eastAsia" w:ascii="宋体" w:hAnsi="宋体" w:eastAsia="宋体" w:cs="宋体"/>
          <w:b/>
          <w:spacing w:val="23"/>
          <w:sz w:val="32"/>
          <w:szCs w:val="32"/>
          <w:highlight w:val="none"/>
        </w:rPr>
        <w:t>日</w:t>
      </w:r>
    </w:p>
    <w:p w14:paraId="64320EC9">
      <w:pPr>
        <w:keepNext w:val="0"/>
        <w:keepLines w:val="0"/>
        <w:pageBreakBefore w:val="0"/>
        <w:kinsoku/>
        <w:wordWrap/>
        <w:topLinePunct w:val="0"/>
        <w:bidi w:val="0"/>
        <w:snapToGrid/>
        <w:spacing w:line="360" w:lineRule="auto"/>
        <w:ind w:firstLine="514" w:firstLineChars="200"/>
        <w:textAlignment w:val="auto"/>
        <w:rPr>
          <w:rFonts w:hint="eastAsia" w:ascii="宋体" w:hAnsi="宋体" w:eastAsia="宋体" w:cs="宋体"/>
          <w:sz w:val="24"/>
          <w:szCs w:val="32"/>
          <w:highlight w:val="none"/>
        </w:rPr>
      </w:pPr>
      <w:r>
        <w:rPr>
          <w:rFonts w:hint="eastAsia" w:ascii="宋体" w:hAnsi="宋体" w:eastAsia="宋体" w:cs="宋体"/>
          <w:b/>
          <w:spacing w:val="23"/>
          <w:szCs w:val="32"/>
          <w:highlight w:val="none"/>
        </w:rPr>
        <w:br w:type="page"/>
      </w:r>
      <w:r>
        <w:rPr>
          <w:rFonts w:hint="eastAsia" w:ascii="宋体" w:hAnsi="宋体" w:eastAsia="宋体" w:cs="宋体"/>
          <w:sz w:val="24"/>
          <w:szCs w:val="32"/>
          <w:highlight w:val="none"/>
        </w:rPr>
        <w:t>采购人（以下简称甲方）：</w:t>
      </w:r>
      <w:r>
        <w:rPr>
          <w:rFonts w:hint="eastAsia" w:ascii="宋体" w:hAnsi="宋体" w:cs="宋体"/>
          <w:sz w:val="24"/>
          <w:szCs w:val="32"/>
          <w:highlight w:val="none"/>
          <w:u w:val="single"/>
          <w:lang w:val="en-US" w:eastAsia="zh-CN"/>
        </w:rPr>
        <w:t xml:space="preserve">                        </w:t>
      </w:r>
    </w:p>
    <w:p w14:paraId="7EE48BDE">
      <w:pPr>
        <w:keepNext w:val="0"/>
        <w:keepLines w:val="0"/>
        <w:pageBreakBefore w:val="0"/>
        <w:kinsoku/>
        <w:wordWrap/>
        <w:topLinePunct w:val="0"/>
        <w:bidi w:val="0"/>
        <w:snapToGrid/>
        <w:spacing w:line="360" w:lineRule="auto"/>
        <w:ind w:firstLine="480" w:firstLineChars="200"/>
        <w:textAlignment w:val="auto"/>
        <w:rPr>
          <w:rFonts w:hint="default" w:ascii="宋体" w:hAnsi="宋体" w:eastAsia="宋体" w:cs="宋体"/>
          <w:sz w:val="24"/>
          <w:szCs w:val="32"/>
          <w:highlight w:val="none"/>
          <w:lang w:val="en-US" w:eastAsia="zh-CN"/>
        </w:rPr>
      </w:pPr>
      <w:r>
        <w:rPr>
          <w:rFonts w:hint="eastAsia" w:ascii="宋体" w:hAnsi="宋体" w:eastAsia="宋体" w:cs="宋体"/>
          <w:sz w:val="24"/>
          <w:szCs w:val="32"/>
          <w:highlight w:val="none"/>
        </w:rPr>
        <w:t>供应商（以下简称乙方）：</w:t>
      </w:r>
      <w:r>
        <w:rPr>
          <w:rFonts w:hint="eastAsia" w:ascii="宋体" w:hAnsi="宋体" w:cs="宋体"/>
          <w:sz w:val="24"/>
          <w:szCs w:val="32"/>
          <w:highlight w:val="none"/>
          <w:u w:val="single"/>
          <w:lang w:val="en-US" w:eastAsia="zh-CN"/>
        </w:rPr>
        <w:t xml:space="preserve">                        </w:t>
      </w:r>
    </w:p>
    <w:p w14:paraId="1D4A24C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rPr>
        <w:t>根据《中华人民共和国民法典》《中华人民共和国政府采购法》及其它有关法律、行政法规，为明确双方在</w:t>
      </w:r>
      <w:r>
        <w:rPr>
          <w:rFonts w:hint="eastAsia" w:ascii="宋体" w:hAnsi="宋体" w:cs="宋体"/>
          <w:bCs/>
          <w:sz w:val="24"/>
          <w:highlight w:val="none"/>
          <w:lang w:eastAsia="zh-CN"/>
        </w:rPr>
        <w:t>服务</w:t>
      </w:r>
      <w:r>
        <w:rPr>
          <w:rFonts w:hint="eastAsia" w:ascii="宋体" w:hAnsi="宋体" w:eastAsia="宋体" w:cs="宋体"/>
          <w:bCs/>
          <w:sz w:val="24"/>
          <w:highlight w:val="none"/>
        </w:rPr>
        <w:t>过程中的权利、义务，经双方协商自愿签订本合同。</w:t>
      </w:r>
    </w:p>
    <w:p w14:paraId="12185B75">
      <w:pPr>
        <w:keepNext w:val="0"/>
        <w:keepLines w:val="0"/>
        <w:pageBreakBefore w:val="0"/>
        <w:kinsoku/>
        <w:wordWrap/>
        <w:topLinePunct w:val="0"/>
        <w:bidi w:val="0"/>
        <w:snapToGrid/>
        <w:spacing w:line="360" w:lineRule="auto"/>
        <w:textAlignment w:val="auto"/>
        <w:rPr>
          <w:rFonts w:hint="eastAsia" w:ascii="宋体" w:hAnsi="宋体" w:eastAsia="宋体" w:cs="宋体"/>
          <w:b/>
          <w:sz w:val="24"/>
          <w:highlight w:val="none"/>
        </w:rPr>
      </w:pPr>
      <w:r>
        <w:rPr>
          <w:rFonts w:hint="eastAsia" w:ascii="宋体" w:hAnsi="宋体" w:eastAsia="宋体" w:cs="宋体"/>
          <w:b/>
          <w:sz w:val="24"/>
          <w:highlight w:val="none"/>
        </w:rPr>
        <w:t>一、合同组成</w:t>
      </w:r>
    </w:p>
    <w:p w14:paraId="39B45BCC">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zh-CN"/>
        </w:rPr>
        <w:t>下述文件是构成本合同不可分割的部分</w:t>
      </w:r>
      <w:r>
        <w:rPr>
          <w:rFonts w:hint="eastAsia" w:ascii="宋体" w:hAnsi="宋体" w:eastAsia="宋体" w:cs="宋体"/>
          <w:sz w:val="24"/>
          <w:highlight w:val="none"/>
        </w:rPr>
        <w:t>:</w:t>
      </w:r>
    </w:p>
    <w:p w14:paraId="58A770F0">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本合同条款及其所有附件。</w:t>
      </w:r>
    </w:p>
    <w:p w14:paraId="54E554C2">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sz w:val="24"/>
          <w:highlight w:val="none"/>
          <w:lang w:val="zh-CN"/>
        </w:rPr>
      </w:pPr>
      <w:r>
        <w:rPr>
          <w:rFonts w:hint="eastAsia" w:ascii="宋体" w:hAnsi="宋体" w:eastAsia="宋体" w:cs="宋体"/>
          <w:sz w:val="24"/>
          <w:highlight w:val="none"/>
          <w:lang w:val="zh-CN"/>
        </w:rPr>
        <w:t>（</w:t>
      </w:r>
      <w:r>
        <w:rPr>
          <w:rFonts w:hint="eastAsia" w:ascii="宋体" w:hAnsi="宋体" w:eastAsia="宋体" w:cs="宋体"/>
          <w:sz w:val="24"/>
          <w:highlight w:val="none"/>
        </w:rPr>
        <w:t>2）</w:t>
      </w:r>
      <w:r>
        <w:rPr>
          <w:rFonts w:hint="eastAsia" w:ascii="宋体" w:hAnsi="宋体" w:eastAsia="宋体" w:cs="宋体"/>
          <w:sz w:val="24"/>
          <w:highlight w:val="none"/>
          <w:lang w:val="zh-CN"/>
        </w:rPr>
        <w:t>甲方的磋商文件及澄清文件。</w:t>
      </w:r>
    </w:p>
    <w:p w14:paraId="7CC9BF09">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sz w:val="24"/>
          <w:highlight w:val="none"/>
          <w:lang w:val="zh-CN"/>
        </w:rPr>
      </w:pPr>
      <w:r>
        <w:rPr>
          <w:rFonts w:hint="eastAsia" w:ascii="宋体" w:hAnsi="宋体" w:eastAsia="宋体" w:cs="宋体"/>
          <w:sz w:val="24"/>
          <w:highlight w:val="none"/>
          <w:lang w:val="zh-CN"/>
        </w:rPr>
        <w:t>（</w:t>
      </w:r>
      <w:r>
        <w:rPr>
          <w:rFonts w:hint="eastAsia" w:ascii="宋体" w:hAnsi="宋体" w:eastAsia="宋体" w:cs="宋体"/>
          <w:sz w:val="24"/>
          <w:highlight w:val="none"/>
        </w:rPr>
        <w:t>3）</w:t>
      </w:r>
      <w:r>
        <w:rPr>
          <w:rFonts w:hint="eastAsia" w:ascii="宋体" w:hAnsi="宋体" w:eastAsia="宋体" w:cs="宋体"/>
          <w:sz w:val="24"/>
          <w:highlight w:val="none"/>
          <w:lang w:val="zh-CN"/>
        </w:rPr>
        <w:t>乙方的磋商响应文件及质疑解答文件。</w:t>
      </w:r>
    </w:p>
    <w:p w14:paraId="1D4727AD">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sz w:val="24"/>
          <w:highlight w:val="none"/>
          <w:lang w:val="zh-CN"/>
        </w:rPr>
      </w:pPr>
      <w:r>
        <w:rPr>
          <w:rFonts w:hint="eastAsia" w:ascii="宋体" w:hAnsi="宋体" w:eastAsia="宋体" w:cs="宋体"/>
          <w:sz w:val="24"/>
          <w:highlight w:val="none"/>
          <w:lang w:val="zh-CN"/>
        </w:rPr>
        <w:t>（</w:t>
      </w:r>
      <w:r>
        <w:rPr>
          <w:rFonts w:hint="eastAsia" w:ascii="宋体" w:hAnsi="宋体" w:eastAsia="宋体" w:cs="宋体"/>
          <w:sz w:val="24"/>
          <w:highlight w:val="none"/>
        </w:rPr>
        <w:t>4）</w:t>
      </w:r>
      <w:r>
        <w:rPr>
          <w:rFonts w:hint="eastAsia" w:ascii="宋体" w:hAnsi="宋体" w:eastAsia="宋体" w:cs="宋体"/>
          <w:sz w:val="24"/>
          <w:highlight w:val="none"/>
          <w:lang w:val="zh-CN"/>
        </w:rPr>
        <w:t>成交通知书。</w:t>
      </w:r>
    </w:p>
    <w:p w14:paraId="1062A40A">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（5）</w:t>
      </w:r>
      <w:r>
        <w:rPr>
          <w:rFonts w:hint="eastAsia" w:ascii="宋体" w:hAnsi="宋体" w:eastAsia="宋体" w:cs="宋体"/>
          <w:sz w:val="24"/>
          <w:highlight w:val="none"/>
          <w:lang w:val="zh-CN"/>
        </w:rPr>
        <w:t>法定代表人授权书。</w:t>
      </w:r>
    </w:p>
    <w:p w14:paraId="1AAE5E7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（6）双方与合同有关的往来信函、传真经双方法定代表人或其授权代表签字并加盖单位公章确认后视为本合同的组成部分。</w:t>
      </w:r>
    </w:p>
    <w:p w14:paraId="2A606D72">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（7）经双方法定代表人或其授权代表签字并加盖单位公章确认的补充协议。</w:t>
      </w:r>
    </w:p>
    <w:p w14:paraId="1CFB67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宋体" w:hAnsi="宋体" w:eastAsia="宋体" w:cs="宋体"/>
          <w:sz w:val="24"/>
          <w:highlight w:val="none"/>
        </w:rPr>
        <w:t>如果合同附件之间有矛盾之处，以有利于甲方的附件内容为准。</w:t>
      </w:r>
    </w:p>
    <w:p w14:paraId="01FB8A88">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sz w:val="24"/>
          <w:highlight w:val="none"/>
        </w:rPr>
      </w:pPr>
      <w:r>
        <w:rPr>
          <w:rFonts w:hint="eastAsia" w:ascii="宋体" w:hAnsi="宋体" w:eastAsia="宋体" w:cs="宋体"/>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63C4F94B">
      <w:pPr>
        <w:keepNext w:val="0"/>
        <w:keepLines w:val="0"/>
        <w:pageBreakBefore w:val="0"/>
        <w:kinsoku/>
        <w:wordWrap/>
        <w:topLinePunct w:val="0"/>
        <w:bidi w:val="0"/>
        <w:snapToGrid/>
        <w:spacing w:line="360" w:lineRule="auto"/>
        <w:textAlignment w:val="auto"/>
        <w:rPr>
          <w:rFonts w:hint="eastAsia" w:ascii="宋体" w:hAnsi="宋体" w:eastAsia="宋体" w:cs="宋体"/>
          <w:b/>
          <w:sz w:val="24"/>
          <w:highlight w:val="none"/>
        </w:rPr>
      </w:pPr>
      <w:r>
        <w:rPr>
          <w:rFonts w:hint="eastAsia" w:ascii="宋体" w:hAnsi="宋体" w:eastAsia="宋体" w:cs="宋体"/>
          <w:b/>
          <w:sz w:val="24"/>
          <w:highlight w:val="none"/>
        </w:rPr>
        <w:t>二、项目概况</w:t>
      </w:r>
    </w:p>
    <w:p w14:paraId="56759C3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sz w:val="24"/>
          <w:highlight w:val="none"/>
          <w:u w:val="single"/>
          <w:lang w:val="en-US" w:eastAsia="zh-CN"/>
        </w:rPr>
      </w:pPr>
      <w:r>
        <w:rPr>
          <w:rFonts w:hint="eastAsia" w:ascii="宋体" w:hAnsi="宋体" w:eastAsia="宋体" w:cs="宋体"/>
          <w:bCs/>
          <w:sz w:val="24"/>
          <w:highlight w:val="none"/>
        </w:rPr>
        <w:t>1.服务内容：</w:t>
      </w:r>
      <w:r>
        <w:rPr>
          <w:rFonts w:hint="eastAsia" w:ascii="宋体" w:hAnsi="宋体" w:eastAsia="宋体" w:cs="宋体"/>
          <w:bCs/>
          <w:sz w:val="24"/>
          <w:highlight w:val="none"/>
          <w:u w:val="single"/>
          <w:lang w:val="en-US" w:eastAsia="zh-CN"/>
        </w:rPr>
        <w:t xml:space="preserve"> 详见下文 </w:t>
      </w:r>
    </w:p>
    <w:p w14:paraId="4CB17A21">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（1）技术运维服务</w:t>
      </w:r>
    </w:p>
    <w:p w14:paraId="1549C682">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提供网站日常技术运维服务，具体包括问题诊断与修改、网站监控、性能优化、系统管理、安全管理、技术咨询、专项保障、系统培训等服务。</w:t>
      </w:r>
    </w:p>
    <w:p w14:paraId="095EC6D2">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（2）网站页面栏目优化调整</w:t>
      </w:r>
    </w:p>
    <w:p w14:paraId="460AD4AD">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根据中省市政府网站及政务公开考核要求或实际业务需求，提供网站页面优化调整、网站栏目及展示方式调整、网站图片制作、数据处理与统计分析等服务。</w:t>
      </w:r>
    </w:p>
    <w:p w14:paraId="290BE4F5">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（3）政策解读制作</w:t>
      </w:r>
    </w:p>
    <w:p w14:paraId="1FA6F487">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开展本地区相关政策、重要文件和政务公开年报等重点信息政策解读的设计、制作和发布。具体包括政策图解和政策动漫解读等解读形式。其中政策图解20个/年，动漫解读2个/年（动漫时长控制在90秒以内）。</w:t>
      </w:r>
    </w:p>
    <w:p w14:paraId="5C26DF7F">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（4）专题专栏制作</w:t>
      </w:r>
    </w:p>
    <w:p w14:paraId="319F41AD">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根据中、省、市要求及本地区重点工作和热点活动需要，规划建设网站专题专栏，提供专题专栏制作服务。制作数量4个/年。</w:t>
      </w:r>
    </w:p>
    <w:p w14:paraId="23F99E3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（5）智能问答及长者服务优化提升</w:t>
      </w:r>
    </w:p>
    <w:p w14:paraId="5178D69D">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通过云服务方式，提供智能问答服务，具体包括自动问答、智能提示、关联推荐、场景服务、知识库管理、数据统计报表等功能。同时，提供智能问答知识库梳理服务，针对知识库进行日常业务知识及问题梳理和语义训练，以增强系统的自我学习能力，提高智能问答的准确性、专业性及业务覆盖面。具体包括知识库整理、知识库词条扩充、知识库日常训练、知识库升级、运营分析报告等服务内容。</w:t>
      </w:r>
    </w:p>
    <w:p w14:paraId="75E09E24">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（6）网站运行统计分析报告</w:t>
      </w:r>
    </w:p>
    <w:p w14:paraId="4FFBD3D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定期对网站各业务系统数据和运行情况，包括网站访问情况、网站可用性、内容更新和保障情况、互动交流情况、解读专题及其他重点事件等进行汇总和统计分析，提供网站运行情况报告。</w:t>
      </w:r>
    </w:p>
    <w:p w14:paraId="44069C18">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（7）政府网站监测服务</w:t>
      </w:r>
    </w:p>
    <w:p w14:paraId="0CD0CFD6">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政府网站监测：基于云服务模式，提供网站监测系统，针对政府网站监测出的问题及时预警提醒。针对政府网站无法访问、网站可用性、断链、错链、网站响应、网站更新等方面进行实时监测和扫描，及时预警提醒。并根据《政府网站与政务新媒体检查指标》，按季度对政府网站进行全面检测，结合系统监测和人工检查结果，出具全面的网站监测报告。</w:t>
      </w:r>
    </w:p>
    <w:p w14:paraId="49E304FA">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（8）政务新媒体监测服务</w:t>
      </w:r>
    </w:p>
    <w:p w14:paraId="325CE610">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根据《政府网站与政务新媒体检查指标》要求，基于政务新媒体监测平台，采用系统+人工的方式对25个新媒体账号的内容更新、错敏信息、涉密信息等内容进行检测。并针对政务新媒体的严重表述错误/泄漏国家机密/反动暴力色情内容、内容更新情况、互动回应情况和账号运营情况等进行全面检查和监测。</w:t>
      </w:r>
    </w:p>
    <w:p w14:paraId="18EE8882">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（9）对标诊断服务</w:t>
      </w:r>
    </w:p>
    <w:p w14:paraId="6BDB69B6">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参照国家和省、市政务公开绩效评估指标要求，对政务公开工作从公开渠道、主动公开、依申请公开、政策解读、保障能力等方面进行全面诊断和对标检查，及时发现存在的问题和不足，形成《对标诊断报告》，并提出合理化建议，辅助整改，以期在考核中取得优异成绩。</w:t>
      </w:r>
    </w:p>
    <w:p w14:paraId="7024868F">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（10）打造招商引资专题，提供碑林招商政策、招商项目宣传等一站式服务</w:t>
      </w:r>
    </w:p>
    <w:p w14:paraId="1EFC2EA5">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围绕碑林区招商引资重点工作，开展碑林文旅之区、经济实力、历史文化等，汇聚招商政策、投资动态、招商项目、楼宇资源等，推介在人才、产业等方面投资优势，提供招商引资一站式服务，以高质量服务推动项目落地。</w:t>
      </w:r>
    </w:p>
    <w:p w14:paraId="25E566F5">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（11）打造高校毕业生就业专题，为大学毕业生提供就业岗位、创业政策等相关信息</w:t>
      </w:r>
    </w:p>
    <w:p w14:paraId="5B48C8A4">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聚焦高校毕业生创业开设服务专题，围绕一次性创业补贴、创业担保贷款、小微企业创业担保贷款、免费创业培训、税收减免等方面，细化政策支持条款、申领条件、申请流程等，提供场景式、集成式服务，支持高校毕业生自主创业。</w:t>
      </w:r>
    </w:p>
    <w:p w14:paraId="0094D809">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bCs/>
          <w:sz w:val="24"/>
          <w:highlight w:val="none"/>
          <w:lang w:val="en-US" w:eastAsia="zh-CN"/>
        </w:rPr>
      </w:pPr>
      <w:r>
        <w:rPr>
          <w:rFonts w:hint="eastAsia" w:ascii="宋体" w:hAnsi="宋体" w:eastAsia="宋体" w:cs="宋体"/>
          <w:sz w:val="24"/>
          <w:highlight w:val="none"/>
        </w:rPr>
        <w:t>2.</w:t>
      </w:r>
      <w:r>
        <w:rPr>
          <w:rFonts w:hint="eastAsia" w:ascii="宋体" w:hAnsi="宋体" w:eastAsia="宋体" w:cs="宋体"/>
          <w:sz w:val="24"/>
          <w:highlight w:val="none"/>
          <w:lang w:eastAsia="zh-CN"/>
        </w:rPr>
        <w:t>服务</w:t>
      </w:r>
      <w:r>
        <w:rPr>
          <w:rFonts w:hint="eastAsia" w:ascii="宋体" w:hAnsi="宋体" w:eastAsia="宋体" w:cs="宋体"/>
          <w:sz w:val="24"/>
          <w:highlight w:val="none"/>
        </w:rPr>
        <w:t>期：</w:t>
      </w:r>
      <w:r>
        <w:rPr>
          <w:rFonts w:hint="eastAsia" w:ascii="宋体" w:hAnsi="宋体" w:eastAsia="宋体" w:cs="宋体"/>
          <w:bCs/>
          <w:sz w:val="24"/>
          <w:highlight w:val="none"/>
          <w:lang w:val="en-US" w:eastAsia="zh-CN"/>
        </w:rPr>
        <w:t>本项目服务总期限两年（24个月），合同签订按两阶段签订。</w:t>
      </w:r>
    </w:p>
    <w:p w14:paraId="15958B81">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第一阶段合同期限12个月，自</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年</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月</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日起至</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年</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月</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日止；</w:t>
      </w:r>
    </w:p>
    <w:p w14:paraId="13A8DE6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第二阶段合同期限12个月，自</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年</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月</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日起至</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年</w:t>
      </w:r>
      <w:r>
        <w:rPr>
          <w:rFonts w:hint="eastAsia" w:ascii="宋体" w:hAnsi="宋体" w:eastAsia="宋体" w:cs="宋体"/>
          <w:bCs/>
          <w:i/>
          <w:iCs/>
          <w:sz w:val="24"/>
          <w:highlight w:val="none"/>
          <w:u w:val="single"/>
          <w:lang w:val="en-US" w:eastAsia="zh-CN"/>
        </w:rPr>
        <w:t xml:space="preserve">  </w:t>
      </w:r>
      <w:r>
        <w:rPr>
          <w:rFonts w:hint="eastAsia" w:ascii="宋体" w:hAnsi="宋体" w:eastAsia="宋体" w:cs="宋体"/>
          <w:bCs/>
          <w:sz w:val="24"/>
          <w:highlight w:val="none"/>
          <w:lang w:val="en-US" w:eastAsia="zh-CN"/>
        </w:rPr>
        <w:t>月</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日止。</w:t>
      </w:r>
    </w:p>
    <w:p w14:paraId="4CBF8F99">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上一阶段合同期满后，双方均无异议，协商后续签下一阶段合同（但最多不超过第二阶段），续签时合同其他内容不予改变。若乙方上一阶段的服务不能满足甲方要求，甲方可拒绝同乙方续签。</w:t>
      </w:r>
    </w:p>
    <w:p w14:paraId="299D0C2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highlight w:val="none"/>
          <w:lang w:eastAsia="zh-CN"/>
        </w:rPr>
      </w:pPr>
      <w:r>
        <w:rPr>
          <w:rFonts w:hint="eastAsia" w:ascii="宋体" w:hAnsi="宋体" w:eastAsia="宋体" w:cs="宋体"/>
          <w:bCs/>
          <w:sz w:val="24"/>
          <w:highlight w:val="none"/>
          <w:lang w:val="en-US" w:eastAsia="zh-CN"/>
        </w:rPr>
        <w:t>本合同为第</w:t>
      </w:r>
      <w:r>
        <w:rPr>
          <w:rFonts w:hint="eastAsia" w:ascii="宋体" w:hAnsi="宋体" w:eastAsia="宋体" w:cs="宋体"/>
          <w:bCs/>
          <w:sz w:val="24"/>
          <w:highlight w:val="none"/>
          <w:u w:val="single"/>
          <w:lang w:val="en-US" w:eastAsia="zh-CN"/>
        </w:rPr>
        <w:t xml:space="preserve">     </w:t>
      </w:r>
      <w:r>
        <w:rPr>
          <w:rFonts w:hint="eastAsia" w:ascii="宋体" w:hAnsi="宋体" w:eastAsia="宋体" w:cs="宋体"/>
          <w:bCs/>
          <w:sz w:val="24"/>
          <w:highlight w:val="none"/>
          <w:lang w:val="en-US" w:eastAsia="zh-CN"/>
        </w:rPr>
        <w:t>阶段合同。</w:t>
      </w:r>
    </w:p>
    <w:p w14:paraId="37438F9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rPr>
        <w:t>3.</w:t>
      </w:r>
      <w:r>
        <w:rPr>
          <w:rFonts w:hint="eastAsia" w:ascii="宋体" w:hAnsi="宋体" w:eastAsia="宋体" w:cs="宋体"/>
          <w:sz w:val="24"/>
          <w:highlight w:val="none"/>
          <w:lang w:eastAsia="zh-CN"/>
        </w:rPr>
        <w:t>服务地点：</w:t>
      </w:r>
      <w:r>
        <w:rPr>
          <w:rFonts w:hint="eastAsia" w:ascii="宋体" w:hAnsi="宋体" w:eastAsia="宋体" w:cs="宋体"/>
          <w:sz w:val="24"/>
          <w:highlight w:val="none"/>
          <w:u w:val="single"/>
          <w:lang w:val="en-US" w:eastAsia="zh-CN"/>
        </w:rPr>
        <w:t>采购人指定地点</w:t>
      </w:r>
      <w:r>
        <w:rPr>
          <w:rFonts w:hint="eastAsia" w:ascii="宋体" w:hAnsi="宋体" w:cs="宋体"/>
          <w:sz w:val="24"/>
          <w:highlight w:val="none"/>
          <w:lang w:val="en-US" w:eastAsia="zh-CN"/>
        </w:rPr>
        <w:t>。</w:t>
      </w:r>
    </w:p>
    <w:p w14:paraId="6F294CD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质量要求：</w:t>
      </w:r>
      <w:r>
        <w:rPr>
          <w:rFonts w:hint="eastAsia" w:ascii="宋体" w:hAnsi="宋体" w:eastAsia="宋体" w:cs="宋体"/>
          <w:sz w:val="24"/>
          <w:highlight w:val="none"/>
          <w:u w:val="single"/>
        </w:rPr>
        <w:t>符合国家有关现行规范、标准的要求</w:t>
      </w:r>
      <w:r>
        <w:rPr>
          <w:rFonts w:hint="eastAsia" w:ascii="宋体" w:hAnsi="宋体" w:eastAsia="宋体" w:cs="宋体"/>
          <w:sz w:val="24"/>
          <w:highlight w:val="none"/>
        </w:rPr>
        <w:t>。</w:t>
      </w:r>
    </w:p>
    <w:p w14:paraId="78EE840A">
      <w:pPr>
        <w:keepNext w:val="0"/>
        <w:keepLines w:val="0"/>
        <w:pageBreakBefore w:val="0"/>
        <w:kinsoku/>
        <w:wordWrap/>
        <w:topLinePunct w:val="0"/>
        <w:bidi w:val="0"/>
        <w:snapToGrid/>
        <w:spacing w:line="360" w:lineRule="auto"/>
        <w:textAlignment w:val="auto"/>
        <w:rPr>
          <w:rFonts w:hint="eastAsia" w:ascii="宋体" w:hAnsi="宋体" w:eastAsia="宋体" w:cs="宋体"/>
          <w:b/>
          <w:sz w:val="24"/>
          <w:highlight w:val="none"/>
        </w:rPr>
      </w:pPr>
      <w:r>
        <w:rPr>
          <w:rFonts w:hint="eastAsia" w:ascii="宋体" w:hAnsi="宋体" w:eastAsia="宋体" w:cs="宋体"/>
          <w:b/>
          <w:sz w:val="24"/>
          <w:highlight w:val="none"/>
        </w:rPr>
        <w:t>三、</w:t>
      </w:r>
      <w:r>
        <w:rPr>
          <w:rFonts w:hint="eastAsia" w:ascii="宋体" w:hAnsi="宋体" w:eastAsia="宋体" w:cs="宋体"/>
          <w:b/>
          <w:bCs/>
          <w:sz w:val="24"/>
          <w:highlight w:val="none"/>
        </w:rPr>
        <w:t>合同价款及付款比例</w:t>
      </w:r>
    </w:p>
    <w:p w14:paraId="0F01FA74">
      <w:pPr>
        <w:keepNext w:val="0"/>
        <w:keepLines w:val="0"/>
        <w:pageBreakBefore w:val="0"/>
        <w:kinsoku/>
        <w:wordWrap/>
        <w:topLinePunct w:val="0"/>
        <w:bidi w:val="0"/>
        <w:snapToGrid/>
        <w:spacing w:line="360" w:lineRule="auto"/>
        <w:ind w:firstLine="480" w:firstLineChars="200"/>
        <w:jc w:val="left"/>
        <w:textAlignment w:val="auto"/>
        <w:rPr>
          <w:rFonts w:hint="default" w:ascii="宋体" w:hAnsi="宋体" w:eastAsia="宋体" w:cs="宋体"/>
          <w:sz w:val="24"/>
          <w:highlight w:val="none"/>
          <w:lang w:val="en-US" w:eastAsia="zh-CN"/>
        </w:rPr>
      </w:pPr>
      <w:r>
        <w:rPr>
          <w:rFonts w:hint="eastAsia" w:ascii="宋体" w:hAnsi="宋体" w:eastAsia="宋体" w:cs="宋体"/>
          <w:bCs/>
          <w:sz w:val="24"/>
          <w:highlight w:val="none"/>
        </w:rPr>
        <w:t>1.合同价款：</w:t>
      </w:r>
      <w:r>
        <w:rPr>
          <w:rFonts w:hint="eastAsia" w:ascii="宋体" w:hAnsi="宋体" w:eastAsia="宋体" w:cs="宋体"/>
          <w:sz w:val="24"/>
          <w:highlight w:val="none"/>
        </w:rPr>
        <w:t>合同为固定</w:t>
      </w:r>
      <w:r>
        <w:rPr>
          <w:rFonts w:hint="eastAsia" w:ascii="宋体" w:hAnsi="宋体" w:eastAsia="宋体" w:cs="宋体"/>
          <w:sz w:val="24"/>
          <w:highlight w:val="none"/>
          <w:lang w:eastAsia="zh-CN"/>
        </w:rPr>
        <w:t>总</w:t>
      </w:r>
      <w:r>
        <w:rPr>
          <w:rFonts w:hint="eastAsia" w:ascii="宋体" w:hAnsi="宋体" w:eastAsia="宋体" w:cs="宋体"/>
          <w:sz w:val="24"/>
          <w:highlight w:val="none"/>
        </w:rPr>
        <w:t>价合同</w:t>
      </w:r>
      <w:r>
        <w:rPr>
          <w:rFonts w:hint="eastAsia" w:ascii="宋体" w:hAnsi="宋体" w:eastAsia="宋体" w:cs="宋体"/>
          <w:sz w:val="24"/>
          <w:highlight w:val="none"/>
          <w:lang w:eastAsia="zh-CN"/>
        </w:rPr>
        <w:t>。合同</w:t>
      </w:r>
      <w:r>
        <w:rPr>
          <w:rFonts w:hint="eastAsia" w:ascii="宋体" w:hAnsi="宋体" w:cs="宋体"/>
          <w:sz w:val="24"/>
          <w:highlight w:val="none"/>
          <w:lang w:val="en-US" w:eastAsia="zh-CN"/>
        </w:rPr>
        <w:t>价款</w:t>
      </w:r>
      <w:r>
        <w:rPr>
          <w:rFonts w:hint="eastAsia" w:ascii="宋体" w:hAnsi="宋体" w:eastAsia="宋体" w:cs="宋体"/>
          <w:sz w:val="24"/>
          <w:highlight w:val="none"/>
          <w:lang w:eastAsia="zh-CN"/>
        </w:rPr>
        <w:t>包括为完成本项目要求的全部服务内容的所有费用，</w:t>
      </w:r>
      <w:r>
        <w:rPr>
          <w:rFonts w:hint="eastAsia" w:ascii="宋体" w:hAnsi="宋体" w:cs="宋体"/>
          <w:sz w:val="24"/>
          <w:highlight w:val="none"/>
          <w:lang w:val="en-US" w:eastAsia="zh-CN"/>
        </w:rPr>
        <w:t>甲方</w:t>
      </w:r>
      <w:r>
        <w:rPr>
          <w:rFonts w:hint="eastAsia" w:ascii="宋体" w:hAnsi="宋体" w:eastAsia="宋体" w:cs="宋体"/>
          <w:sz w:val="24"/>
          <w:highlight w:val="none"/>
          <w:lang w:eastAsia="zh-CN"/>
        </w:rPr>
        <w:t>不再另行支付合同价以外的其他任何费用</w:t>
      </w:r>
      <w:r>
        <w:rPr>
          <w:rFonts w:hint="eastAsia" w:ascii="宋体" w:hAnsi="宋体" w:cs="宋体"/>
          <w:sz w:val="24"/>
          <w:highlight w:val="none"/>
          <w:lang w:eastAsia="zh-CN"/>
        </w:rPr>
        <w:t>。</w:t>
      </w:r>
      <w:r>
        <w:rPr>
          <w:rFonts w:hint="eastAsia" w:ascii="宋体" w:hAnsi="宋体" w:eastAsia="宋体" w:cs="宋体"/>
          <w:sz w:val="24"/>
          <w:highlight w:val="none"/>
          <w:lang w:eastAsia="zh-CN"/>
        </w:rPr>
        <w:t>合同总价一次性包死，不受市场价格变化因素的影</w:t>
      </w:r>
      <w:r>
        <w:rPr>
          <w:rFonts w:hint="eastAsia" w:ascii="宋体" w:hAnsi="宋体" w:cs="宋体"/>
          <w:sz w:val="24"/>
          <w:highlight w:val="none"/>
          <w:lang w:val="en-US" w:eastAsia="zh-CN"/>
        </w:rPr>
        <w:t>响。</w:t>
      </w:r>
    </w:p>
    <w:p w14:paraId="2A0B9233">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szCs w:val="24"/>
          <w:highlight w:val="none"/>
        </w:rPr>
        <w:t>合同总价款</w:t>
      </w:r>
      <w:r>
        <w:rPr>
          <w:rFonts w:hint="eastAsia" w:ascii="宋体" w:hAnsi="宋体" w:eastAsia="宋体" w:cs="宋体"/>
          <w:sz w:val="24"/>
          <w:highlight w:val="none"/>
        </w:rPr>
        <w:t>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元，（小写）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p>
    <w:p w14:paraId="2CDA4B31">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2.</w:t>
      </w:r>
      <w:r>
        <w:rPr>
          <w:rFonts w:hint="eastAsia" w:ascii="宋体" w:hAnsi="宋体" w:eastAsia="宋体" w:cs="宋体"/>
          <w:bCs/>
          <w:sz w:val="24"/>
          <w:highlight w:val="none"/>
        </w:rPr>
        <w:t>付款方式：</w:t>
      </w:r>
    </w:p>
    <w:p w14:paraId="5FEF6B3E">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bCs/>
          <w:sz w:val="24"/>
          <w:highlight w:val="none"/>
        </w:rPr>
      </w:pPr>
      <w:r>
        <w:rPr>
          <w:rFonts w:hint="eastAsia" w:ascii="宋体" w:hAnsi="宋体" w:eastAsia="宋体" w:cs="宋体"/>
          <w:bCs/>
          <w:sz w:val="24"/>
          <w:highlight w:val="none"/>
        </w:rPr>
        <w:t>（1）合同签订后10日内，支付合同总金额的 40.00%</w:t>
      </w:r>
      <w:r>
        <w:rPr>
          <w:rFonts w:hint="eastAsia" w:ascii="宋体" w:hAnsi="宋体" w:cs="宋体"/>
          <w:bCs/>
          <w:sz w:val="24"/>
          <w:highlight w:val="none"/>
          <w:lang w:eastAsia="zh-CN"/>
        </w:rPr>
        <w:t>；服务期满后，乙方根据合同约定向甲方提供服务计划书和监测对标服务报告，经甲方审核确认后10日内，支付合同总价款的60.00%</w:t>
      </w:r>
      <w:r>
        <w:rPr>
          <w:rFonts w:hint="eastAsia" w:ascii="宋体" w:hAnsi="宋体" w:eastAsia="宋体" w:cs="宋体"/>
          <w:bCs/>
          <w:sz w:val="24"/>
          <w:highlight w:val="none"/>
        </w:rPr>
        <w:t>。</w:t>
      </w:r>
    </w:p>
    <w:p w14:paraId="2A41EBC3">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bCs/>
          <w:sz w:val="24"/>
          <w:highlight w:val="none"/>
        </w:rPr>
      </w:pPr>
      <w:r>
        <w:rPr>
          <w:rFonts w:hint="eastAsia" w:ascii="宋体" w:hAnsi="宋体" w:eastAsia="宋体" w:cs="宋体"/>
          <w:bCs/>
          <w:sz w:val="24"/>
          <w:highlight w:val="none"/>
        </w:rPr>
        <w:t>（2）满足付款条件的情况下，乙方应向甲方出具书面付款通知（注明开户行及账户信息）以及符合国家财税规定的增值税发票，否则甲方有权延迟履行付款义务。如因乙方缘故（如开具增值税发票延误等）导致甲方无法按时付款，甲方不承担违约责任。</w:t>
      </w:r>
    </w:p>
    <w:p w14:paraId="6B979B28">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bCs/>
          <w:sz w:val="24"/>
          <w:highlight w:val="none"/>
        </w:rPr>
      </w:pPr>
      <w:r>
        <w:rPr>
          <w:rFonts w:hint="eastAsia" w:ascii="宋体" w:hAnsi="宋体" w:eastAsia="宋体" w:cs="宋体"/>
          <w:bCs/>
          <w:sz w:val="24"/>
          <w:highlight w:val="none"/>
        </w:rPr>
        <w:t>（3）结算方式：银行转账。</w:t>
      </w:r>
    </w:p>
    <w:p w14:paraId="7F2D150F">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3.乙方开户银行指定账户为：</w:t>
      </w:r>
    </w:p>
    <w:p w14:paraId="6BE49480">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收款人：</w:t>
      </w:r>
    </w:p>
    <w:p w14:paraId="38B5F0F4">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开户行：</w:t>
      </w:r>
    </w:p>
    <w:p w14:paraId="11AE0BE4">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账号：</w:t>
      </w:r>
    </w:p>
    <w:p w14:paraId="406F14D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4.甲方付款前，乙方应向甲方开具正式等额发票，否则甲方有权延迟履行付款义务。</w:t>
      </w:r>
    </w:p>
    <w:p w14:paraId="79ABDC93">
      <w:pPr>
        <w:keepNext w:val="0"/>
        <w:keepLines w:val="0"/>
        <w:pageBreakBefore w:val="0"/>
        <w:kinsoku/>
        <w:wordWrap/>
        <w:topLinePunct w:val="0"/>
        <w:bidi w:val="0"/>
        <w:snapToGrid/>
        <w:spacing w:line="360" w:lineRule="auto"/>
        <w:textAlignment w:val="auto"/>
        <w:rPr>
          <w:rFonts w:hint="eastAsia" w:ascii="宋体" w:hAnsi="宋体" w:eastAsia="宋体" w:cs="宋体"/>
          <w:b/>
          <w:sz w:val="24"/>
          <w:highlight w:val="none"/>
        </w:rPr>
      </w:pPr>
      <w:r>
        <w:rPr>
          <w:rFonts w:hint="eastAsia" w:ascii="宋体" w:hAnsi="宋体" w:eastAsia="宋体" w:cs="宋体"/>
          <w:b/>
          <w:sz w:val="24"/>
          <w:highlight w:val="none"/>
          <w:lang w:val="en-US" w:eastAsia="zh-CN"/>
        </w:rPr>
        <w:t>四、</w:t>
      </w:r>
      <w:r>
        <w:rPr>
          <w:rFonts w:hint="eastAsia" w:ascii="宋体" w:hAnsi="宋体" w:eastAsia="宋体" w:cs="宋体"/>
          <w:b/>
          <w:sz w:val="24"/>
          <w:highlight w:val="none"/>
        </w:rPr>
        <w:t>乙方：</w:t>
      </w:r>
      <w:r>
        <w:rPr>
          <w:rFonts w:hint="eastAsia" w:ascii="宋体" w:hAnsi="宋体" w:eastAsia="宋体" w:cs="宋体"/>
          <w:bCs/>
          <w:sz w:val="24"/>
          <w:highlight w:val="none"/>
        </w:rPr>
        <w:t>本项目拟派</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为负责人，联系电话：</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，身份证号：</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w:t>
      </w:r>
    </w:p>
    <w:p w14:paraId="4A29685B">
      <w:pPr>
        <w:pStyle w:val="3"/>
        <w:keepNext w:val="0"/>
        <w:keepLines w:val="0"/>
        <w:pageBreakBefore w:val="0"/>
        <w:kinsoku/>
        <w:wordWrap/>
        <w:topLinePunct w:val="0"/>
        <w:bidi w:val="0"/>
        <w:snapToGrid/>
        <w:spacing w:line="360" w:lineRule="auto"/>
        <w:textAlignment w:val="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五、甲方的主要责任和权利</w:t>
      </w:r>
    </w:p>
    <w:p w14:paraId="788BDFB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1.乙方在为甲方提供服务时所形成的成果及成果的知识产权归甲方所有。</w:t>
      </w:r>
    </w:p>
    <w:p w14:paraId="246C367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2.甲方有权随时了解乙方的工作进展情况，并对经费使用进行监督检查。</w:t>
      </w:r>
    </w:p>
    <w:p w14:paraId="2B7101D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3.甲方将向乙方提供为完成服务工作所需要的信息、资料和其他相关协助。</w:t>
      </w:r>
    </w:p>
    <w:p w14:paraId="4CEA352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4.甲方若认为乙方履行合同不力严重影响项目服务质量，甲方有权要求更换乙方主要人员，直至终止合同。</w:t>
      </w:r>
    </w:p>
    <w:p w14:paraId="3885676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5.甲方支持乙方的工作，按合同保证乙方责任和权力的统一。</w:t>
      </w:r>
    </w:p>
    <w:p w14:paraId="3D37084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6.甲方有权阐述对具体问题的意见和建议。</w:t>
      </w:r>
    </w:p>
    <w:p w14:paraId="0C0FBF5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7.甲方有权根据项目的具体情况，要求乙方按期到项目现场解决争议。</w:t>
      </w:r>
    </w:p>
    <w:p w14:paraId="707FECB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8.甲方有权对服务质量进行评估，若服务评估结果不合格，甲方有权扣除不超过10%的合同金额或终止合同。</w:t>
      </w:r>
    </w:p>
    <w:p w14:paraId="48611740">
      <w:pPr>
        <w:keepNext w:val="0"/>
        <w:keepLines w:val="0"/>
        <w:pageBreakBefore w:val="0"/>
        <w:kinsoku/>
        <w:wordWrap/>
        <w:topLinePunct w:val="0"/>
        <w:bidi w:val="0"/>
        <w:snapToGrid/>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六、乙方的主要责任和权利</w:t>
      </w:r>
    </w:p>
    <w:p w14:paraId="366D86C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1.乙方必须具有履行本合同书所需的技能，必须按照相关的职业准则完成其全部职责。</w:t>
      </w:r>
    </w:p>
    <w:p w14:paraId="45ADAED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2.乙方应根据本合同的约定提交相关文件、资料。</w:t>
      </w:r>
    </w:p>
    <w:p w14:paraId="72CBE25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.对甲方提供的基础资料、数据、信息等严格保密。</w:t>
      </w:r>
    </w:p>
    <w:p w14:paraId="2623D84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.解答甲方提出的与项目有关的询问，接受甲方监督和检查，无条件按照甲方要求对成果报告进行整改和完善。</w:t>
      </w:r>
    </w:p>
    <w:p w14:paraId="536A556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5</w:t>
      </w:r>
      <w:r>
        <w:rPr>
          <w:rFonts w:hint="eastAsia" w:ascii="宋体" w:hAnsi="宋体" w:eastAsia="宋体" w:cs="宋体"/>
          <w:sz w:val="24"/>
          <w:highlight w:val="none"/>
        </w:rPr>
        <w:t>.乙方应根据本合同的约定提供服务并提交工作成果，确保所提交成果的实用质量，具有可借鉴、可操作性。</w:t>
      </w:r>
    </w:p>
    <w:p w14:paraId="50FB4F2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6</w:t>
      </w:r>
      <w:r>
        <w:rPr>
          <w:rFonts w:hint="eastAsia" w:ascii="宋体" w:hAnsi="宋体" w:eastAsia="宋体" w:cs="宋体"/>
          <w:sz w:val="24"/>
          <w:highlight w:val="none"/>
        </w:rPr>
        <w:t>.乙方人员服务期中发生任何安全问题均与甲方无关，乙方应确保项目人员均购买人身保险，参与高空作业人员必须具备高处作业证并购买相关保险。</w:t>
      </w:r>
    </w:p>
    <w:p w14:paraId="00599E56">
      <w:pPr>
        <w:pStyle w:val="6"/>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highlight w:val="none"/>
          <w:lang w:val="en-US" w:eastAsia="zh-CN"/>
        </w:rPr>
      </w:pPr>
      <w:r>
        <w:rPr>
          <w:rFonts w:hint="eastAsia" w:ascii="宋体" w:hAnsi="宋体" w:eastAsia="宋体" w:cs="宋体"/>
          <w:b/>
          <w:highlight w:val="none"/>
          <w:lang w:val="en-US" w:eastAsia="zh-CN"/>
        </w:rPr>
        <w:t>七、</w:t>
      </w:r>
      <w:r>
        <w:rPr>
          <w:rFonts w:hint="eastAsia" w:ascii="宋体" w:hAnsi="宋体" w:eastAsia="宋体" w:cs="宋体"/>
          <w:b/>
          <w:highlight w:val="none"/>
          <w:lang w:val="zh-CN" w:eastAsia="zh-CN"/>
        </w:rPr>
        <w:t>知识产权</w:t>
      </w:r>
    </w:p>
    <w:p w14:paraId="1F20252E">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6835E81C">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2.若乙方在为甲方提供服务时侵犯了第三人的权利，致使甲方受到索赔或起诉，由此给甲方造成的一切损失由乙方承担，同时甲方有权解除合同，同时乙方及时消除不良影响。</w:t>
      </w:r>
    </w:p>
    <w:p w14:paraId="7DFFE5C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
          <w:highlight w:val="none"/>
          <w:lang w:val="en-US" w:eastAsia="zh-CN"/>
        </w:rPr>
      </w:pPr>
      <w:r>
        <w:rPr>
          <w:rFonts w:hint="eastAsia" w:ascii="宋体" w:hAnsi="宋体" w:eastAsia="宋体" w:cs="宋体"/>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472906F1">
      <w:pPr>
        <w:pStyle w:val="6"/>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highlight w:val="none"/>
          <w:lang w:val="en-US" w:eastAsia="zh-CN"/>
        </w:rPr>
        <w:t>八、</w:t>
      </w:r>
      <w:r>
        <w:rPr>
          <w:rFonts w:hint="eastAsia" w:ascii="宋体" w:hAnsi="宋体" w:eastAsia="宋体" w:cs="宋体"/>
          <w:b/>
          <w:bCs/>
          <w:kern w:val="2"/>
          <w:sz w:val="24"/>
          <w:szCs w:val="24"/>
          <w:highlight w:val="none"/>
          <w:lang w:val="en-US" w:eastAsia="zh-CN" w:bidi="ar-SA"/>
        </w:rPr>
        <w:t>验收</w:t>
      </w:r>
    </w:p>
    <w:p w14:paraId="540BB2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验收时间：项目完成后</w:t>
      </w:r>
    </w:p>
    <w:p w14:paraId="794661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质量标准：</w:t>
      </w:r>
      <w:r>
        <w:rPr>
          <w:rFonts w:hint="eastAsia" w:ascii="宋体" w:hAnsi="宋体" w:eastAsia="宋体" w:cs="宋体"/>
          <w:sz w:val="24"/>
          <w:highlight w:val="none"/>
        </w:rPr>
        <w:t>符合国家有关现行规范、标准的要求</w:t>
      </w:r>
      <w:r>
        <w:rPr>
          <w:rFonts w:hint="eastAsia" w:ascii="宋体" w:hAnsi="宋体" w:eastAsia="宋体" w:cs="宋体"/>
          <w:kern w:val="2"/>
          <w:sz w:val="24"/>
          <w:szCs w:val="24"/>
          <w:highlight w:val="none"/>
          <w:lang w:val="en-US" w:eastAsia="zh-CN" w:bidi="ar-SA"/>
        </w:rPr>
        <w:t>。</w:t>
      </w:r>
    </w:p>
    <w:p w14:paraId="7D9791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验收合格条件：符合国家标准和技术规格书及合同要求，符合竞争性磋商文件、澄清文件</w:t>
      </w:r>
      <w:r>
        <w:rPr>
          <w:rFonts w:hint="eastAsia" w:ascii="宋体"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成交供应商的磋商</w:t>
      </w:r>
      <w:r>
        <w:rPr>
          <w:rFonts w:hint="eastAsia" w:ascii="宋体" w:hAnsi="宋体" w:cs="宋体"/>
          <w:kern w:val="2"/>
          <w:sz w:val="24"/>
          <w:szCs w:val="24"/>
          <w:highlight w:val="none"/>
          <w:lang w:val="en-US" w:eastAsia="zh-CN" w:bidi="ar-SA"/>
        </w:rPr>
        <w:t>响应</w:t>
      </w:r>
      <w:r>
        <w:rPr>
          <w:rFonts w:hint="eastAsia" w:ascii="宋体" w:hAnsi="宋体" w:eastAsia="宋体" w:cs="宋体"/>
          <w:kern w:val="2"/>
          <w:sz w:val="24"/>
          <w:szCs w:val="24"/>
          <w:highlight w:val="none"/>
          <w:lang w:val="en-US" w:eastAsia="zh-CN" w:bidi="ar-SA"/>
        </w:rPr>
        <w:t>文件</w:t>
      </w:r>
      <w:r>
        <w:rPr>
          <w:rFonts w:hint="eastAsia" w:ascii="宋体"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成交通知书的要求</w:t>
      </w:r>
      <w:r>
        <w:rPr>
          <w:rFonts w:hint="eastAsia" w:ascii="宋体" w:hAnsi="宋体" w:cs="宋体"/>
          <w:kern w:val="2"/>
          <w:sz w:val="24"/>
          <w:szCs w:val="24"/>
          <w:highlight w:val="none"/>
          <w:lang w:val="en-US" w:eastAsia="zh-CN" w:bidi="ar-SA"/>
        </w:rPr>
        <w:t>及签订的合同</w:t>
      </w:r>
      <w:r>
        <w:rPr>
          <w:rFonts w:hint="eastAsia" w:ascii="宋体" w:hAnsi="宋体" w:eastAsia="宋体" w:cs="宋体"/>
          <w:kern w:val="2"/>
          <w:sz w:val="24"/>
          <w:szCs w:val="24"/>
          <w:highlight w:val="none"/>
          <w:lang w:val="en-US" w:eastAsia="zh-CN" w:bidi="ar-SA"/>
        </w:rPr>
        <w:t>等,乙方应严格按照上述及采购人要求实施项目服务，甲方有权对乙方服务质量进行评估，当乙方出现较为严重的服务质量问题时，从乙方服务费中扣除合同总价的10%。</w:t>
      </w:r>
    </w:p>
    <w:p w14:paraId="1D32911B">
      <w:pPr>
        <w:pStyle w:val="3"/>
        <w:keepNext w:val="0"/>
        <w:keepLines w:val="0"/>
        <w:pageBreakBefore w:val="0"/>
        <w:kinsoku/>
        <w:wordWrap/>
        <w:topLinePunct w:val="0"/>
        <w:bidi w:val="0"/>
        <w:snapToGrid/>
        <w:spacing w:line="360" w:lineRule="auto"/>
        <w:ind w:left="0" w:leftChars="0"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注：乙方应保证交付的成果文件已参照已有的相关规划，并遵循中华人民共和国及地方的有关法律规范，并符合本项目</w:t>
      </w:r>
      <w:r>
        <w:rPr>
          <w:rFonts w:hint="eastAsia" w:ascii="宋体" w:hAnsi="宋体" w:eastAsia="宋体" w:cs="宋体"/>
          <w:sz w:val="24"/>
          <w:szCs w:val="24"/>
          <w:highlight w:val="none"/>
          <w:lang w:eastAsia="zh-CN"/>
        </w:rPr>
        <w:t>服务</w:t>
      </w:r>
      <w:r>
        <w:rPr>
          <w:rFonts w:hint="eastAsia" w:ascii="宋体" w:hAnsi="宋体" w:eastAsia="宋体" w:cs="宋体"/>
          <w:sz w:val="24"/>
          <w:szCs w:val="24"/>
          <w:highlight w:val="none"/>
        </w:rPr>
        <w:t>要求。</w:t>
      </w:r>
    </w:p>
    <w:p w14:paraId="498D32E4">
      <w:pPr>
        <w:pStyle w:val="6"/>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highlight w:val="none"/>
          <w:lang w:val="zh-CN" w:eastAsia="zh-CN"/>
        </w:rPr>
      </w:pPr>
      <w:r>
        <w:rPr>
          <w:rFonts w:hint="eastAsia" w:ascii="宋体" w:hAnsi="宋体" w:eastAsia="宋体" w:cs="宋体"/>
          <w:b/>
          <w:highlight w:val="none"/>
          <w:lang w:val="en-US" w:eastAsia="zh-CN"/>
        </w:rPr>
        <w:t>九</w:t>
      </w:r>
      <w:r>
        <w:rPr>
          <w:rFonts w:hint="eastAsia" w:ascii="宋体" w:hAnsi="宋体" w:eastAsia="宋体" w:cs="宋体"/>
          <w:b/>
          <w:highlight w:val="none"/>
          <w:lang w:val="zh-CN" w:eastAsia="zh-CN"/>
        </w:rPr>
        <w:t>、保密</w:t>
      </w:r>
    </w:p>
    <w:p w14:paraId="286FEC50">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1.在本合同的履行期内，乙方获得与本项目相关的信息（包括获得的资料及成果等），应当采取适当有效的方式保护，不得未经授权使用、传播或公开。</w:t>
      </w:r>
    </w:p>
    <w:p w14:paraId="47B4B9D3">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0880EE6E">
      <w:pPr>
        <w:pStyle w:val="7"/>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sz w:val="24"/>
          <w:highlight w:val="none"/>
        </w:rPr>
      </w:pPr>
      <w:r>
        <w:rPr>
          <w:rFonts w:hint="eastAsia" w:ascii="宋体" w:hAnsi="宋体" w:eastAsia="宋体" w:cs="宋体"/>
          <w:b/>
          <w:bCs/>
          <w:sz w:val="24"/>
          <w:highlight w:val="none"/>
          <w:lang w:val="en-US" w:eastAsia="zh-CN"/>
        </w:rPr>
        <w:t>十</w:t>
      </w:r>
      <w:r>
        <w:rPr>
          <w:rFonts w:hint="eastAsia" w:ascii="宋体" w:hAnsi="宋体" w:eastAsia="宋体" w:cs="宋体"/>
          <w:b/>
          <w:bCs/>
          <w:sz w:val="24"/>
          <w:highlight w:val="none"/>
        </w:rPr>
        <w:t>、不可抗力</w:t>
      </w:r>
    </w:p>
    <w:p w14:paraId="7738B6F4">
      <w:pPr>
        <w:pStyle w:val="7"/>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sz w:val="24"/>
          <w:highlight w:val="none"/>
        </w:rPr>
      </w:pPr>
      <w:r>
        <w:rPr>
          <w:rFonts w:hint="eastAsia" w:ascii="宋体" w:hAnsi="宋体" w:eastAsia="宋体" w:cs="宋体"/>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5ABD1D0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2.遭受不可抗力一方应在不可抗力事故发生后尽快以书面形式通知另一方；并在事故发生后</w:t>
      </w:r>
      <w:r>
        <w:rPr>
          <w:rFonts w:hint="eastAsia" w:ascii="宋体" w:hAnsi="宋体" w:eastAsia="宋体" w:cs="宋体"/>
          <w:sz w:val="24"/>
          <w:highlight w:val="none"/>
          <w:u w:val="single"/>
        </w:rPr>
        <w:t>十（10）</w:t>
      </w:r>
      <w:r>
        <w:rPr>
          <w:rFonts w:hint="eastAsia" w:ascii="宋体" w:hAnsi="宋体" w:eastAsia="宋体" w:cs="宋体"/>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sz w:val="24"/>
          <w:highlight w:val="none"/>
          <w:u w:val="single"/>
        </w:rPr>
        <w:t>二十（20）</w:t>
      </w:r>
      <w:r>
        <w:rPr>
          <w:rFonts w:hint="eastAsia" w:ascii="宋体" w:hAnsi="宋体" w:eastAsia="宋体" w:cs="宋体"/>
          <w:sz w:val="24"/>
          <w:highlight w:val="none"/>
        </w:rPr>
        <w:t>个日历日以上，双方应通过友好协商在合理的时间内达成进一步履行合同或终止合同的协议。</w:t>
      </w:r>
    </w:p>
    <w:p w14:paraId="2AC2840E">
      <w:pPr>
        <w:keepNext w:val="0"/>
        <w:keepLines w:val="0"/>
        <w:pageBreakBefore w:val="0"/>
        <w:kinsoku/>
        <w:wordWrap/>
        <w:topLinePunct w:val="0"/>
        <w:bidi w:val="0"/>
        <w:snapToGrid/>
        <w:spacing w:line="360" w:lineRule="auto"/>
        <w:textAlignment w:val="auto"/>
        <w:rPr>
          <w:rFonts w:hint="eastAsia" w:ascii="宋体" w:hAnsi="宋体" w:eastAsia="宋体" w:cs="宋体"/>
          <w:b/>
          <w:bCs/>
          <w:sz w:val="24"/>
          <w:highlight w:val="none"/>
        </w:rPr>
      </w:pPr>
      <w:r>
        <w:rPr>
          <w:rFonts w:hint="eastAsia" w:ascii="宋体" w:hAnsi="宋体" w:eastAsia="宋体" w:cs="宋体"/>
          <w:b/>
          <w:bCs/>
          <w:sz w:val="24"/>
          <w:highlight w:val="none"/>
          <w:lang w:val="en-US" w:eastAsia="zh-CN"/>
        </w:rPr>
        <w:t>十一</w:t>
      </w:r>
      <w:r>
        <w:rPr>
          <w:rFonts w:hint="eastAsia" w:ascii="宋体" w:hAnsi="宋体" w:eastAsia="宋体" w:cs="宋体"/>
          <w:b/>
          <w:bCs/>
          <w:sz w:val="24"/>
          <w:highlight w:val="none"/>
        </w:rPr>
        <w:t>、税费</w:t>
      </w:r>
    </w:p>
    <w:p w14:paraId="24ADE6A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1.中国政府根据现行税法对乙方征收的与本合同有关的一切税费均由乙方负担。</w:t>
      </w:r>
    </w:p>
    <w:p w14:paraId="37A4855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2.在中国境外发生的与本合同执行有关的一切税费均由乙方负担。</w:t>
      </w:r>
    </w:p>
    <w:p w14:paraId="48FE783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3.中国政府依据现行税法对甲方征收的与本合同有关的一切税费均由甲方负担。</w:t>
      </w:r>
    </w:p>
    <w:p w14:paraId="2FF5D279">
      <w:pPr>
        <w:keepNext w:val="0"/>
        <w:keepLines w:val="0"/>
        <w:pageBreakBefore w:val="0"/>
        <w:kinsoku/>
        <w:wordWrap/>
        <w:topLinePunct w:val="0"/>
        <w:bidi w:val="0"/>
        <w:snapToGrid/>
        <w:spacing w:line="360" w:lineRule="auto"/>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十</w:t>
      </w:r>
      <w:r>
        <w:rPr>
          <w:rFonts w:hint="eastAsia" w:ascii="宋体" w:hAnsi="宋体" w:eastAsia="宋体" w:cs="宋体"/>
          <w:b/>
          <w:bCs/>
          <w:sz w:val="24"/>
          <w:highlight w:val="none"/>
          <w:lang w:val="en-US" w:eastAsia="zh-CN"/>
        </w:rPr>
        <w:t>二</w:t>
      </w:r>
      <w:r>
        <w:rPr>
          <w:rFonts w:hint="eastAsia" w:ascii="宋体" w:hAnsi="宋体" w:eastAsia="宋体" w:cs="宋体"/>
          <w:b/>
          <w:bCs/>
          <w:sz w:val="24"/>
          <w:highlight w:val="none"/>
        </w:rPr>
        <w:t>、破产终止合同</w:t>
      </w:r>
    </w:p>
    <w:p w14:paraId="19E9D03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当乙方破产或无供货（或提供服务）能力时，甲方可在任何时候以书面形式通知乙方单方解除合同；并且该终止合同不损害或不影响甲方已采取或将采取补救措施的权利。</w:t>
      </w:r>
    </w:p>
    <w:p w14:paraId="46935574">
      <w:pPr>
        <w:keepNext w:val="0"/>
        <w:keepLines w:val="0"/>
        <w:pageBreakBefore w:val="0"/>
        <w:kinsoku/>
        <w:wordWrap/>
        <w:topLinePunct w:val="0"/>
        <w:bidi w:val="0"/>
        <w:snapToGrid/>
        <w:spacing w:line="360" w:lineRule="auto"/>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十</w:t>
      </w:r>
      <w:r>
        <w:rPr>
          <w:rFonts w:hint="eastAsia" w:ascii="宋体" w:hAnsi="宋体" w:eastAsia="宋体" w:cs="宋体"/>
          <w:b/>
          <w:bCs/>
          <w:sz w:val="24"/>
          <w:highlight w:val="none"/>
          <w:lang w:val="en-US" w:eastAsia="zh-CN"/>
        </w:rPr>
        <w:t>三</w:t>
      </w:r>
      <w:r>
        <w:rPr>
          <w:rFonts w:hint="eastAsia" w:ascii="宋体" w:hAnsi="宋体" w:eastAsia="宋体" w:cs="宋体"/>
          <w:b/>
          <w:bCs/>
          <w:sz w:val="24"/>
          <w:highlight w:val="none"/>
        </w:rPr>
        <w:t>、转让</w:t>
      </w:r>
    </w:p>
    <w:p w14:paraId="4B29AA1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未经甲方事先书面同意，乙方不得部分转让或全部转让其应履行的合同义务。乙方擅自转让自身合同义务，甲方有权单方解除合同，并要求乙方赔偿因此产生</w:t>
      </w:r>
    </w:p>
    <w:p w14:paraId="34BE232A">
      <w:pPr>
        <w:keepNext w:val="0"/>
        <w:keepLines w:val="0"/>
        <w:pageBreakBefore w:val="0"/>
        <w:kinsoku/>
        <w:wordWrap/>
        <w:topLinePunct w:val="0"/>
        <w:bidi w:val="0"/>
        <w:snapToGrid/>
        <w:spacing w:line="360" w:lineRule="auto"/>
        <w:textAlignment w:val="auto"/>
        <w:rPr>
          <w:rFonts w:hint="eastAsia" w:ascii="宋体" w:hAnsi="宋体" w:eastAsia="宋体" w:cs="宋体"/>
          <w:b/>
          <w:bCs/>
          <w:sz w:val="24"/>
          <w:highlight w:val="none"/>
          <w:lang w:val="zh-CN"/>
        </w:rPr>
      </w:pPr>
      <w:r>
        <w:rPr>
          <w:rFonts w:hint="eastAsia" w:ascii="宋体" w:hAnsi="宋体" w:eastAsia="宋体" w:cs="宋体"/>
          <w:b/>
          <w:bCs/>
          <w:sz w:val="24"/>
          <w:highlight w:val="none"/>
          <w:lang w:val="zh-CN"/>
        </w:rPr>
        <w:t>十</w:t>
      </w:r>
      <w:r>
        <w:rPr>
          <w:rFonts w:hint="eastAsia" w:ascii="宋体" w:hAnsi="宋体" w:eastAsia="宋体" w:cs="宋体"/>
          <w:b/>
          <w:bCs/>
          <w:sz w:val="24"/>
          <w:highlight w:val="none"/>
          <w:lang w:val="en-US" w:eastAsia="zh-CN"/>
        </w:rPr>
        <w:t>四</w:t>
      </w:r>
      <w:r>
        <w:rPr>
          <w:rFonts w:hint="eastAsia" w:ascii="宋体" w:hAnsi="宋体" w:eastAsia="宋体" w:cs="宋体"/>
          <w:b/>
          <w:bCs/>
          <w:sz w:val="24"/>
          <w:highlight w:val="none"/>
          <w:lang w:val="zh-CN"/>
        </w:rPr>
        <w:t>、违约责任</w:t>
      </w:r>
    </w:p>
    <w:p w14:paraId="6EAF4314">
      <w:pPr>
        <w:pStyle w:val="6"/>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1.按《中华人民共和国民法典》中的相关条款执行。</w:t>
      </w:r>
    </w:p>
    <w:p w14:paraId="05BBAEE0">
      <w:pPr>
        <w:pStyle w:val="6"/>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eastAsia="zh-CN"/>
        </w:rPr>
        <w:t>2.未按合同或招标书要求提供服务，质量不能满足采购</w:t>
      </w:r>
      <w:r>
        <w:rPr>
          <w:rFonts w:hint="eastAsia" w:ascii="宋体" w:hAnsi="宋体" w:cs="宋体"/>
          <w:highlight w:val="none"/>
          <w:lang w:val="en-US" w:eastAsia="zh-CN"/>
        </w:rPr>
        <w:t>人</w:t>
      </w:r>
      <w:r>
        <w:rPr>
          <w:rFonts w:hint="eastAsia" w:ascii="宋体" w:hAnsi="宋体" w:eastAsia="宋体" w:cs="宋体"/>
          <w:highlight w:val="none"/>
          <w:lang w:eastAsia="zh-CN"/>
        </w:rPr>
        <w:t>技术要求，采购</w:t>
      </w:r>
      <w:r>
        <w:rPr>
          <w:rFonts w:hint="eastAsia" w:ascii="宋体" w:hAnsi="宋体" w:cs="宋体"/>
          <w:highlight w:val="none"/>
          <w:lang w:val="en-US" w:eastAsia="zh-CN"/>
        </w:rPr>
        <w:t>人</w:t>
      </w:r>
      <w:r>
        <w:rPr>
          <w:rFonts w:hint="eastAsia" w:ascii="宋体" w:hAnsi="宋体" w:eastAsia="宋体" w:cs="宋体"/>
          <w:highlight w:val="none"/>
          <w:lang w:eastAsia="zh-CN"/>
        </w:rPr>
        <w:t>有权要求供应商限期整改，</w:t>
      </w:r>
      <w:r>
        <w:rPr>
          <w:rFonts w:hint="eastAsia" w:ascii="宋体" w:hAnsi="宋体" w:cs="宋体"/>
          <w:highlight w:val="none"/>
          <w:lang w:val="en-US" w:eastAsia="zh-CN"/>
        </w:rPr>
        <w:t>整改后</w:t>
      </w:r>
      <w:r>
        <w:rPr>
          <w:rFonts w:hint="eastAsia" w:ascii="宋体" w:hAnsi="宋体" w:eastAsia="宋体" w:cs="宋体"/>
          <w:highlight w:val="none"/>
          <w:lang w:eastAsia="zh-CN"/>
        </w:rPr>
        <w:t>仍不满足要求的，采购人有权解除合同，并按本阶段合同总价款的20%收取供应商违约金。</w:t>
      </w:r>
    </w:p>
    <w:p w14:paraId="7CF0ECAF">
      <w:pPr>
        <w:pStyle w:val="6"/>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3.乙方由于自身过错，延误按本合同规定的服务成果交付时间，每延误一天，应减收本合同总额的2‰作为延误违约金。</w:t>
      </w:r>
    </w:p>
    <w:p w14:paraId="169D3D5A">
      <w:pPr>
        <w:keepNext w:val="0"/>
        <w:keepLines w:val="0"/>
        <w:pageBreakBefore w:val="0"/>
        <w:kinsoku/>
        <w:wordWrap/>
        <w:topLinePunct w:val="0"/>
        <w:bidi w:val="0"/>
        <w:snapToGrid/>
        <w:spacing w:line="360" w:lineRule="auto"/>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十</w:t>
      </w:r>
      <w:r>
        <w:rPr>
          <w:rFonts w:hint="eastAsia" w:ascii="宋体" w:hAnsi="宋体" w:eastAsia="宋体" w:cs="宋体"/>
          <w:b/>
          <w:bCs/>
          <w:sz w:val="24"/>
          <w:highlight w:val="none"/>
          <w:lang w:val="en-US" w:eastAsia="zh-CN"/>
        </w:rPr>
        <w:t>五</w:t>
      </w:r>
      <w:r>
        <w:rPr>
          <w:rFonts w:hint="eastAsia" w:ascii="宋体" w:hAnsi="宋体" w:eastAsia="宋体" w:cs="宋体"/>
          <w:b/>
          <w:bCs/>
          <w:sz w:val="24"/>
          <w:highlight w:val="none"/>
        </w:rPr>
        <w:t>、合同争议和解决办法</w:t>
      </w:r>
    </w:p>
    <w:p w14:paraId="1E9A2F4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585712D2">
      <w:pPr>
        <w:keepNext w:val="0"/>
        <w:keepLines w:val="0"/>
        <w:pageBreakBefore w:val="0"/>
        <w:kinsoku/>
        <w:wordWrap/>
        <w:topLinePunct w:val="0"/>
        <w:bidi w:val="0"/>
        <w:snapToGrid/>
        <w:spacing w:line="360" w:lineRule="auto"/>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十</w:t>
      </w:r>
      <w:r>
        <w:rPr>
          <w:rFonts w:hint="eastAsia" w:ascii="宋体" w:hAnsi="宋体" w:eastAsia="宋体" w:cs="宋体"/>
          <w:b/>
          <w:bCs/>
          <w:sz w:val="24"/>
          <w:highlight w:val="none"/>
          <w:lang w:val="en-US" w:eastAsia="zh-CN"/>
        </w:rPr>
        <w:t>六</w:t>
      </w:r>
      <w:r>
        <w:rPr>
          <w:rFonts w:hint="eastAsia" w:ascii="宋体" w:hAnsi="宋体" w:eastAsia="宋体" w:cs="宋体"/>
          <w:b/>
          <w:bCs/>
          <w:sz w:val="24"/>
          <w:highlight w:val="none"/>
        </w:rPr>
        <w:t>、其他事项</w:t>
      </w:r>
    </w:p>
    <w:p w14:paraId="3FF3D5F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 w:val="0"/>
          <w:bCs w:val="0"/>
          <w:color w:val="000000"/>
          <w:kern w:val="0"/>
          <w:sz w:val="24"/>
          <w:szCs w:val="24"/>
          <w:lang w:val="en-US" w:eastAsia="zh-CN"/>
        </w:rPr>
      </w:pPr>
      <w:r>
        <w:rPr>
          <w:rFonts w:hint="eastAsia" w:ascii="宋体" w:hAnsi="宋体" w:eastAsia="宋体" w:cs="宋体"/>
          <w:sz w:val="24"/>
          <w:highlight w:val="none"/>
        </w:rPr>
        <w:t>1.</w:t>
      </w:r>
      <w:r>
        <w:rPr>
          <w:rFonts w:hint="eastAsia" w:ascii="宋体" w:hAnsi="宋体" w:eastAsia="宋体" w:cs="宋体"/>
          <w:b w:val="0"/>
          <w:bCs w:val="0"/>
          <w:color w:val="000000"/>
          <w:kern w:val="0"/>
          <w:sz w:val="24"/>
          <w:szCs w:val="24"/>
          <w:lang w:val="en-US" w:eastAsia="zh-CN"/>
        </w:rPr>
        <w:t>采购人需追加与合同标的相同的货物、工程或者服务的，在不改变合同其他条款的前提下，可以与供应商协商签订补充合同，但所有补充合同的采购金额不得超过原合同采购金额的百分之十。</w:t>
      </w:r>
    </w:p>
    <w:p w14:paraId="70E7966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rPr>
      </w:pPr>
      <w:r>
        <w:rPr>
          <w:rFonts w:hint="eastAsia" w:ascii="宋体" w:hAnsi="宋体" w:eastAsia="宋体" w:cs="宋体"/>
          <w:b w:val="0"/>
          <w:bCs w:val="0"/>
          <w:color w:val="000000"/>
          <w:kern w:val="0"/>
          <w:sz w:val="24"/>
          <w:szCs w:val="24"/>
          <w:lang w:val="en-US" w:eastAsia="zh-CN"/>
        </w:rPr>
        <w:t>2.</w:t>
      </w:r>
      <w:r>
        <w:rPr>
          <w:rFonts w:hint="eastAsia" w:ascii="宋体" w:hAnsi="宋体" w:eastAsia="宋体" w:cs="宋体"/>
          <w:sz w:val="24"/>
          <w:highlight w:val="none"/>
        </w:rPr>
        <w:t>未尽事宜，双方协商解决。在本合同履行过程中将双方达成的书面补充协议是本合同不可分割的组成部分，与本合同具有同等效力。</w:t>
      </w:r>
    </w:p>
    <w:p w14:paraId="4263136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.本合同正本一式</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份，副本一式</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份，均以中文书写，在双方代表签字盖章后生效，甲方执正本</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份、副本</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份；乙方执正本</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份，副本</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份；政府采购管理部门备案副本一份，均具有同等法律效力。</w:t>
      </w:r>
    </w:p>
    <w:p w14:paraId="711C083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.本合同自双方签字盖章之日起生效，合同执行完毕自动失效（合同的服务承诺长期有效）。</w:t>
      </w:r>
    </w:p>
    <w:p w14:paraId="03C9CCA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p>
    <w:p w14:paraId="62845E0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p>
    <w:p w14:paraId="074F700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（此页无正文）</w:t>
      </w:r>
    </w:p>
    <w:p w14:paraId="0700313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p>
    <w:tbl>
      <w:tblPr>
        <w:tblStyle w:val="4"/>
        <w:tblpPr w:leftFromText="180" w:rightFromText="180" w:vertAnchor="text" w:horzAnchor="page" w:tblpX="1714" w:tblpY="303"/>
        <w:tblOverlap w:val="never"/>
        <w:tblW w:w="0" w:type="auto"/>
        <w:jc w:val="center"/>
        <w:tblLayout w:type="fixed"/>
        <w:tblCellMar>
          <w:top w:w="0" w:type="dxa"/>
          <w:left w:w="108" w:type="dxa"/>
          <w:bottom w:w="0" w:type="dxa"/>
          <w:right w:w="108" w:type="dxa"/>
        </w:tblCellMar>
      </w:tblPr>
      <w:tblGrid>
        <w:gridCol w:w="4201"/>
        <w:gridCol w:w="4202"/>
      </w:tblGrid>
      <w:tr w14:paraId="0BA2EA42">
        <w:tblPrEx>
          <w:tblCellMar>
            <w:top w:w="0" w:type="dxa"/>
            <w:left w:w="108" w:type="dxa"/>
            <w:bottom w:w="0" w:type="dxa"/>
            <w:right w:w="108" w:type="dxa"/>
          </w:tblCellMar>
        </w:tblPrEx>
        <w:trPr>
          <w:trHeight w:val="484" w:hRule="exact"/>
          <w:jc w:val="center"/>
        </w:trPr>
        <w:tc>
          <w:tcPr>
            <w:tcW w:w="4201" w:type="dxa"/>
            <w:noWrap w:val="0"/>
            <w:vAlign w:val="center"/>
          </w:tcPr>
          <w:p w14:paraId="01DA71A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甲方</w:t>
            </w:r>
          </w:p>
        </w:tc>
        <w:tc>
          <w:tcPr>
            <w:tcW w:w="4202" w:type="dxa"/>
            <w:noWrap w:val="0"/>
            <w:vAlign w:val="center"/>
          </w:tcPr>
          <w:p w14:paraId="0DB8367B">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乙方</w:t>
            </w:r>
          </w:p>
        </w:tc>
      </w:tr>
      <w:tr w14:paraId="44FD8990">
        <w:tblPrEx>
          <w:tblCellMar>
            <w:top w:w="0" w:type="dxa"/>
            <w:left w:w="108" w:type="dxa"/>
            <w:bottom w:w="0" w:type="dxa"/>
            <w:right w:w="108" w:type="dxa"/>
          </w:tblCellMar>
        </w:tblPrEx>
        <w:trPr>
          <w:trHeight w:val="467" w:hRule="exact"/>
          <w:jc w:val="center"/>
        </w:trPr>
        <w:tc>
          <w:tcPr>
            <w:tcW w:w="4201" w:type="dxa"/>
            <w:noWrap w:val="0"/>
            <w:vAlign w:val="center"/>
          </w:tcPr>
          <w:p w14:paraId="73276A4B">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（盖章）</w:t>
            </w:r>
          </w:p>
        </w:tc>
        <w:tc>
          <w:tcPr>
            <w:tcW w:w="4202" w:type="dxa"/>
            <w:noWrap w:val="0"/>
            <w:vAlign w:val="center"/>
          </w:tcPr>
          <w:p w14:paraId="69BF631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（盖章）</w:t>
            </w:r>
          </w:p>
        </w:tc>
      </w:tr>
      <w:tr w14:paraId="22D561A3">
        <w:tblPrEx>
          <w:tblCellMar>
            <w:top w:w="0" w:type="dxa"/>
            <w:left w:w="108" w:type="dxa"/>
            <w:bottom w:w="0" w:type="dxa"/>
            <w:right w:w="108" w:type="dxa"/>
          </w:tblCellMar>
        </w:tblPrEx>
        <w:trPr>
          <w:trHeight w:val="501" w:hRule="exact"/>
          <w:jc w:val="center"/>
        </w:trPr>
        <w:tc>
          <w:tcPr>
            <w:tcW w:w="4201" w:type="dxa"/>
            <w:noWrap w:val="0"/>
            <w:vAlign w:val="center"/>
          </w:tcPr>
          <w:p w14:paraId="1A5D0D2E">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地址：</w:t>
            </w:r>
          </w:p>
        </w:tc>
        <w:tc>
          <w:tcPr>
            <w:tcW w:w="4202" w:type="dxa"/>
            <w:noWrap w:val="0"/>
            <w:vAlign w:val="center"/>
          </w:tcPr>
          <w:p w14:paraId="3E6AB52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地址：</w:t>
            </w:r>
          </w:p>
        </w:tc>
      </w:tr>
      <w:tr w14:paraId="3109C961">
        <w:tblPrEx>
          <w:tblCellMar>
            <w:top w:w="0" w:type="dxa"/>
            <w:left w:w="108" w:type="dxa"/>
            <w:bottom w:w="0" w:type="dxa"/>
            <w:right w:w="108" w:type="dxa"/>
          </w:tblCellMar>
        </w:tblPrEx>
        <w:trPr>
          <w:trHeight w:val="450" w:hRule="exact"/>
          <w:jc w:val="center"/>
        </w:trPr>
        <w:tc>
          <w:tcPr>
            <w:tcW w:w="4201" w:type="dxa"/>
            <w:noWrap w:val="0"/>
            <w:vAlign w:val="center"/>
          </w:tcPr>
          <w:p w14:paraId="23389DA4">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邮编：</w:t>
            </w:r>
          </w:p>
        </w:tc>
        <w:tc>
          <w:tcPr>
            <w:tcW w:w="4202" w:type="dxa"/>
            <w:noWrap w:val="0"/>
            <w:vAlign w:val="center"/>
          </w:tcPr>
          <w:p w14:paraId="48973A09">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邮编：</w:t>
            </w:r>
          </w:p>
        </w:tc>
      </w:tr>
      <w:tr w14:paraId="00B68D27">
        <w:tblPrEx>
          <w:tblCellMar>
            <w:top w:w="0" w:type="dxa"/>
            <w:left w:w="108" w:type="dxa"/>
            <w:bottom w:w="0" w:type="dxa"/>
            <w:right w:w="108" w:type="dxa"/>
          </w:tblCellMar>
        </w:tblPrEx>
        <w:trPr>
          <w:trHeight w:val="533" w:hRule="exact"/>
          <w:jc w:val="center"/>
        </w:trPr>
        <w:tc>
          <w:tcPr>
            <w:tcW w:w="4201" w:type="dxa"/>
            <w:noWrap w:val="0"/>
            <w:vAlign w:val="center"/>
          </w:tcPr>
          <w:p w14:paraId="53890EB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法定代表人：</w:t>
            </w:r>
          </w:p>
        </w:tc>
        <w:tc>
          <w:tcPr>
            <w:tcW w:w="4202" w:type="dxa"/>
            <w:noWrap w:val="0"/>
            <w:vAlign w:val="center"/>
          </w:tcPr>
          <w:p w14:paraId="1BE1F3B2">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法定代表人：</w:t>
            </w:r>
          </w:p>
        </w:tc>
      </w:tr>
      <w:tr w14:paraId="13D59064">
        <w:tblPrEx>
          <w:tblCellMar>
            <w:top w:w="0" w:type="dxa"/>
            <w:left w:w="108" w:type="dxa"/>
            <w:bottom w:w="0" w:type="dxa"/>
            <w:right w:w="108" w:type="dxa"/>
          </w:tblCellMar>
        </w:tblPrEx>
        <w:trPr>
          <w:trHeight w:val="533" w:hRule="exact"/>
          <w:jc w:val="center"/>
        </w:trPr>
        <w:tc>
          <w:tcPr>
            <w:tcW w:w="4201" w:type="dxa"/>
            <w:noWrap w:val="0"/>
            <w:vAlign w:val="center"/>
          </w:tcPr>
          <w:p w14:paraId="30D95A6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委托代理人：</w:t>
            </w:r>
          </w:p>
        </w:tc>
        <w:tc>
          <w:tcPr>
            <w:tcW w:w="4202" w:type="dxa"/>
            <w:noWrap w:val="0"/>
            <w:vAlign w:val="center"/>
          </w:tcPr>
          <w:p w14:paraId="1E24A40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委托代理人：</w:t>
            </w:r>
          </w:p>
        </w:tc>
      </w:tr>
      <w:tr w14:paraId="1DB4CBDD">
        <w:tblPrEx>
          <w:tblCellMar>
            <w:top w:w="0" w:type="dxa"/>
            <w:left w:w="108" w:type="dxa"/>
            <w:bottom w:w="0" w:type="dxa"/>
            <w:right w:w="108" w:type="dxa"/>
          </w:tblCellMar>
        </w:tblPrEx>
        <w:trPr>
          <w:trHeight w:val="500" w:hRule="exact"/>
          <w:jc w:val="center"/>
        </w:trPr>
        <w:tc>
          <w:tcPr>
            <w:tcW w:w="4201" w:type="dxa"/>
            <w:noWrap w:val="0"/>
            <w:vAlign w:val="center"/>
          </w:tcPr>
          <w:p w14:paraId="4EEF9FAC">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w:t>
            </w:r>
          </w:p>
        </w:tc>
        <w:tc>
          <w:tcPr>
            <w:tcW w:w="4202" w:type="dxa"/>
            <w:noWrap w:val="0"/>
            <w:vAlign w:val="center"/>
          </w:tcPr>
          <w:p w14:paraId="38D2D5FD">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w:t>
            </w:r>
          </w:p>
        </w:tc>
      </w:tr>
      <w:tr w14:paraId="59B0DBCC">
        <w:tblPrEx>
          <w:tblCellMar>
            <w:top w:w="0" w:type="dxa"/>
            <w:left w:w="108" w:type="dxa"/>
            <w:bottom w:w="0" w:type="dxa"/>
            <w:right w:w="108" w:type="dxa"/>
          </w:tblCellMar>
        </w:tblPrEx>
        <w:trPr>
          <w:trHeight w:val="467" w:hRule="exact"/>
          <w:jc w:val="center"/>
        </w:trPr>
        <w:tc>
          <w:tcPr>
            <w:tcW w:w="4201" w:type="dxa"/>
            <w:noWrap w:val="0"/>
            <w:vAlign w:val="center"/>
          </w:tcPr>
          <w:p w14:paraId="06021A8E">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传真：</w:t>
            </w:r>
          </w:p>
        </w:tc>
        <w:tc>
          <w:tcPr>
            <w:tcW w:w="4202" w:type="dxa"/>
            <w:noWrap w:val="0"/>
            <w:vAlign w:val="center"/>
          </w:tcPr>
          <w:p w14:paraId="02EEEEB1">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传真：</w:t>
            </w:r>
          </w:p>
        </w:tc>
      </w:tr>
      <w:tr w14:paraId="1B5785E1">
        <w:tblPrEx>
          <w:tblCellMar>
            <w:top w:w="0" w:type="dxa"/>
            <w:left w:w="108" w:type="dxa"/>
            <w:bottom w:w="0" w:type="dxa"/>
            <w:right w:w="108" w:type="dxa"/>
          </w:tblCellMar>
        </w:tblPrEx>
        <w:trPr>
          <w:trHeight w:val="567" w:hRule="exact"/>
          <w:jc w:val="center"/>
        </w:trPr>
        <w:tc>
          <w:tcPr>
            <w:tcW w:w="4201" w:type="dxa"/>
            <w:noWrap w:val="0"/>
            <w:vAlign w:val="center"/>
          </w:tcPr>
          <w:p w14:paraId="31F16524">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w:t>
            </w:r>
          </w:p>
        </w:tc>
        <w:tc>
          <w:tcPr>
            <w:tcW w:w="4202" w:type="dxa"/>
            <w:noWrap w:val="0"/>
            <w:vAlign w:val="center"/>
          </w:tcPr>
          <w:p w14:paraId="1F92996E">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w:t>
            </w:r>
          </w:p>
        </w:tc>
      </w:tr>
      <w:tr w14:paraId="40A08E71">
        <w:tblPrEx>
          <w:tblCellMar>
            <w:top w:w="0" w:type="dxa"/>
            <w:left w:w="108" w:type="dxa"/>
            <w:bottom w:w="0" w:type="dxa"/>
            <w:right w:w="108" w:type="dxa"/>
          </w:tblCellMar>
        </w:tblPrEx>
        <w:trPr>
          <w:trHeight w:val="567" w:hRule="exact"/>
          <w:jc w:val="center"/>
        </w:trPr>
        <w:tc>
          <w:tcPr>
            <w:tcW w:w="4201" w:type="dxa"/>
            <w:noWrap w:val="0"/>
            <w:vAlign w:val="center"/>
          </w:tcPr>
          <w:p w14:paraId="14A359A7">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日期：</w:t>
            </w:r>
          </w:p>
        </w:tc>
        <w:tc>
          <w:tcPr>
            <w:tcW w:w="4202" w:type="dxa"/>
            <w:noWrap w:val="0"/>
            <w:vAlign w:val="center"/>
          </w:tcPr>
          <w:p w14:paraId="2A72330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日期：</w:t>
            </w:r>
          </w:p>
        </w:tc>
      </w:tr>
    </w:tbl>
    <w:p w14:paraId="3F1D837E">
      <w:pPr>
        <w:pStyle w:val="8"/>
        <w:rPr>
          <w:rFonts w:hint="default"/>
        </w:rPr>
      </w:pPr>
    </w:p>
    <w:p w14:paraId="727B5F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490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b/>
      <w:sz w:val="28"/>
    </w:rPr>
  </w:style>
  <w:style w:type="paragraph" w:styleId="3">
    <w:name w:val="Plain Text"/>
    <w:basedOn w:val="1"/>
    <w:next w:val="1"/>
    <w:qFormat/>
    <w:uiPriority w:val="0"/>
    <w:rPr>
      <w:rFonts w:ascii="宋体" w:hAnsi="Courier New" w:cs="Courier New"/>
      <w:szCs w:val="21"/>
    </w:rPr>
  </w:style>
  <w:style w:type="paragraph" w:styleId="6">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7">
    <w:name w:val="列出段落1"/>
    <w:basedOn w:val="1"/>
    <w:qFormat/>
    <w:uiPriority w:val="99"/>
    <w:pPr>
      <w:spacing w:line="240" w:lineRule="auto"/>
      <w:ind w:firstLine="420" w:firstLineChars="200"/>
    </w:p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2025-12-12T09:38:39Z</dcterms:created>
  <dc:creator>1</dc:creator>
  <cp:lastModifiedBy>娜儿</cp:lastModifiedBy>
  <dcterms:modified xsi:type="dcterms:W3CDTF">2025-12-12T09:38:58Z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eyJoZGlkIjoiNzNhNzEzOGQ0OTMwMzU5NDA5ODI3NGY1Mzc3ZGMwZjUiLCJ1c2VySWQiOiI1MDU3OTE2NzgifQ==</vt:lpwstr>
  </property>
  <property fmtid="{D5CDD505-2E9C-101B-9397-08002B2CF9AE}" pid="4" name="ICV">
    <vt:lpwstr>1D480020298B49CE8F7B5751DBBE342B_12</vt:lpwstr>
  </property>
</Properties>
</file>