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版本号：ZHZB-2025-13220251224002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新建教学综合楼五层阶梯教室装修工程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ZHZB-2025-132</w:t>
      </w:r>
      <w:r>
        <w:br/>
      </w:r>
      <w:r>
        <w:br/>
      </w:r>
      <w:r>
        <w:br/>
      </w:r>
    </w:p>
    <w:p>
      <w:pPr>
        <w:pStyle w:val="null3"/>
        <w:jc w:val="center"/>
        <w:outlineLvl w:val="2"/>
      </w:pPr>
      <w:r>
        <w:rPr>
          <w:rFonts w:ascii="仿宋_GB2312" w:hAnsi="仿宋_GB2312" w:cs="仿宋_GB2312" w:eastAsia="仿宋_GB2312"/>
          <w:sz w:val="28"/>
          <w:b/>
        </w:rPr>
        <w:t>西安市第十二中学</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西安市第十二中学</w:t>
      </w:r>
      <w:r>
        <w:rPr>
          <w:rFonts w:ascii="仿宋_GB2312" w:hAnsi="仿宋_GB2312" w:cs="仿宋_GB2312" w:eastAsia="仿宋_GB2312"/>
        </w:rPr>
        <w:t>委托，拟对</w:t>
      </w:r>
      <w:r>
        <w:rPr>
          <w:rFonts w:ascii="仿宋_GB2312" w:hAnsi="仿宋_GB2312" w:cs="仿宋_GB2312" w:eastAsia="仿宋_GB2312"/>
        </w:rPr>
        <w:t>新建教学综合楼五层阶梯教室装修工程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ZHZB-2025-132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新建教学综合楼五层阶梯教室装修工程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综合楼五层阶梯教室内墙、顶、地等装饰,强弱电改造,钢结构阶梯地台及钢结构主席台,音响、监控及消防疏散灯,新增空调、电子屏等。具体详见工程量清单。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采购包1（新建教学综合楼五层阶梯教室装修工程）：属于专门面向中小企业采购。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1、企业资质：供应商应具备建筑装修装饰工程专业承包二级及以上资质，且具有有效的安全生产许可证。</w:t>
      </w:r>
    </w:p>
    <w:p>
      <w:pPr>
        <w:pStyle w:val="null3"/>
      </w:pPr>
      <w:r>
        <w:rPr>
          <w:rFonts w:ascii="仿宋_GB2312" w:hAnsi="仿宋_GB2312" w:cs="仿宋_GB2312" w:eastAsia="仿宋_GB2312"/>
        </w:rPr>
        <w:t>2、拟派项目经理：拟派项目经理须具备建筑工程专业二级及以上注册建造师证书及安全生产考核合格证（B 证），在本单位注册，以及无不良信用记录和无在建工程的项目经理。</w:t>
      </w:r>
    </w:p>
    <w:p>
      <w:pPr>
        <w:pStyle w:val="null3"/>
      </w:pPr>
      <w:r>
        <w:rPr>
          <w:rFonts w:ascii="仿宋_GB2312" w:hAnsi="仿宋_GB2312" w:cs="仿宋_GB2312" w:eastAsia="仿宋_GB2312"/>
        </w:rPr>
        <w:t>3、法定代表人授权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4、基本信息查询：供应商基本信息及项目经理的基本信息在“陕西省住房和城乡建设厅(http://js.shaanxi.gov.cn/)”或“全国建筑市场监管公共服务平台(https://jzsc.mohurd.gov.cn/)”可查询登记备案网页截屏资料。</w:t>
      </w:r>
    </w:p>
    <w:p>
      <w:pPr>
        <w:pStyle w:val="null3"/>
      </w:pPr>
      <w:r>
        <w:rPr>
          <w:rFonts w:ascii="仿宋_GB2312" w:hAnsi="仿宋_GB2312" w:cs="仿宋_GB2312" w:eastAsia="仿宋_GB2312"/>
        </w:rPr>
        <w:t>5、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西安市第十二中学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西安市碑林区和平门外标新街13号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西安市第十二中学经办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13609197898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张盼、王阿磊、王臻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2.0匹冷暖柜机（空调机）、1.5匹冷暖挂机（空调机）</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发展计划委员会计价格[2002]1980号文件及国家发展和改革委员会办公厅颁发的《关于降低部分建设项目收费标准规范收费行为等有关问题的通知》（发改价格[2011]534号）的规定标准收取。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西安市第十二中学</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西安市第十二中学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西安市第十二中学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符合《绿色建筑和绿色建材政府采购需求标准》《建筑工程施工质量验收统一标准》GB50300- 2013等相关国家及行业标准。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联系人：张盼、王臻、王阿磊</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1,199,500.00</w:t>
      </w:r>
    </w:p>
    <w:p>
      <w:pPr>
        <w:pStyle w:val="null3"/>
      </w:pPr>
      <w:r>
        <w:rPr>
          <w:rFonts w:ascii="仿宋_GB2312" w:hAnsi="仿宋_GB2312" w:cs="仿宋_GB2312" w:eastAsia="仿宋_GB2312"/>
        </w:rPr>
        <w:t>采购包最高限价（元）: 1,114,358.31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新建教学综合楼五层阶梯教室装修工程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1,199,500.00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标的名称：新建教学综合楼五层阶梯教室装修工程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综合楼五层阶梯教室内墙、顶、地等装饰</w:t>
            </w:r>
            <w:r>
              <w:rPr>
                <w:rFonts w:ascii="仿宋_GB2312" w:hAnsi="仿宋_GB2312" w:cs="仿宋_GB2312" w:eastAsia="仿宋_GB2312"/>
                <w:sz w:val="21"/>
              </w:rPr>
              <w:t>,强弱电改造,钢结构阶梯地台及钢结构主席台,音响、监控及消防疏散灯,新增空调、电子屏等。</w:t>
            </w:r>
          </w:p>
          <w:p>
            <w:pPr>
              <w:pStyle w:val="null3"/>
              <w:jc w:val="both"/>
            </w:pPr>
            <w:r>
              <w:rPr>
                <w:rFonts w:ascii="仿宋_GB2312" w:hAnsi="仿宋_GB2312" w:cs="仿宋_GB2312" w:eastAsia="仿宋_GB2312"/>
                <w:sz w:val="21"/>
              </w:rPr>
              <w:t>二、工程内容和施工地点、计划工期、缺陷责任期、质量保修期</w:t>
            </w:r>
          </w:p>
          <w:p>
            <w:pPr>
              <w:pStyle w:val="null3"/>
              <w:jc w:val="both"/>
            </w:pPr>
            <w:r>
              <w:rPr>
                <w:rFonts w:ascii="仿宋_GB2312" w:hAnsi="仿宋_GB2312" w:cs="仿宋_GB2312" w:eastAsia="仿宋_GB2312"/>
                <w:sz w:val="21"/>
              </w:rPr>
              <w:t>（一）工程内容：该项目主要施工范围：（</w:t>
            </w:r>
            <w:r>
              <w:rPr>
                <w:rFonts w:ascii="仿宋_GB2312" w:hAnsi="仿宋_GB2312" w:cs="仿宋_GB2312" w:eastAsia="仿宋_GB2312"/>
                <w:sz w:val="21"/>
              </w:rPr>
              <w:t>1）装饰工程（2）电气工程（3）消防电工程 （4）弱电工程</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（二）工程地点：西安市第十二中学。</w:t>
            </w:r>
          </w:p>
          <w:p>
            <w:pPr>
              <w:pStyle w:val="null3"/>
              <w:jc w:val="both"/>
            </w:pPr>
            <w:r>
              <w:rPr>
                <w:rFonts w:ascii="仿宋_GB2312" w:hAnsi="仿宋_GB2312" w:cs="仿宋_GB2312" w:eastAsia="仿宋_GB2312"/>
                <w:sz w:val="21"/>
              </w:rPr>
              <w:t>（三）计划工期：合同签订之日起</w:t>
            </w:r>
            <w:r>
              <w:rPr>
                <w:rFonts w:ascii="仿宋_GB2312" w:hAnsi="仿宋_GB2312" w:cs="仿宋_GB2312" w:eastAsia="仿宋_GB2312"/>
                <w:sz w:val="21"/>
              </w:rPr>
              <w:t>45个日历日内。</w:t>
            </w:r>
          </w:p>
          <w:p>
            <w:pPr>
              <w:pStyle w:val="null3"/>
              <w:jc w:val="both"/>
            </w:pPr>
            <w:r>
              <w:rPr>
                <w:rFonts w:ascii="仿宋_GB2312" w:hAnsi="仿宋_GB2312" w:cs="仿宋_GB2312" w:eastAsia="仿宋_GB2312"/>
                <w:sz w:val="21"/>
              </w:rPr>
              <w:t>（四）缺陷责任期：</w:t>
            </w:r>
            <w:r>
              <w:rPr>
                <w:rFonts w:ascii="仿宋_GB2312" w:hAnsi="仿宋_GB2312" w:cs="仿宋_GB2312" w:eastAsia="仿宋_GB2312"/>
                <w:sz w:val="21"/>
              </w:rPr>
              <w:t>2年。</w:t>
            </w:r>
          </w:p>
          <w:p>
            <w:pPr>
              <w:pStyle w:val="null3"/>
              <w:jc w:val="both"/>
            </w:pPr>
            <w:r>
              <w:rPr>
                <w:rFonts w:ascii="仿宋_GB2312" w:hAnsi="仿宋_GB2312" w:cs="仿宋_GB2312" w:eastAsia="仿宋_GB2312"/>
                <w:sz w:val="21"/>
              </w:rPr>
              <w:t>（五）质量保修期：</w:t>
            </w:r>
            <w:r>
              <w:rPr>
                <w:rFonts w:ascii="仿宋_GB2312" w:hAnsi="仿宋_GB2312" w:cs="仿宋_GB2312" w:eastAsia="仿宋_GB2312"/>
                <w:sz w:val="21"/>
              </w:rPr>
              <w:t>2年。</w:t>
            </w:r>
          </w:p>
          <w:p>
            <w:pPr>
              <w:pStyle w:val="null3"/>
              <w:jc w:val="both"/>
            </w:pPr>
            <w:r>
              <w:rPr>
                <w:rFonts w:ascii="仿宋_GB2312" w:hAnsi="仿宋_GB2312" w:cs="仿宋_GB2312" w:eastAsia="仿宋_GB2312"/>
                <w:sz w:val="21"/>
              </w:rPr>
              <w:t>工程量清单和编制依据</w:t>
            </w:r>
          </w:p>
          <w:p>
            <w:pPr>
              <w:pStyle w:val="null3"/>
              <w:jc w:val="both"/>
            </w:pPr>
            <w:r>
              <w:rPr>
                <w:rFonts w:ascii="仿宋_GB2312" w:hAnsi="仿宋_GB2312" w:cs="仿宋_GB2312" w:eastAsia="仿宋_GB2312"/>
                <w:sz w:val="21"/>
              </w:rPr>
              <w:t>(一)编制依据：</w:t>
            </w:r>
          </w:p>
          <w:p>
            <w:pPr>
              <w:pStyle w:val="null3"/>
              <w:jc w:val="both"/>
            </w:pPr>
            <w:r>
              <w:rPr>
                <w:rFonts w:ascii="仿宋_GB2312" w:hAnsi="仿宋_GB2312" w:cs="仿宋_GB2312" w:eastAsia="仿宋_GB2312"/>
                <w:sz w:val="21"/>
              </w:rPr>
              <w:t>1、新建教学综合楼五层阶梯教室装修工程施工图；</w:t>
            </w:r>
          </w:p>
          <w:p>
            <w:pPr>
              <w:pStyle w:val="null3"/>
              <w:jc w:val="both"/>
            </w:pPr>
            <w:r>
              <w:rPr>
                <w:rFonts w:ascii="仿宋_GB2312" w:hAnsi="仿宋_GB2312" w:cs="仿宋_GB2312" w:eastAsia="仿宋_GB2312"/>
                <w:sz w:val="21"/>
              </w:rPr>
              <w:t>2、陕西省建设工程工程量清单计价标准及计算标准(2025)、陕西省建设工程费用规则(2025)、陕西省房屋建筑与装饰工程基价表(2025)、陕西省通用安装工程基价表(2025)、陕西省市政工程基价表(2025)、陕西省园林绿化工程基价表(2025)、陕西省城市地下综合管廊工程基价表(2025)、陕西省绿色建筑工程基价表(2025)、陕西省房屋建筑与装饰工程消耗量定额(2025)、陕西省通用安装工程消耗量定额(2025)、陕西省市政工程消耗量定额(2025)、陕西省园林绿化工程消耗量定额(2025)、陕西省城市地下综合管廊工程消耗量定额(2025)、陕西省绿色建筑工程消耗量定额(2025)、陕西省建设工程施工机械台班费用定额(2025)、陕西省建设工程施工仪器仪表台班费用定额(2025)及其他相关计价依据和办法；</w:t>
            </w:r>
          </w:p>
          <w:p>
            <w:pPr>
              <w:pStyle w:val="null3"/>
              <w:jc w:val="both"/>
            </w:pPr>
            <w:r>
              <w:rPr>
                <w:rFonts w:ascii="仿宋_GB2312" w:hAnsi="仿宋_GB2312" w:cs="仿宋_GB2312" w:eastAsia="仿宋_GB2312"/>
                <w:sz w:val="21"/>
              </w:rPr>
              <w:t>(二)工程量清单</w:t>
            </w:r>
          </w:p>
          <w:p>
            <w:pPr>
              <w:pStyle w:val="null3"/>
              <w:jc w:val="left"/>
            </w:pPr>
            <w:r>
              <w:rPr>
                <w:rFonts w:ascii="仿宋_GB2312" w:hAnsi="仿宋_GB2312" w:cs="仿宋_GB2312" w:eastAsia="仿宋_GB2312"/>
                <w:sz w:val="21"/>
                <w:color w:val="000000"/>
              </w:rPr>
              <w:t>1、详见广联达电子文件招标书。</w:t>
            </w:r>
          </w:p>
          <w:p>
            <w:pPr>
              <w:pStyle w:val="null3"/>
              <w:jc w:val="left"/>
            </w:pPr>
            <w:r>
              <w:rPr>
                <w:rFonts w:ascii="仿宋_GB2312" w:hAnsi="仿宋_GB2312" w:cs="仿宋_GB2312" w:eastAsia="仿宋_GB2312"/>
                <w:sz w:val="21"/>
                <w:color w:val="000000"/>
              </w:rPr>
              <w:t>2、本项目暂列金150000.00元在其他项目费中计取，供应商如不按此费用计入报价，按无效响应处理。</w:t>
            </w:r>
          </w:p>
          <w:p>
            <w:pPr>
              <w:pStyle w:val="null3"/>
              <w:jc w:val="left"/>
            </w:pPr>
            <w:r>
              <w:rPr>
                <w:rFonts w:ascii="仿宋_GB2312" w:hAnsi="仿宋_GB2312" w:cs="仿宋_GB2312" w:eastAsia="仿宋_GB2312"/>
                <w:sz w:val="21"/>
                <w:color w:val="000000"/>
              </w:rPr>
              <w:t>3、计价软件及取费程序执行广联达云计价平台GCCP7.0中的2025清单计价模式，软件版本为7.5000.23.2。</w:t>
            </w:r>
          </w:p>
          <w:p>
            <w:pPr>
              <w:pStyle w:val="null3"/>
              <w:jc w:val="left"/>
            </w:pPr>
            <w:r>
              <w:rPr>
                <w:rFonts w:ascii="仿宋_GB2312" w:hAnsi="仿宋_GB2312" w:cs="仿宋_GB2312" w:eastAsia="仿宋_GB2312"/>
                <w:sz w:val="21"/>
                <w:color w:val="000000"/>
              </w:rPr>
              <w:t>四、施工要求</w:t>
            </w:r>
          </w:p>
          <w:p>
            <w:pPr>
              <w:pStyle w:val="null3"/>
              <w:jc w:val="left"/>
            </w:pPr>
            <w:r>
              <w:rPr>
                <w:rFonts w:ascii="仿宋_GB2312" w:hAnsi="仿宋_GB2312" w:cs="仿宋_GB2312" w:eastAsia="仿宋_GB2312"/>
                <w:sz w:val="21"/>
                <w:color w:val="000000"/>
              </w:rPr>
              <w:t>在施工期间，中标供应商必须注意校内人员安全，加强安全措施，并对施工人员进行安全教育。施工人员必须持证上岗。因采购人工作的特殊性，要求中标供应商在施工中做到封闭性施工。</w:t>
            </w:r>
          </w:p>
          <w:p>
            <w:pPr>
              <w:pStyle w:val="null3"/>
              <w:jc w:val="left"/>
            </w:pPr>
            <w:r>
              <w:rPr>
                <w:rFonts w:ascii="仿宋_GB2312" w:hAnsi="仿宋_GB2312" w:cs="仿宋_GB2312" w:eastAsia="仿宋_GB2312"/>
                <w:sz w:val="21"/>
                <w:color w:val="000000"/>
              </w:rPr>
              <w:t>五、商务要求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1）合同签订后，支付合同总价款（扣除暂列金额）40%作为预付款，竣工结算审计完成后付至审定的结算工程造价的97%，同时，甲方扣留结算总价3%作为质保金。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2）待保修期满后14工作日内，将扣除承包人应承担的维修责任后的余额部分（如有），无息一次性付清。</w:t>
            </w:r>
          </w:p>
          <w:p>
            <w:pPr>
              <w:pStyle w:val="null3"/>
              <w:jc w:val="left"/>
            </w:pPr>
            <w:r>
              <w:rPr>
                <w:rFonts w:ascii="仿宋_GB2312" w:hAnsi="仿宋_GB2312" w:cs="仿宋_GB2312" w:eastAsia="仿宋_GB2312"/>
                <w:sz w:val="21"/>
                <w:color w:val="000000"/>
              </w:rPr>
              <w:t>其他</w:t>
            </w:r>
          </w:p>
          <w:p>
            <w:pPr>
              <w:pStyle w:val="null3"/>
              <w:jc w:val="left"/>
            </w:pPr>
            <w:r>
              <w:rPr>
                <w:rFonts w:ascii="仿宋_GB2312" w:hAnsi="仿宋_GB2312" w:cs="仿宋_GB2312" w:eastAsia="仿宋_GB2312"/>
                <w:sz w:val="21"/>
                <w:color w:val="000000"/>
              </w:rPr>
              <w:t>（一）项目实施要求及质量保证</w:t>
            </w:r>
          </w:p>
          <w:p>
            <w:pPr>
              <w:pStyle w:val="null3"/>
              <w:jc w:val="left"/>
            </w:pPr>
            <w:r>
              <w:rPr>
                <w:rFonts w:ascii="仿宋_GB2312" w:hAnsi="仿宋_GB2312" w:cs="仿宋_GB2312" w:eastAsia="仿宋_GB2312"/>
                <w:sz w:val="21"/>
                <w:color w:val="000000"/>
              </w:rPr>
              <w:t>1、工程实行包工包料，供应商必须具备相应的资质，不得转包、分包。</w:t>
            </w:r>
          </w:p>
          <w:p>
            <w:pPr>
              <w:pStyle w:val="null3"/>
              <w:jc w:val="left"/>
            </w:pPr>
            <w:r>
              <w:rPr>
                <w:rFonts w:ascii="仿宋_GB2312" w:hAnsi="仿宋_GB2312" w:cs="仿宋_GB2312" w:eastAsia="仿宋_GB2312"/>
                <w:sz w:val="21"/>
                <w:color w:val="000000"/>
              </w:rPr>
              <w:t>2、供应商根据工程实际情况编制施工方案，制定工期进度安排表，并随磋商响应文件一并提交。</w:t>
            </w:r>
          </w:p>
          <w:p>
            <w:pPr>
              <w:pStyle w:val="null3"/>
              <w:jc w:val="left"/>
            </w:pPr>
            <w:r>
              <w:rPr>
                <w:rFonts w:ascii="仿宋_GB2312" w:hAnsi="仿宋_GB2312" w:cs="仿宋_GB2312" w:eastAsia="仿宋_GB2312"/>
                <w:sz w:val="21"/>
                <w:color w:val="000000"/>
              </w:rPr>
              <w:t>3、供应商在本工程中的项目负责人(项目经理)，要求技术水平高、组织能力强、有丰富的工程业绩和实践经验，懂管理、善于协调。施工人员中质检员、特殊工程人员要求有上岗证。施工队伍稳定，保证整个 工程顺利完工。</w:t>
            </w:r>
          </w:p>
          <w:p>
            <w:pPr>
              <w:pStyle w:val="null3"/>
              <w:jc w:val="left"/>
            </w:pPr>
            <w:r>
              <w:rPr>
                <w:rFonts w:ascii="仿宋_GB2312" w:hAnsi="仿宋_GB2312" w:cs="仿宋_GB2312" w:eastAsia="仿宋_GB2312"/>
                <w:sz w:val="21"/>
                <w:color w:val="000000"/>
              </w:rPr>
              <w:t>4、施工过程中，严格遵守建设单位的各种管理规定及规章制度，做到文明施工。发生工伤及意外事故由施工单位负责。</w:t>
            </w:r>
          </w:p>
          <w:p>
            <w:pPr>
              <w:pStyle w:val="null3"/>
              <w:jc w:val="left"/>
            </w:pPr>
            <w:r>
              <w:rPr>
                <w:rFonts w:ascii="仿宋_GB2312" w:hAnsi="仿宋_GB2312" w:cs="仿宋_GB2312" w:eastAsia="仿宋_GB2312"/>
                <w:sz w:val="21"/>
                <w:color w:val="000000"/>
              </w:rPr>
              <w:t>5、严格按照国家和省上有关规定施工、规范施工，确保工程合格，如有更改须事先 征得有关方面的同意，并在采购人落实后实施，并出具书面说明。</w:t>
            </w:r>
          </w:p>
          <w:p>
            <w:pPr>
              <w:pStyle w:val="null3"/>
              <w:jc w:val="left"/>
            </w:pPr>
            <w:r>
              <w:rPr>
                <w:rFonts w:ascii="仿宋_GB2312" w:hAnsi="仿宋_GB2312" w:cs="仿宋_GB2312" w:eastAsia="仿宋_GB2312"/>
                <w:sz w:val="21"/>
                <w:color w:val="000000"/>
              </w:rPr>
              <w:t>6、所有进场材料需携带合格证等质量证明文件。由甲方现场代表对所进场材料予以验收并签字确认。</w:t>
            </w:r>
          </w:p>
          <w:p>
            <w:pPr>
              <w:pStyle w:val="null3"/>
              <w:jc w:val="left"/>
            </w:pPr>
            <w:r>
              <w:rPr>
                <w:rFonts w:ascii="仿宋_GB2312" w:hAnsi="仿宋_GB2312" w:cs="仿宋_GB2312" w:eastAsia="仿宋_GB2312"/>
                <w:sz w:val="21"/>
                <w:color w:val="000000"/>
              </w:rPr>
              <w:t>7、施工期间需采取必要措施确保现场正常运行。</w:t>
            </w:r>
          </w:p>
          <w:p>
            <w:pPr>
              <w:pStyle w:val="null3"/>
              <w:jc w:val="left"/>
            </w:pPr>
            <w:r>
              <w:rPr>
                <w:rFonts w:ascii="仿宋_GB2312" w:hAnsi="仿宋_GB2312" w:cs="仿宋_GB2312" w:eastAsia="仿宋_GB2312"/>
                <w:sz w:val="21"/>
                <w:color w:val="000000"/>
              </w:rPr>
              <w:t>8、所有施工人员需统一着装统一单位标识，严禁随意通行。</w:t>
            </w:r>
          </w:p>
          <w:p>
            <w:pPr>
              <w:pStyle w:val="null3"/>
              <w:jc w:val="left"/>
            </w:pPr>
            <w:r>
              <w:rPr>
                <w:rFonts w:ascii="仿宋_GB2312" w:hAnsi="仿宋_GB2312" w:cs="仿宋_GB2312" w:eastAsia="仿宋_GB2312"/>
                <w:sz w:val="21"/>
                <w:color w:val="000000"/>
              </w:rPr>
              <w:t>9、选用的主材、设备、辅材必须国家名优产品，并明确其品牌、规格、型号、产地，并附鉴定证书，</w:t>
            </w:r>
          </w:p>
          <w:p>
            <w:pPr>
              <w:pStyle w:val="null3"/>
              <w:jc w:val="left"/>
            </w:pPr>
            <w:r>
              <w:rPr>
                <w:rFonts w:ascii="仿宋_GB2312" w:hAnsi="仿宋_GB2312" w:cs="仿宋_GB2312" w:eastAsia="仿宋_GB2312"/>
                <w:sz w:val="21"/>
                <w:color w:val="000000"/>
              </w:rPr>
              <w:t>对主要设备材料必须先提交样品，经认质后，方可订货，不得使用未经检验或不合格的设备、材料，若发生此种情况，将追究相关人员责任，并赔偿由此造成的一切经济损失。</w:t>
            </w:r>
          </w:p>
          <w:p>
            <w:pPr>
              <w:pStyle w:val="null3"/>
              <w:jc w:val="left"/>
            </w:pPr>
            <w:r>
              <w:rPr>
                <w:rFonts w:ascii="仿宋_GB2312" w:hAnsi="仿宋_GB2312" w:cs="仿宋_GB2312" w:eastAsia="仿宋_GB2312"/>
                <w:sz w:val="21"/>
                <w:color w:val="000000"/>
              </w:rPr>
              <w:t>10、施工方必须向采购人及时提供合格证及材料检验单。在征得有关方面认可后，方可进行施工，并做 好相应的检验环节。</w:t>
            </w:r>
          </w:p>
          <w:p>
            <w:pPr>
              <w:pStyle w:val="null3"/>
              <w:jc w:val="left"/>
            </w:pPr>
            <w:r>
              <w:rPr>
                <w:rFonts w:ascii="仿宋_GB2312" w:hAnsi="仿宋_GB2312" w:cs="仿宋_GB2312" w:eastAsia="仿宋_GB2312"/>
                <w:sz w:val="21"/>
                <w:color w:val="000000"/>
              </w:rPr>
              <w:t>11、施工方未经采购人同意，不得擅自更换本工程在磋商响应文件中指定的项目施工负责人(项目经理)及施工队伍。不得分包、转包。确需分包时须征得采购人同意。否则将终止合同并按政府采购有关规定进行 处理。</w:t>
            </w:r>
          </w:p>
          <w:p>
            <w:pPr>
              <w:pStyle w:val="null3"/>
              <w:jc w:val="left"/>
            </w:pPr>
            <w:r>
              <w:rPr>
                <w:rFonts w:ascii="仿宋_GB2312" w:hAnsi="仿宋_GB2312" w:cs="仿宋_GB2312" w:eastAsia="仿宋_GB2312"/>
                <w:sz w:val="21"/>
                <w:color w:val="000000"/>
              </w:rPr>
              <w:t>12、质量保证期为各供应商承诺的期限。施工单位的售后服务要完善、可靠、及时，并派遣相关技术人员配合采购人检查、维修。</w:t>
            </w:r>
          </w:p>
          <w:p>
            <w:pPr>
              <w:pStyle w:val="null3"/>
              <w:jc w:val="left"/>
            </w:pPr>
            <w:r>
              <w:rPr>
                <w:rFonts w:ascii="仿宋_GB2312" w:hAnsi="仿宋_GB2312" w:cs="仿宋_GB2312" w:eastAsia="仿宋_GB2312"/>
                <w:sz w:val="21"/>
                <w:color w:val="000000"/>
              </w:rPr>
              <w:t>（二）质量验收标准或规范</w:t>
            </w:r>
          </w:p>
          <w:p>
            <w:pPr>
              <w:pStyle w:val="null3"/>
              <w:jc w:val="left"/>
            </w:pPr>
            <w:r>
              <w:rPr>
                <w:rFonts w:ascii="仿宋_GB2312" w:hAnsi="仿宋_GB2312" w:cs="仿宋_GB2312" w:eastAsia="仿宋_GB2312"/>
                <w:sz w:val="21"/>
                <w:color w:val="000000"/>
              </w:rPr>
              <w:t>供应商针对本项目的施工，必须达到国家及行业现行技术规范标准。</w:t>
            </w:r>
          </w:p>
          <w:p>
            <w:pPr>
              <w:pStyle w:val="null3"/>
              <w:jc w:val="left"/>
            </w:pPr>
            <w:r>
              <w:rPr>
                <w:rFonts w:ascii="仿宋_GB2312" w:hAnsi="仿宋_GB2312" w:cs="仿宋_GB2312" w:eastAsia="仿宋_GB2312"/>
                <w:sz w:val="21"/>
                <w:color w:val="000000"/>
              </w:rPr>
              <w:t>验收合格标准：</w:t>
            </w:r>
          </w:p>
          <w:p>
            <w:pPr>
              <w:pStyle w:val="null3"/>
              <w:jc w:val="left"/>
            </w:pPr>
            <w:r>
              <w:rPr>
                <w:rFonts w:ascii="仿宋_GB2312" w:hAnsi="仿宋_GB2312" w:cs="仿宋_GB2312" w:eastAsia="仿宋_GB2312"/>
                <w:sz w:val="21"/>
                <w:color w:val="000000"/>
              </w:rPr>
              <w:t>符合《绿色建筑和绿色建材政府采购需求标准》《建筑工程施工质量验收统一标准》</w:t>
            </w:r>
            <w:r>
              <w:rPr>
                <w:rFonts w:ascii="仿宋_GB2312" w:hAnsi="仿宋_GB2312" w:cs="仿宋_GB2312" w:eastAsia="仿宋_GB2312"/>
                <w:sz w:val="21"/>
                <w:color w:val="000000"/>
              </w:rPr>
              <w:t>GB50300-2013 等相关国家及行业标准。</w:t>
            </w:r>
          </w:p>
          <w:p>
            <w:pPr>
              <w:pStyle w:val="null3"/>
              <w:jc w:val="left"/>
            </w:pPr>
            <w:r>
              <w:rPr>
                <w:rFonts w:ascii="仿宋_GB2312" w:hAnsi="仿宋_GB2312" w:cs="仿宋_GB2312" w:eastAsia="仿宋_GB2312"/>
                <w:sz w:val="21"/>
                <w:color w:val="000000"/>
              </w:rPr>
              <w:t>本工程的施工过程和成果必须符合国家有关工程建设标准强制性条文和国家或有关部门关于工程施工方面现行的标准、规范、规程、定额、办法、示例，以及陕西省关于工程施工方面的文件、规定。</w:t>
            </w:r>
            <w:r>
              <w:rPr>
                <w:rFonts w:ascii="仿宋_GB2312" w:hAnsi="仿宋_GB2312" w:cs="仿宋_GB2312" w:eastAsia="仿宋_GB2312"/>
                <w:sz w:val="21"/>
                <w:color w:val="000000"/>
              </w:rPr>
              <w:t>承包人在施工过程中使用或参考上述标准、规范以外的技术标准、规范时，应征得业主或业主指定代表人的同意。在施工过程中，如果国家或有关部门颁布了新的技术标准或规范，则承包人应采用新的标准或规</w:t>
            </w:r>
          </w:p>
          <w:p>
            <w:pPr>
              <w:pStyle w:val="null3"/>
              <w:jc w:val="left"/>
            </w:pPr>
            <w:r>
              <w:rPr>
                <w:rFonts w:ascii="仿宋_GB2312" w:hAnsi="仿宋_GB2312" w:cs="仿宋_GB2312" w:eastAsia="仿宋_GB2312"/>
                <w:sz w:val="21"/>
                <w:color w:val="000000"/>
              </w:rPr>
              <w:t>范进行施工。</w:t>
            </w:r>
          </w:p>
          <w:p>
            <w:pPr>
              <w:pStyle w:val="null3"/>
              <w:jc w:val="left"/>
            </w:pPr>
            <w:r>
              <w:rPr>
                <w:rFonts w:ascii="仿宋_GB2312" w:hAnsi="仿宋_GB2312" w:cs="仿宋_GB2312" w:eastAsia="仿宋_GB2312"/>
                <w:sz w:val="21"/>
                <w:color w:val="000000"/>
              </w:rPr>
              <w:t>（三）违约责任</w:t>
            </w:r>
          </w:p>
          <w:p>
            <w:pPr>
              <w:pStyle w:val="null3"/>
              <w:jc w:val="left"/>
            </w:pPr>
            <w:r>
              <w:rPr>
                <w:rFonts w:ascii="仿宋_GB2312" w:hAnsi="仿宋_GB2312" w:cs="仿宋_GB2312" w:eastAsia="仿宋_GB2312"/>
                <w:sz w:val="21"/>
                <w:color w:val="000000"/>
              </w:rPr>
              <w:t>承包人应承担因其违约行为而增加的费用和（或）延误的工期。此外，可在专用合同条款中另行约定承包人违约责任的承担方式。</w:t>
            </w:r>
          </w:p>
          <w:p>
            <w:pPr>
              <w:pStyle w:val="null3"/>
              <w:jc w:val="left"/>
            </w:pPr>
            <w:r>
              <w:rPr>
                <w:rFonts w:ascii="仿宋_GB2312" w:hAnsi="仿宋_GB2312" w:cs="仿宋_GB2312" w:eastAsia="仿宋_GB2312"/>
                <w:sz w:val="21"/>
                <w:color w:val="000000"/>
              </w:rPr>
              <w:t>本项目所属行业：建筑业；划型标准为：营业收入</w:t>
            </w:r>
            <w:r>
              <w:rPr>
                <w:rFonts w:ascii="仿宋_GB2312" w:hAnsi="仿宋_GB2312" w:cs="仿宋_GB2312" w:eastAsia="仿宋_GB2312"/>
                <w:sz w:val="21"/>
                <w:color w:val="000000"/>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ind w:firstLine="560"/>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符合《绿色建筑和绿色建材政府采购需求标准》《建筑工程施工质量验收统一标准》GB50300-2013等相关国家及行业标准。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二、供应商的磋商报价包括施工设备费、人工费、管理费、材料与设备费、安装费、维护费、保险费、税金、利润、政策性规费、风险、责任等完成本项目的所有费用。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主体：供应商的营业执照等证明文件，自然人的身份证明。（2）税收缴纳证明：提供2024年11月至今已缴纳的至少一个月的纳税证明，依法免税的单位应提供相关证明材料。 （3）社会保障资金缴纳证明：提供2024年11月至今已缴存的至少一个月的社会保障资金缴存单据或社保机构开具的社会保 险参保缴费情况证明，依法不需要缴纳社会保障资金的单位应提供相关证明材料。 （4）无重大违法书面声明：提供参加本次政府采购活动前三年内在经营活动中没有重大违法记录的书面声明。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提供2024年度经审计的财务会计报告或其提交响应文件截止时间前6个月内银行出具的资信证明。（以上形式的资料提供任何一种即可） 要求：（1）供应商是企业法人的，应提供2024全年度经审计的财务报告，包括 “四表一注”即《资产负债表》《利润表》《现金流量表》《所有者权益变动表》及其附注，或者提交响应文件截止时间前6个月内其基本账户开户银行出具的资信证明（附基本存款账户信息）；供应商是执行《小企业会计准则》的小微企业的，应提供2024全年度经审计的财务报告，至少包括 《资产负债表》《利润表》《现金流量表》及其附注，或者提交响应文件截止时间前6个月内其基本账户开户银行出具的资信证明（附基本存款账户信息）； （2）供应商是事业单位法人的，应提供2024全年度经审计的财务报告，至少包括《资产负债表》《收入支出表或者收入费用表》《财政补助收入支出表》及其附注，或者提交响应文件截止时间前6个月内其基本账户开户银行出具的资信证明（附基本存款账户信息）； （3）其他组织和自然人，提供提交响应文件截止时间前6个月内银行出具的资信证明（附账户信息）； （4）供应商成立不到1年（至提交响应文件截止时间）的，提供成立后任意时段的资产负债表，或提交响应文件截止时间前6个月内其基本账户开户银行出具的资信证明（附基本存款账户信息）。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拟派项目经理须具备建筑工程专业二级及以上注册建造师证书及安全生产考核合格证（B 证），在本单位注册，以及无不良信用记录和无在建工程的项目经理。</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供应商基本信息及项目经理的基本信息在“陕西省住房和城乡建设厅(http://js.shaanxi.gov.cn/)”或“全国建筑市场监管公共服务平台(https://jzsc.mohurd.gov.cn/)”可查询登记备案网页截屏资料。</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报价函 供应商类似项目业绩一览表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（4）不同供应商的响应文件异常一致或者响应报价呈规律性差异；（5）不同供应商的响应文件相互混装。</w:t>
            </w:r>
          </w:p>
        </w:tc>
        <w:tc>
          <w:tcPr>
            <w:tcW w:type="dxa" w:w="1661"/>
          </w:tcPr>
          <w:p>
            <w:pPr>
              <w:pStyle w:val="null3"/>
            </w:pPr>
            <w:r>
              <w:rPr>
                <w:rFonts w:ascii="仿宋_GB2312" w:hAnsi="仿宋_GB2312" w:cs="仿宋_GB2312" w:eastAsia="仿宋_GB2312"/>
              </w:rPr>
              <w:t>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技术服务合同条款及其他商务要求应答表 响应函 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强制节能产品</w:t>
            </w:r>
          </w:p>
        </w:tc>
        <w:tc>
          <w:tcPr>
            <w:tcW w:type="dxa" w:w="3322"/>
          </w:tcPr>
          <w:p>
            <w:pPr>
              <w:pStyle w:val="null3"/>
            </w:pPr>
            <w:r>
              <w:rPr>
                <w:rFonts w:ascii="仿宋_GB2312" w:hAnsi="仿宋_GB2312" w:cs="仿宋_GB2312" w:eastAsia="仿宋_GB2312"/>
              </w:rPr>
              <w:t>提供2.0匹冷暖柜机（空调机）、1.5匹冷暖挂机（空调机）强制节能产品证书。</w:t>
            </w:r>
          </w:p>
        </w:tc>
        <w:tc>
          <w:tcPr>
            <w:tcW w:type="dxa" w:w="1661"/>
          </w:tcPr>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暂列金额、暂定综合单价</w:t>
            </w:r>
          </w:p>
        </w:tc>
        <w:tc>
          <w:tcPr>
            <w:tcW w:type="dxa" w:w="3322"/>
          </w:tcPr>
          <w:p>
            <w:pPr>
              <w:pStyle w:val="null3"/>
            </w:pPr>
            <w:r>
              <w:rPr>
                <w:rFonts w:ascii="仿宋_GB2312" w:hAnsi="仿宋_GB2312" w:cs="仿宋_GB2312" w:eastAsia="仿宋_GB2312"/>
              </w:rPr>
              <w:t>按磋商文件规定计取</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施工目标：成本目标、工期目标、质量目标；②施工准备：材料准备、机械准备、机具准备；③施工平面布置与安排：现场围挡及出入口管理、消防及道路安排。 二、评审标准 1、完整性：方案必须全面，对评审内容中的各项要求有详细描述； 2、可实施性：切合本项目实际情况，提出步骤清晰、合理的方案； 3、针对性：方案能够紧扣项目实际情况，内容科学合理。 三、赋分标准（满分13.5分） ①施工目标：此评审项满分4.5分，每完全满足一个评审标准得1.5分，针对每条评审标准，如存在不详尽或不合理的方面，得1分；针对每条评审标准，方案内容与本项目无关或未提供的，得0分。 ②施工准备：此评审项满分4.5分，每完全满足一个评审标准得1.5分，针对每条评审标准，如存在不详尽或不合理的方面，得1分；针对每条评审标准，方案内容与本项目无关或未提供的，得0分。 ③施工平面布置与安排：此评审项满分4.5分，每完全满足一个评审标准得1.5分，针对每条评审标准，如存在不详尽或不合理的方面，得1分；针对每条评审标准，方案内容与本项目无关或未提供的，得0分。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供应商针对本项目编制完善的施工质量保证措施，内容包含：①质量目标管理体系；②确保质量的技术组织措施；③施工质量控制措施。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①质量目标管理体系：此评审项满分3分，每完全满足一个评审标准得1分，针对每条评审标准，如存在不详尽或不合理的方面，得0.5分；针对每条评审标准，方案内容与本项目无关或未提供的，得0分。 ②确保质量的技术组织措施：此评审项满分3分，每完全满足一个评审标准得1分，针对每条评审标准，如存在不详尽或不合理的方面，得0.5分；针对每条评审标准，方案内容与本项目无关或未提供的，得0分。 ③施工质量控制措施：此评审项满分3分，每完全满足一个评审标准得1分，针对每条评审标准，如存在不详尽或不合理的方面，得0.5分；针对每条评审标准，方案内容与本项目无关或未提供的，得0分。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①安全生产管理制度：此评审项满分3分，每完全满足一个评审标准得1分，针对每条评审标准，如存在不详尽或不合理的方面，得0.5分；针对每条评审标准，方案内容与本项目无关或未提供的，得0分。 ②安全施工措施：此评审项满分3分，每完全满足一个评审标准得1分，针对每条评审标准，如存在不详尽或不合理的方面，得0.5分；针对每条评审标准，方案内容与本项目无关或未提供的，得0分。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①施工进度计划横道图：此评审项满分3分，每完全满足一个评审标准得1分，针对每条评审标准，如存在不详尽或不合理的方面，得0.5分；针对每条评审标准，方案内容与本项目无关或未提供的，得0分。 ②进度计划保证措施：此评审项满分3分，每完全满足一个评审标准得1分，针对每条评审标准，如存在不详尽或不合理的方面，得0.5分；针对每条评审标准，方案内容与本项目无关或未提供的，得0分。 ③工期保证措施：此评审项满分3分，每完全满足一个评审标准得1分，针对每条评审标准，如存在不详尽或不合理的方面，得0.5分；针对每条评审标准，方案内容与本项目无关或未提供的，得0分。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供应商针对本项目编制完整的文明施工措施，内容包含：①文明施工管理目标及技术措施；②文明施工现场管理：材料管理、防扰民措施；③环境保护措施。 二、评审标准 1、完整性：方案必须全面，对评审内容中的各项要求有详细描述； 2、可实施性：切合本项目实际情况，提出步骤清晰、合理的方案； 3、针对性：方案能够紧扣项目实际情况，内容科学合理。 三、赋分标准（满分9分） ①文明施工管理目标及技术措施：此评审项满分3分，每完全满足一个评审标准得1分，针对每条评审标准，如存在不详尽或不合理的方面，得0.5分；针对每条评审标准，方案内容与本项目无关或未提供的，得0分。 ②文明施工现场管理：此评审项满分3分，每完全满足一个评审标准得1分，针对每条评审标准，如存在不详尽或不合理的方面，得0.5分；针对每条评审标准，方案内容与本项目无关或未提供的，得0分。 ③环境保护措施：此评审项满分3分，每完全满足一个评审标准得1分，针对每条评审标准，如存在不详尽或不合理的方面，得0.5分；针对每条评审标准，方案内容与本项目无关或未提供的，得0分。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一、评审内容 供应商针对本项目编制科学的项目管理机构及劳动力安排计划，内容包含：①管理机构的配备计划；②组织机构的岗位职责；③劳动力安排计划。 二、评审标准 1、完整性：方案必须全面，对评审内容中的各项要求有详细描述； 2、可实施性：切合本项目实际情况，提出步骤清晰、合理的方案； 3、针对性：方案能够紧扣项目实际情况，内容科学合理。 三、赋分标准（满分9分） ①管理机构的配备计划：此评审项满分3分，每完全满足一个评审标准得1分，针对每条评审标准，如存在不详尽或不合理的方面，得0.5分；针对每条评审标准，方案内容与本项目无关或未提供的，得0分。 ②组织机构的岗位职责：此评审项满分3分，每完全满足一个评审标准得1分，针对每条评审标准，如存在不详尽或不合理的方面，得0.5分；针对每条评审标准，方案内容与本项目无关或未提供的，得0分。 ③劳动力安排计划：此评审项满分3分，每完全满足一个评审标准得1分，针对每条评审标准，如存在不详尽或不合理的方面，得0.5分；针对每条评审标准，方案内容与本项目无关或未提供的，得0分。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结合本项目的实际，供应商应依据国家相关规定提出工程验收维护方案，内容包含：①验收方案；②保修责任及保修承诺。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三、赋分标准（满分6分） ①验收方案：此评审项满分3分，每完全满足一个评审标准得1分，针对每条评审标准，如存在不详尽或不合理的方面，得0.5分；针对每条评审标准，方案内容与本项目无关或未提供的，得0分。 ②保修责任及保修承诺：此评审项满分3分，每完全满足一个评审标准得1分，针对每条评审标准，如存在不详尽或不合理的方面，得0.5分；针对每条评审标准，方案内容与本项目无关或未提供的，得0分。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每种产品得0.5分，最高得1分，没有不得分；属强制节能产品的不再得分，未提供该产品的按无效响应文件处理。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具有2022年12月1日至今的类似业绩(以合同签订日期为准)，业绩以合同复印件为依据。每个业绩计2.5分，3个以上(含3个)计7.5分。未提供计0分。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