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62A41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32"/>
          <w:szCs w:val="32"/>
          <w:highlight w:val="none"/>
          <w:lang w:val="zh-CN"/>
        </w:rPr>
      </w:pPr>
      <w:r>
        <w:rPr>
          <w:rFonts w:hint="eastAsia" w:ascii="宋体" w:hAnsi="宋体" w:cs="宋体"/>
          <w:b/>
          <w:bCs/>
          <w:color w:val="auto"/>
          <w:sz w:val="32"/>
          <w:szCs w:val="32"/>
          <w:highlight w:val="none"/>
          <w:lang w:val="zh-CN"/>
        </w:rPr>
        <w:t>参考</w:t>
      </w:r>
      <w:bookmarkStart w:id="111" w:name="_GoBack"/>
      <w:bookmarkEnd w:id="111"/>
      <w:r>
        <w:rPr>
          <w:rFonts w:hint="eastAsia" w:ascii="宋体" w:hAnsi="宋体" w:eastAsia="宋体" w:cs="宋体"/>
          <w:b/>
          <w:bCs/>
          <w:color w:val="auto"/>
          <w:sz w:val="32"/>
          <w:szCs w:val="32"/>
          <w:highlight w:val="none"/>
          <w:lang w:val="zh-CN"/>
        </w:rPr>
        <w:t>合同</w:t>
      </w:r>
    </w:p>
    <w:p w14:paraId="7F31DF4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rPr>
      </w:pPr>
      <w:r>
        <w:rPr>
          <w:rFonts w:hint="eastAsia" w:ascii="宋体" w:hAnsi="宋体" w:cs="宋体"/>
          <w:b/>
          <w:bCs/>
          <w:color w:val="auto"/>
          <w:sz w:val="32"/>
          <w:szCs w:val="32"/>
          <w:highlight w:val="none"/>
          <w:lang w:val="zh-CN"/>
        </w:rPr>
        <w:t>（合同仅供参考，以实际签订合同为准）</w:t>
      </w:r>
      <w:r>
        <w:rPr>
          <w:rFonts w:hint="eastAsia" w:ascii="宋体" w:hAnsi="宋体" w:eastAsia="宋体" w:cs="宋体"/>
          <w:b/>
          <w:bCs/>
          <w:sz w:val="28"/>
          <w:szCs w:val="28"/>
        </w:rPr>
        <w:t xml:space="preserve">                         </w:t>
      </w:r>
      <w:bookmarkStart w:id="0" w:name="_Toc171913691"/>
      <w:bookmarkStart w:id="1" w:name="_Toc86202634"/>
    </w:p>
    <w:p w14:paraId="24896499">
      <w:pPr>
        <w:widowControl/>
        <w:snapToGrid w:val="0"/>
        <w:spacing w:line="360" w:lineRule="auto"/>
        <w:ind w:firstLine="560" w:firstLineChars="200"/>
        <w:rPr>
          <w:rFonts w:ascii="宋体" w:hAnsi="宋体" w:cs="宋体"/>
          <w:sz w:val="28"/>
          <w:szCs w:val="28"/>
        </w:rPr>
      </w:pPr>
      <w:bookmarkStart w:id="2" w:name="_Toc14470"/>
      <w:r>
        <w:rPr>
          <w:rFonts w:hint="eastAsia" w:ascii="宋体" w:hAnsi="宋体" w:cs="宋体"/>
          <w:color w:val="auto"/>
          <w:sz w:val="28"/>
          <w:szCs w:val="28"/>
          <w:highlight w:val="none"/>
          <w:u w:val="single"/>
          <w:lang w:val="en-US" w:eastAsia="zh-CN"/>
        </w:rPr>
        <w:t xml:space="preserve"> （项目名称） </w:t>
      </w:r>
      <w:r>
        <w:rPr>
          <w:rFonts w:hint="eastAsia" w:ascii="宋体" w:hAnsi="宋体" w:cs="宋体"/>
          <w:sz w:val="28"/>
          <w:szCs w:val="28"/>
        </w:rPr>
        <w:t>，由</w:t>
      </w:r>
      <w:r>
        <w:rPr>
          <w:rFonts w:hint="eastAsia" w:ascii="宋体" w:hAnsi="宋体" w:cs="宋体"/>
          <w:sz w:val="28"/>
          <w:szCs w:val="28"/>
          <w:lang w:eastAsia="zh-CN"/>
        </w:rPr>
        <w:t>陕西中诚天和项目管理有限公司</w:t>
      </w:r>
      <w:r>
        <w:rPr>
          <w:rFonts w:hint="eastAsia" w:ascii="宋体" w:hAnsi="宋体" w:cs="宋体"/>
          <w:sz w:val="28"/>
          <w:szCs w:val="28"/>
        </w:rPr>
        <w:t>组织采购，选定</w:t>
      </w:r>
      <w:r>
        <w:rPr>
          <w:rFonts w:hint="eastAsia" w:ascii="宋体" w:hAnsi="宋体" w:cs="宋体"/>
          <w:sz w:val="28"/>
          <w:szCs w:val="28"/>
          <w:u w:val="single"/>
        </w:rPr>
        <w:t xml:space="preserve">                </w:t>
      </w:r>
      <w:r>
        <w:rPr>
          <w:rFonts w:hint="eastAsia" w:ascii="宋体" w:hAnsi="宋体" w:cs="宋体"/>
          <w:sz w:val="28"/>
          <w:szCs w:val="28"/>
        </w:rPr>
        <w:t>(以下简称乙方）为该项目成交供应商。根据《中华人民共和国民法典》和《中华人民共和国政府采购法》，经甲、乙双方共同协商，按下述条款和条件签署本合同。</w:t>
      </w:r>
    </w:p>
    <w:p w14:paraId="26209EA0">
      <w:pPr>
        <w:widowControl/>
        <w:snapToGrid w:val="0"/>
        <w:spacing w:line="360" w:lineRule="auto"/>
        <w:ind w:firstLine="560" w:firstLineChars="200"/>
        <w:outlineLvl w:val="1"/>
        <w:rPr>
          <w:rFonts w:ascii="宋体" w:hAnsi="宋体" w:cs="宋体"/>
          <w:sz w:val="28"/>
          <w:szCs w:val="28"/>
        </w:rPr>
      </w:pPr>
      <w:bookmarkStart w:id="3" w:name="_Toc26925"/>
      <w:bookmarkStart w:id="4" w:name="_Toc20728"/>
      <w:bookmarkStart w:id="5" w:name="_Toc27221"/>
      <w:bookmarkStart w:id="6" w:name="_Toc19135"/>
      <w:bookmarkStart w:id="7" w:name="_Toc4829"/>
      <w:bookmarkStart w:id="8" w:name="_Toc18111"/>
      <w:bookmarkStart w:id="9" w:name="_Toc1208"/>
      <w:bookmarkStart w:id="10" w:name="_Toc27096"/>
      <w:bookmarkStart w:id="11" w:name="_Toc8483"/>
      <w:bookmarkStart w:id="12" w:name="_Toc11033"/>
      <w:bookmarkStart w:id="13" w:name="_Toc32551"/>
      <w:bookmarkStart w:id="14" w:name="_Toc29536"/>
      <w:bookmarkStart w:id="15" w:name="_Toc1706"/>
      <w:bookmarkStart w:id="16" w:name="_Toc24357"/>
      <w:bookmarkStart w:id="17" w:name="_Toc1898"/>
      <w:bookmarkStart w:id="18" w:name="_Toc24708"/>
      <w:r>
        <w:rPr>
          <w:rFonts w:hint="eastAsia" w:ascii="宋体" w:hAnsi="宋体" w:cs="宋体"/>
          <w:sz w:val="28"/>
          <w:szCs w:val="28"/>
        </w:rPr>
        <w:t>一、合同内容</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738A31FD">
      <w:pPr>
        <w:widowControl/>
        <w:snapToGrid w:val="0"/>
        <w:spacing w:line="360" w:lineRule="auto"/>
        <w:ind w:firstLine="560" w:firstLineChars="200"/>
        <w:rPr>
          <w:rFonts w:ascii="宋体" w:hAnsi="宋体" w:cs="宋体"/>
          <w:sz w:val="28"/>
          <w:szCs w:val="28"/>
        </w:rPr>
      </w:pPr>
      <w:r>
        <w:rPr>
          <w:rFonts w:hint="eastAsia" w:ascii="宋体" w:hAnsi="宋体" w:eastAsia="宋体" w:cs="宋体"/>
          <w:color w:val="auto"/>
          <w:sz w:val="28"/>
          <w:szCs w:val="28"/>
          <w:highlight w:val="none"/>
        </w:rPr>
        <w:t>乙方负责按照合同确定的技术标准</w:t>
      </w:r>
      <w:r>
        <w:rPr>
          <w:rFonts w:hint="eastAsia" w:ascii="宋体" w:hAnsi="宋体" w:eastAsia="宋体" w:cs="宋体"/>
          <w:color w:val="auto"/>
          <w:sz w:val="28"/>
          <w:szCs w:val="28"/>
          <w:highlight w:val="none"/>
          <w:lang w:eastAsia="zh-CN"/>
        </w:rPr>
        <w:t>提供</w:t>
      </w:r>
      <w:r>
        <w:rPr>
          <w:rFonts w:hint="eastAsia" w:ascii="宋体" w:hAnsi="宋体" w:cs="宋体"/>
          <w:color w:val="auto"/>
          <w:sz w:val="28"/>
          <w:szCs w:val="28"/>
          <w:highlight w:val="none"/>
          <w:lang w:val="en-US" w:eastAsia="zh-CN"/>
        </w:rPr>
        <w:t>货物</w:t>
      </w:r>
      <w:r>
        <w:rPr>
          <w:rFonts w:hint="eastAsia" w:ascii="宋体" w:hAnsi="宋体" w:eastAsia="宋体" w:cs="宋体"/>
          <w:color w:val="auto"/>
          <w:sz w:val="28"/>
          <w:szCs w:val="28"/>
          <w:highlight w:val="none"/>
          <w:lang w:eastAsia="zh-CN"/>
        </w:rPr>
        <w:t>及</w:t>
      </w:r>
      <w:r>
        <w:rPr>
          <w:rFonts w:hint="eastAsia" w:ascii="宋体" w:hAnsi="宋体" w:eastAsia="宋体" w:cs="宋体"/>
          <w:color w:val="auto"/>
          <w:sz w:val="28"/>
          <w:szCs w:val="28"/>
          <w:highlight w:val="none"/>
        </w:rPr>
        <w:t>服务，确保各项</w:t>
      </w:r>
      <w:r>
        <w:rPr>
          <w:rFonts w:hint="eastAsia" w:ascii="宋体" w:hAnsi="宋体" w:eastAsia="宋体" w:cs="宋体"/>
          <w:color w:val="auto"/>
          <w:sz w:val="28"/>
          <w:szCs w:val="28"/>
          <w:highlight w:val="none"/>
          <w:lang w:eastAsia="zh-CN"/>
        </w:rPr>
        <w:t>技术规格、参数、质量等</w:t>
      </w:r>
      <w:r>
        <w:rPr>
          <w:rFonts w:hint="eastAsia" w:ascii="宋体" w:hAnsi="宋体" w:eastAsia="宋体" w:cs="宋体"/>
          <w:color w:val="auto"/>
          <w:sz w:val="28"/>
          <w:szCs w:val="28"/>
          <w:highlight w:val="none"/>
        </w:rPr>
        <w:t>达到甲方要求</w:t>
      </w:r>
      <w:r>
        <w:rPr>
          <w:rFonts w:hint="eastAsia" w:ascii="宋体" w:hAnsi="宋体" w:cs="宋体"/>
          <w:color w:val="auto"/>
          <w:sz w:val="28"/>
          <w:szCs w:val="28"/>
          <w:highlight w:val="none"/>
          <w:lang w:val="en-US" w:eastAsia="zh-CN"/>
        </w:rPr>
        <w:t>。</w:t>
      </w:r>
      <w:r>
        <w:rPr>
          <w:rFonts w:hint="eastAsia" w:ascii="宋体" w:hAnsi="宋体" w:cs="宋体"/>
          <w:color w:val="auto"/>
          <w:sz w:val="28"/>
          <w:szCs w:val="28"/>
          <w:highlight w:val="none"/>
        </w:rPr>
        <w:t xml:space="preserve"> </w:t>
      </w:r>
    </w:p>
    <w:p w14:paraId="142C318C">
      <w:pPr>
        <w:widowControl/>
        <w:snapToGrid w:val="0"/>
        <w:spacing w:line="360" w:lineRule="auto"/>
        <w:ind w:firstLine="560" w:firstLineChars="200"/>
        <w:outlineLvl w:val="1"/>
        <w:rPr>
          <w:rFonts w:ascii="宋体" w:hAnsi="宋体" w:cs="宋体"/>
          <w:sz w:val="28"/>
          <w:szCs w:val="28"/>
        </w:rPr>
      </w:pPr>
      <w:bookmarkStart w:id="19" w:name="_Toc23593"/>
      <w:bookmarkStart w:id="20" w:name="_Toc660"/>
      <w:bookmarkStart w:id="21" w:name="_Toc1793"/>
      <w:bookmarkStart w:id="22" w:name="_Toc9768"/>
      <w:bookmarkStart w:id="23" w:name="_Toc25197"/>
      <w:bookmarkStart w:id="24" w:name="_Toc28498"/>
      <w:bookmarkStart w:id="25" w:name="_Toc3345"/>
      <w:bookmarkStart w:id="26" w:name="_Toc31920"/>
      <w:bookmarkStart w:id="27" w:name="_Toc10996"/>
      <w:bookmarkStart w:id="28" w:name="_Toc574"/>
      <w:bookmarkStart w:id="29" w:name="_Toc26975"/>
      <w:bookmarkStart w:id="30" w:name="_Toc1070"/>
      <w:bookmarkStart w:id="31" w:name="_Toc30902"/>
      <w:bookmarkStart w:id="32" w:name="_Toc27995"/>
      <w:bookmarkStart w:id="33" w:name="_Toc3256"/>
      <w:bookmarkStart w:id="34" w:name="_Toc7550"/>
      <w:r>
        <w:rPr>
          <w:rFonts w:hint="eastAsia" w:ascii="宋体" w:hAnsi="宋体" w:cs="宋体"/>
          <w:sz w:val="28"/>
          <w:szCs w:val="28"/>
        </w:rPr>
        <w:t>二、合同价格</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1CA65069">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合同总价：人民币</w:t>
      </w:r>
      <w:r>
        <w:rPr>
          <w:rFonts w:hint="eastAsia" w:ascii="宋体" w:hAnsi="宋体" w:cs="宋体"/>
          <w:sz w:val="28"/>
          <w:szCs w:val="28"/>
          <w:u w:val="single"/>
        </w:rPr>
        <w:t xml:space="preserve">       </w:t>
      </w:r>
      <w:r>
        <w:rPr>
          <w:rFonts w:hint="eastAsia" w:ascii="宋体" w:hAnsi="宋体" w:cs="宋体"/>
          <w:sz w:val="28"/>
          <w:szCs w:val="28"/>
        </w:rPr>
        <w:t>元整（¥</w:t>
      </w:r>
      <w:r>
        <w:rPr>
          <w:rFonts w:hint="eastAsia" w:ascii="宋体" w:hAnsi="宋体" w:cs="宋体"/>
          <w:sz w:val="28"/>
          <w:szCs w:val="28"/>
          <w:u w:val="single"/>
        </w:rPr>
        <w:t xml:space="preserve">         </w:t>
      </w:r>
      <w:r>
        <w:rPr>
          <w:rFonts w:hint="eastAsia" w:ascii="宋体" w:hAnsi="宋体" w:cs="宋体"/>
          <w:sz w:val="28"/>
          <w:szCs w:val="28"/>
        </w:rPr>
        <w:t xml:space="preserve">元） </w:t>
      </w:r>
    </w:p>
    <w:p w14:paraId="5EC6B9CD">
      <w:pPr>
        <w:pStyle w:val="7"/>
        <w:tabs>
          <w:tab w:val="left" w:pos="1302"/>
        </w:tabs>
        <w:spacing w:line="360" w:lineRule="auto"/>
        <w:ind w:firstLine="560"/>
        <w:rPr>
          <w:rFonts w:hint="eastAsia" w:ascii="宋体" w:hAnsi="宋体" w:cs="宋体"/>
          <w:sz w:val="28"/>
          <w:szCs w:val="28"/>
        </w:rPr>
      </w:pPr>
      <w:r>
        <w:rPr>
          <w:rFonts w:hint="eastAsia" w:ascii="宋体" w:hAnsi="宋体" w:cs="宋体"/>
          <w:sz w:val="28"/>
          <w:szCs w:val="28"/>
        </w:rPr>
        <w:t>说明：报价应包含与本项目相关的所有费用。</w:t>
      </w:r>
    </w:p>
    <w:p w14:paraId="521B164F">
      <w:pPr>
        <w:widowControl/>
        <w:snapToGrid w:val="0"/>
        <w:spacing w:line="360" w:lineRule="auto"/>
        <w:ind w:firstLine="560" w:firstLineChars="200"/>
        <w:outlineLvl w:val="1"/>
        <w:rPr>
          <w:rFonts w:ascii="宋体" w:hAnsi="宋体" w:cs="宋体"/>
          <w:sz w:val="28"/>
          <w:szCs w:val="28"/>
        </w:rPr>
      </w:pPr>
      <w:bookmarkStart w:id="35" w:name="_Toc23174"/>
      <w:bookmarkStart w:id="36" w:name="_Toc12227"/>
      <w:bookmarkStart w:id="37" w:name="_Toc21146"/>
      <w:bookmarkStart w:id="38" w:name="_Toc25530"/>
      <w:bookmarkStart w:id="39" w:name="_Toc20402"/>
      <w:bookmarkStart w:id="40" w:name="_Toc29379"/>
      <w:bookmarkStart w:id="41" w:name="_Toc30977"/>
      <w:bookmarkStart w:id="42" w:name="_Toc13143"/>
      <w:bookmarkStart w:id="43" w:name="_Toc24017"/>
      <w:bookmarkStart w:id="44" w:name="_Toc20510"/>
      <w:bookmarkStart w:id="45" w:name="_Toc5648"/>
      <w:bookmarkStart w:id="46" w:name="_Toc6178"/>
      <w:bookmarkStart w:id="47" w:name="_Toc4923"/>
      <w:bookmarkStart w:id="48" w:name="_Toc26631"/>
      <w:bookmarkStart w:id="49" w:name="_Toc30008"/>
      <w:r>
        <w:rPr>
          <w:rFonts w:hint="eastAsia" w:ascii="宋体" w:hAnsi="宋体" w:cs="宋体"/>
          <w:sz w:val="28"/>
          <w:szCs w:val="28"/>
        </w:rPr>
        <w:t>三、</w:t>
      </w:r>
      <w:r>
        <w:rPr>
          <w:rFonts w:hint="eastAsia" w:ascii="宋体" w:hAnsi="宋体" w:cs="宋体"/>
          <w:sz w:val="28"/>
          <w:szCs w:val="28"/>
          <w:lang w:eastAsia="zh-CN"/>
        </w:rPr>
        <w:t>交付期</w:t>
      </w:r>
      <w:r>
        <w:rPr>
          <w:rFonts w:hint="eastAsia" w:ascii="宋体" w:hAnsi="宋体" w:cs="宋体"/>
          <w:sz w:val="28"/>
          <w:szCs w:val="28"/>
        </w:rPr>
        <w:t>期限</w:t>
      </w:r>
      <w:bookmarkEnd w:id="35"/>
      <w:bookmarkEnd w:id="36"/>
      <w:bookmarkEnd w:id="37"/>
      <w:bookmarkEnd w:id="38"/>
      <w:bookmarkEnd w:id="39"/>
      <w:bookmarkEnd w:id="40"/>
      <w:bookmarkEnd w:id="41"/>
      <w:bookmarkEnd w:id="42"/>
      <w:bookmarkEnd w:id="43"/>
    </w:p>
    <w:p w14:paraId="01D62DFB">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color w:val="auto"/>
          <w:sz w:val="28"/>
          <w:szCs w:val="28"/>
          <w:highlight w:val="none"/>
          <w:lang w:val="en-US" w:eastAsia="zh-CN"/>
        </w:rPr>
      </w:pPr>
      <w:r>
        <w:rPr>
          <w:rFonts w:hint="eastAsia" w:ascii="宋体" w:hAnsi="宋体" w:eastAsia="宋体" w:cs="宋体"/>
          <w:color w:val="auto"/>
          <w:sz w:val="28"/>
          <w:szCs w:val="28"/>
          <w:highlight w:val="none"/>
        </w:rPr>
        <w:t>1、</w:t>
      </w:r>
      <w:r>
        <w:rPr>
          <w:rFonts w:hint="eastAsia" w:ascii="宋体" w:hAnsi="宋体" w:cs="宋体"/>
          <w:color w:val="auto"/>
          <w:sz w:val="28"/>
          <w:szCs w:val="28"/>
          <w:highlight w:val="none"/>
          <w:lang w:eastAsia="zh-CN"/>
        </w:rPr>
        <w:t>交付期</w:t>
      </w:r>
      <w:r>
        <w:rPr>
          <w:rFonts w:hint="eastAsia" w:ascii="宋体" w:hAnsi="宋体" w:eastAsia="宋体" w:cs="宋体"/>
          <w:color w:val="auto"/>
          <w:sz w:val="28"/>
          <w:szCs w:val="28"/>
          <w:highlight w:val="none"/>
        </w:rPr>
        <w:t>：自合同签订之日起50日历日内</w:t>
      </w:r>
    </w:p>
    <w:p w14:paraId="57C11D25">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sz w:val="28"/>
          <w:szCs w:val="28"/>
          <w:highlight w:val="none"/>
          <w:lang w:val="en-US" w:eastAsia="zh-CN"/>
        </w:rPr>
      </w:pPr>
      <w:r>
        <w:rPr>
          <w:rFonts w:hint="eastAsia" w:ascii="宋体" w:hAnsi="宋体" w:eastAsia="宋体" w:cs="宋体"/>
          <w:color w:val="auto"/>
          <w:sz w:val="28"/>
          <w:szCs w:val="28"/>
          <w:highlight w:val="none"/>
          <w:lang w:eastAsia="zh-CN"/>
        </w:rPr>
        <w:t>2、</w:t>
      </w:r>
      <w:r>
        <w:rPr>
          <w:rFonts w:hint="eastAsia" w:ascii="宋体" w:hAnsi="宋体" w:cs="宋体"/>
          <w:color w:val="auto"/>
          <w:sz w:val="28"/>
          <w:szCs w:val="28"/>
          <w:highlight w:val="none"/>
          <w:lang w:eastAsia="zh-CN"/>
        </w:rPr>
        <w:t>交付地点</w:t>
      </w:r>
      <w:r>
        <w:rPr>
          <w:rFonts w:hint="eastAsia" w:ascii="宋体" w:hAnsi="宋体" w:eastAsia="宋体" w:cs="宋体"/>
          <w:color w:val="auto"/>
          <w:sz w:val="28"/>
          <w:szCs w:val="28"/>
          <w:highlight w:val="none"/>
          <w:lang w:eastAsia="zh-CN"/>
        </w:rPr>
        <w:t>：西安市第十二中学教学综合楼五层阶梯教室</w:t>
      </w:r>
    </w:p>
    <w:p w14:paraId="3E976EEF">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宋体" w:hAnsi="宋体" w:cs="宋体"/>
          <w:sz w:val="28"/>
          <w:szCs w:val="28"/>
          <w:highlight w:val="none"/>
        </w:rPr>
      </w:pPr>
      <w:r>
        <w:rPr>
          <w:rFonts w:hint="eastAsia" w:ascii="宋体" w:hAnsi="宋体" w:cs="宋体"/>
          <w:sz w:val="28"/>
          <w:szCs w:val="28"/>
          <w:highlight w:val="none"/>
          <w:lang w:val="en-US" w:eastAsia="zh-CN"/>
        </w:rPr>
        <w:t>3、质保期：1. LED显示系统、舞台灯光、音响系统设备质保期三年；礼堂椅质保期六年。 2. 终身维护保养，质保期后，只收取成本费用。</w:t>
      </w:r>
      <w:r>
        <w:rPr>
          <w:rFonts w:hint="eastAsia" w:ascii="宋体" w:hAnsi="宋体" w:cs="宋体"/>
          <w:sz w:val="28"/>
          <w:szCs w:val="28"/>
          <w:highlight w:val="none"/>
        </w:rPr>
        <w:t xml:space="preserve"> </w:t>
      </w:r>
    </w:p>
    <w:p w14:paraId="3D9C26BA">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outlineLvl w:val="1"/>
        <w:rPr>
          <w:rFonts w:hint="eastAsia" w:ascii="宋体" w:hAnsi="宋体" w:cs="宋体"/>
          <w:sz w:val="28"/>
          <w:szCs w:val="28"/>
          <w:highlight w:val="none"/>
          <w:lang w:val="zh-CN"/>
        </w:rPr>
      </w:pPr>
      <w:bookmarkStart w:id="50" w:name="_Toc10554"/>
      <w:bookmarkStart w:id="51" w:name="_Toc9271"/>
      <w:r>
        <w:rPr>
          <w:rFonts w:hint="eastAsia" w:ascii="宋体" w:hAnsi="宋体" w:cs="宋体"/>
          <w:sz w:val="28"/>
          <w:szCs w:val="28"/>
          <w:highlight w:val="none"/>
          <w:lang w:val="zh-CN"/>
        </w:rPr>
        <w:t>四、付款方式</w:t>
      </w:r>
      <w:bookmarkEnd w:id="50"/>
      <w:bookmarkEnd w:id="51"/>
    </w:p>
    <w:p w14:paraId="75C94CB4">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outlineLvl w:val="1"/>
        <w:rPr>
          <w:rFonts w:hint="eastAsia" w:ascii="宋体" w:hAnsi="宋体" w:eastAsia="宋体" w:cs="宋体"/>
          <w:b w:val="0"/>
          <w:bCs w:val="0"/>
          <w:kern w:val="2"/>
          <w:sz w:val="28"/>
          <w:szCs w:val="28"/>
          <w:highlight w:val="none"/>
          <w:lang w:val="en-US" w:eastAsia="zh-CN" w:bidi="ar-SA"/>
        </w:rPr>
      </w:pPr>
      <w:r>
        <w:rPr>
          <w:rFonts w:hint="eastAsia" w:ascii="宋体" w:hAnsi="宋体" w:eastAsia="宋体" w:cs="宋体"/>
          <w:b w:val="0"/>
          <w:bCs w:val="0"/>
          <w:kern w:val="2"/>
          <w:sz w:val="28"/>
          <w:szCs w:val="28"/>
          <w:highlight w:val="none"/>
          <w:lang w:val="en-US" w:eastAsia="zh-CN" w:bidi="ar-SA"/>
        </w:rPr>
        <w:t>付款条件说明：所有设备安装验收合格后 ，达到付款条件起 5 日内，支付合同总金额的 100.00%。</w:t>
      </w:r>
    </w:p>
    <w:bookmarkEnd w:id="44"/>
    <w:bookmarkEnd w:id="45"/>
    <w:bookmarkEnd w:id="46"/>
    <w:bookmarkEnd w:id="47"/>
    <w:bookmarkEnd w:id="48"/>
    <w:bookmarkEnd w:id="49"/>
    <w:p w14:paraId="44178FE1">
      <w:pPr>
        <w:widowControl/>
        <w:snapToGrid w:val="0"/>
        <w:spacing w:line="360" w:lineRule="auto"/>
        <w:ind w:firstLine="560" w:firstLineChars="200"/>
        <w:outlineLvl w:val="1"/>
        <w:rPr>
          <w:rFonts w:ascii="宋体" w:hAnsi="宋体" w:cs="宋体"/>
          <w:sz w:val="28"/>
          <w:szCs w:val="28"/>
        </w:rPr>
      </w:pPr>
      <w:bookmarkStart w:id="52" w:name="_Toc9630"/>
      <w:bookmarkStart w:id="53" w:name="_Toc30352"/>
      <w:bookmarkStart w:id="54" w:name="_Toc17300"/>
      <w:bookmarkStart w:id="55" w:name="_Toc7250"/>
      <w:bookmarkStart w:id="56" w:name="_Toc30893"/>
      <w:bookmarkStart w:id="57" w:name="_Toc18308"/>
      <w:bookmarkStart w:id="58" w:name="_Toc23334"/>
      <w:r>
        <w:rPr>
          <w:rFonts w:hint="eastAsia" w:ascii="宋体" w:hAnsi="宋体" w:cs="宋体"/>
          <w:sz w:val="28"/>
          <w:szCs w:val="28"/>
          <w:lang w:eastAsia="zh-CN"/>
        </w:rPr>
        <w:t>五</w:t>
      </w:r>
      <w:r>
        <w:rPr>
          <w:rFonts w:hint="eastAsia" w:ascii="宋体" w:hAnsi="宋体" w:cs="宋体"/>
          <w:sz w:val="28"/>
          <w:szCs w:val="28"/>
        </w:rPr>
        <w:t>、质量</w:t>
      </w:r>
      <w:bookmarkEnd w:id="52"/>
      <w:bookmarkEnd w:id="53"/>
      <w:bookmarkEnd w:id="54"/>
      <w:bookmarkEnd w:id="55"/>
      <w:bookmarkEnd w:id="56"/>
      <w:bookmarkEnd w:id="57"/>
      <w:r>
        <w:rPr>
          <w:rFonts w:hint="eastAsia" w:ascii="宋体" w:hAnsi="宋体" w:cs="宋体"/>
          <w:sz w:val="28"/>
          <w:szCs w:val="28"/>
        </w:rPr>
        <w:t>要求</w:t>
      </w:r>
      <w:bookmarkEnd w:id="58"/>
    </w:p>
    <w:p w14:paraId="40CB6931">
      <w:pPr>
        <w:widowControl/>
        <w:snapToGrid w:val="0"/>
        <w:spacing w:line="360" w:lineRule="auto"/>
        <w:ind w:firstLine="560" w:firstLineChars="200"/>
        <w:rPr>
          <w:rFonts w:ascii="宋体" w:hAnsi="宋体" w:cs="宋体"/>
          <w:sz w:val="28"/>
          <w:szCs w:val="28"/>
        </w:rPr>
      </w:pPr>
      <w:bookmarkStart w:id="59" w:name="_Toc28927"/>
      <w:bookmarkStart w:id="60" w:name="_Toc23664"/>
      <w:bookmarkStart w:id="61" w:name="_Toc26923"/>
      <w:bookmarkStart w:id="62" w:name="_Toc9414"/>
      <w:bookmarkStart w:id="63" w:name="_Toc9089"/>
      <w:r>
        <w:rPr>
          <w:rFonts w:hint="eastAsia" w:ascii="宋体" w:hAnsi="宋体" w:cs="宋体"/>
          <w:sz w:val="28"/>
          <w:szCs w:val="28"/>
        </w:rPr>
        <w:t>（一）质量符合企业、行业、国家规定及</w:t>
      </w:r>
      <w:r>
        <w:rPr>
          <w:rFonts w:hint="eastAsia" w:ascii="宋体" w:hAnsi="宋体" w:cs="宋体"/>
          <w:sz w:val="28"/>
          <w:szCs w:val="28"/>
          <w:lang w:eastAsia="zh-CN"/>
        </w:rPr>
        <w:t>磋商文件</w:t>
      </w:r>
      <w:r>
        <w:rPr>
          <w:rFonts w:hint="eastAsia" w:ascii="宋体" w:hAnsi="宋体" w:cs="宋体"/>
          <w:sz w:val="28"/>
          <w:szCs w:val="28"/>
        </w:rPr>
        <w:t>相关要求。</w:t>
      </w:r>
    </w:p>
    <w:p w14:paraId="5880A91B">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（二）技术专利等均应符合我国有关法律及行业标准，凡因以上问题与第三方发生的任何纠纷均与甲方无关。</w:t>
      </w:r>
    </w:p>
    <w:p w14:paraId="0EEA09CF">
      <w:pPr>
        <w:widowControl/>
        <w:snapToGrid w:val="0"/>
        <w:spacing w:line="360" w:lineRule="auto"/>
        <w:ind w:firstLine="560" w:firstLineChars="200"/>
        <w:outlineLvl w:val="1"/>
        <w:rPr>
          <w:rFonts w:ascii="宋体" w:hAnsi="宋体" w:cs="宋体"/>
          <w:sz w:val="28"/>
          <w:szCs w:val="28"/>
        </w:rPr>
      </w:pPr>
      <w:bookmarkStart w:id="64" w:name="_Toc12828"/>
      <w:r>
        <w:rPr>
          <w:rFonts w:hint="eastAsia" w:ascii="宋体" w:hAnsi="宋体" w:cs="宋体"/>
          <w:sz w:val="28"/>
          <w:szCs w:val="28"/>
          <w:lang w:eastAsia="zh-CN"/>
        </w:rPr>
        <w:t>六</w:t>
      </w:r>
      <w:r>
        <w:rPr>
          <w:rFonts w:hint="eastAsia" w:ascii="宋体" w:hAnsi="宋体" w:cs="宋体"/>
          <w:sz w:val="28"/>
          <w:szCs w:val="28"/>
        </w:rPr>
        <w:t>、技术</w:t>
      </w:r>
      <w:bookmarkEnd w:id="59"/>
      <w:bookmarkEnd w:id="60"/>
      <w:bookmarkEnd w:id="61"/>
      <w:bookmarkEnd w:id="62"/>
      <w:bookmarkEnd w:id="63"/>
      <w:r>
        <w:rPr>
          <w:rFonts w:hint="eastAsia" w:ascii="宋体" w:hAnsi="宋体" w:cs="宋体"/>
          <w:sz w:val="28"/>
          <w:szCs w:val="28"/>
        </w:rPr>
        <w:t>要求</w:t>
      </w:r>
      <w:bookmarkEnd w:id="64"/>
    </w:p>
    <w:p w14:paraId="444ED9D8">
      <w:pPr>
        <w:widowControl/>
        <w:snapToGrid w:val="0"/>
        <w:spacing w:line="360" w:lineRule="auto"/>
        <w:ind w:firstLine="560" w:firstLineChars="200"/>
        <w:outlineLvl w:val="1"/>
        <w:rPr>
          <w:rFonts w:hint="eastAsia" w:ascii="宋体" w:hAnsi="宋体" w:eastAsia="宋体" w:cs="宋体"/>
          <w:color w:val="auto"/>
          <w:sz w:val="28"/>
          <w:szCs w:val="28"/>
          <w:highlight w:val="none"/>
          <w:lang w:eastAsia="zh-CN"/>
        </w:rPr>
      </w:pPr>
      <w:bookmarkStart w:id="65" w:name="_Toc8083"/>
      <w:bookmarkStart w:id="66" w:name="_Toc13587"/>
      <w:bookmarkStart w:id="67" w:name="_Toc16064"/>
      <w:bookmarkStart w:id="68" w:name="_Toc27177"/>
      <w:bookmarkStart w:id="69" w:name="_Toc5014"/>
      <w:bookmarkStart w:id="70" w:name="_Toc19074"/>
      <w:bookmarkStart w:id="71" w:name="_Toc17325"/>
      <w:bookmarkStart w:id="72" w:name="_Toc12502"/>
      <w:bookmarkStart w:id="73" w:name="_Toc21103"/>
      <w:bookmarkStart w:id="74" w:name="_Toc14189"/>
      <w:bookmarkStart w:id="75" w:name="_Toc9865"/>
      <w:bookmarkStart w:id="76" w:name="_Toc21261"/>
      <w:bookmarkStart w:id="77" w:name="_Toc27419"/>
      <w:bookmarkStart w:id="78" w:name="_Toc3584"/>
      <w:bookmarkStart w:id="79" w:name="_Toc20301"/>
      <w:bookmarkStart w:id="80" w:name="_Toc25783"/>
      <w:bookmarkStart w:id="81" w:name="_Toc5440"/>
      <w:bookmarkStart w:id="82" w:name="_Toc18659"/>
      <w:bookmarkStart w:id="83" w:name="_Toc29149"/>
      <w:r>
        <w:rPr>
          <w:rFonts w:hint="eastAsia" w:ascii="宋体" w:hAnsi="宋体" w:eastAsia="宋体" w:cs="宋体"/>
          <w:color w:val="auto"/>
          <w:sz w:val="28"/>
          <w:szCs w:val="28"/>
          <w:highlight w:val="none"/>
          <w:lang w:eastAsia="zh-CN"/>
        </w:rPr>
        <w:t>根据本项目</w:t>
      </w:r>
      <w:r>
        <w:rPr>
          <w:rFonts w:hint="eastAsia" w:ascii="宋体" w:hAnsi="宋体" w:eastAsia="宋体" w:cs="宋体"/>
          <w:color w:val="auto"/>
          <w:sz w:val="28"/>
          <w:szCs w:val="28"/>
          <w:highlight w:val="none"/>
          <w:lang w:val="en-US" w:eastAsia="zh-CN"/>
        </w:rPr>
        <w:t>采购要求</w:t>
      </w:r>
      <w:r>
        <w:rPr>
          <w:rFonts w:hint="eastAsia" w:ascii="宋体" w:hAnsi="宋体" w:eastAsia="宋体" w:cs="宋体"/>
          <w:color w:val="auto"/>
          <w:sz w:val="28"/>
          <w:szCs w:val="28"/>
          <w:highlight w:val="none"/>
          <w:lang w:eastAsia="zh-CN"/>
        </w:rPr>
        <w:t>、工艺要求，提供满足采购人要求的服务</w:t>
      </w:r>
      <w:r>
        <w:rPr>
          <w:rFonts w:hint="eastAsia" w:ascii="宋体" w:hAnsi="宋体" w:cs="宋体"/>
          <w:color w:val="auto"/>
          <w:sz w:val="28"/>
          <w:szCs w:val="28"/>
          <w:highlight w:val="none"/>
          <w:lang w:eastAsia="zh-CN"/>
        </w:rPr>
        <w:t>或货物</w:t>
      </w:r>
      <w:r>
        <w:rPr>
          <w:rFonts w:hint="eastAsia" w:ascii="宋体" w:hAnsi="宋体" w:eastAsia="宋体" w:cs="宋体"/>
          <w:color w:val="auto"/>
          <w:sz w:val="28"/>
          <w:szCs w:val="28"/>
          <w:highlight w:val="none"/>
          <w:lang w:eastAsia="zh-CN"/>
        </w:rPr>
        <w:t>。</w:t>
      </w:r>
      <w:bookmarkEnd w:id="65"/>
      <w:bookmarkEnd w:id="66"/>
      <w:bookmarkEnd w:id="67"/>
      <w:bookmarkEnd w:id="68"/>
      <w:bookmarkEnd w:id="69"/>
      <w:bookmarkEnd w:id="70"/>
      <w:bookmarkEnd w:id="71"/>
    </w:p>
    <w:p w14:paraId="20E1CE63">
      <w:pPr>
        <w:widowControl/>
        <w:snapToGrid w:val="0"/>
        <w:spacing w:line="360" w:lineRule="auto"/>
        <w:ind w:firstLine="560" w:firstLineChars="200"/>
        <w:outlineLvl w:val="1"/>
        <w:rPr>
          <w:rFonts w:ascii="宋体" w:hAnsi="宋体" w:cs="宋体"/>
          <w:sz w:val="28"/>
          <w:szCs w:val="28"/>
        </w:rPr>
      </w:pPr>
      <w:bookmarkStart w:id="84" w:name="_Toc1030"/>
      <w:bookmarkStart w:id="85" w:name="_Toc7376"/>
      <w:bookmarkStart w:id="86" w:name="_Toc17454"/>
      <w:bookmarkStart w:id="87" w:name="_Toc29824"/>
      <w:r>
        <w:rPr>
          <w:rFonts w:hint="eastAsia" w:ascii="宋体" w:hAnsi="宋体" w:cs="宋体"/>
          <w:sz w:val="28"/>
          <w:szCs w:val="28"/>
          <w:lang w:eastAsia="zh-CN"/>
        </w:rPr>
        <w:t>七</w:t>
      </w:r>
      <w:r>
        <w:rPr>
          <w:rFonts w:hint="eastAsia" w:ascii="宋体" w:hAnsi="宋体" w:cs="宋体"/>
          <w:sz w:val="28"/>
          <w:szCs w:val="28"/>
        </w:rPr>
        <w:t>、违约责任</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4656E5AB">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1.按《中华人民共和国民法典》中的相关条款执行。 </w:t>
      </w:r>
    </w:p>
    <w:p w14:paraId="1CA82A36">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2.乙方履约延误 </w:t>
      </w:r>
    </w:p>
    <w:p w14:paraId="4DE094B0">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2-1.如乙方事先未征得甲方同意并得到甲方的谅解而单方面延迟交货，将按违约终止合同。 </w:t>
      </w:r>
    </w:p>
    <w:p w14:paraId="3759290B">
      <w:pPr>
        <w:widowControl/>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 xml:space="preserve">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w:t>
      </w:r>
    </w:p>
    <w:p w14:paraId="0FF696BB">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3.违约终止合同:未按合同要求提供货物或质量不能满足技术要求，甲方会同监督机构有权终止合同，对乙方违约行为进行追究，同时按政府采购法的有关规定进行相应的处罚。</w:t>
      </w:r>
    </w:p>
    <w:p w14:paraId="4A9418DF">
      <w:pPr>
        <w:widowControl/>
        <w:snapToGrid w:val="0"/>
        <w:spacing w:line="360" w:lineRule="auto"/>
        <w:ind w:firstLine="560" w:firstLineChars="200"/>
        <w:outlineLvl w:val="1"/>
        <w:rPr>
          <w:rFonts w:ascii="宋体" w:hAnsi="宋体" w:cs="宋体"/>
          <w:sz w:val="28"/>
          <w:szCs w:val="28"/>
          <w:lang w:val="zh-CN"/>
        </w:rPr>
      </w:pPr>
      <w:bookmarkStart w:id="88" w:name="_Toc23085"/>
      <w:bookmarkStart w:id="89" w:name="_Toc1732"/>
      <w:bookmarkStart w:id="90" w:name="_Toc23862"/>
      <w:bookmarkStart w:id="91" w:name="_Toc991"/>
      <w:bookmarkStart w:id="92" w:name="_Toc25236"/>
      <w:bookmarkStart w:id="93" w:name="_Toc12882"/>
      <w:bookmarkStart w:id="94" w:name="_Toc24377"/>
      <w:r>
        <w:rPr>
          <w:rFonts w:hint="eastAsia" w:ascii="宋体" w:hAnsi="宋体" w:cs="宋体"/>
          <w:sz w:val="28"/>
          <w:szCs w:val="28"/>
          <w:lang w:val="zh-CN"/>
        </w:rPr>
        <w:t>八、</w:t>
      </w:r>
      <w:bookmarkEnd w:id="88"/>
      <w:bookmarkEnd w:id="89"/>
      <w:bookmarkEnd w:id="90"/>
      <w:bookmarkEnd w:id="91"/>
      <w:bookmarkEnd w:id="92"/>
      <w:bookmarkEnd w:id="93"/>
      <w:r>
        <w:rPr>
          <w:rFonts w:hint="eastAsia" w:ascii="宋体" w:hAnsi="宋体" w:cs="宋体"/>
          <w:sz w:val="28"/>
          <w:szCs w:val="28"/>
          <w:lang w:val="zh-CN"/>
        </w:rPr>
        <w:t>验收</w:t>
      </w:r>
      <w:bookmarkEnd w:id="94"/>
    </w:p>
    <w:p w14:paraId="213F7A12">
      <w:pPr>
        <w:widowControl/>
        <w:snapToGrid w:val="0"/>
        <w:spacing w:line="360" w:lineRule="auto"/>
        <w:ind w:firstLine="560" w:firstLineChars="200"/>
        <w:outlineLvl w:val="1"/>
        <w:rPr>
          <w:rFonts w:hint="eastAsia" w:ascii="宋体" w:hAnsi="宋体" w:cs="宋体"/>
          <w:sz w:val="28"/>
          <w:szCs w:val="28"/>
          <w:lang w:eastAsia="zh-CN"/>
        </w:rPr>
      </w:pPr>
      <w:bookmarkStart w:id="95" w:name="_Toc19261"/>
      <w:bookmarkStart w:id="96" w:name="_Toc24825"/>
      <w:bookmarkStart w:id="97" w:name="_Toc4590"/>
      <w:bookmarkStart w:id="98" w:name="_Toc21089"/>
      <w:bookmarkStart w:id="99" w:name="_Toc9439"/>
      <w:bookmarkStart w:id="100" w:name="_Toc21405"/>
      <w:bookmarkStart w:id="101" w:name="_Toc15912"/>
      <w:bookmarkStart w:id="102" w:name="_Toc16165"/>
      <w:bookmarkStart w:id="103" w:name="_Toc9412"/>
      <w:bookmarkStart w:id="104" w:name="_Toc23558"/>
      <w:bookmarkStart w:id="105" w:name="_Toc9738"/>
      <w:bookmarkStart w:id="106" w:name="_Toc29475"/>
      <w:bookmarkStart w:id="107" w:name="_Toc16533"/>
      <w:bookmarkStart w:id="108" w:name="_Toc10938"/>
      <w:bookmarkStart w:id="109" w:name="_Toc27711"/>
      <w:bookmarkStart w:id="110" w:name="_Toc18947"/>
      <w:r>
        <w:rPr>
          <w:rFonts w:hint="eastAsia" w:ascii="宋体" w:hAnsi="宋体" w:cs="宋体"/>
          <w:sz w:val="28"/>
          <w:szCs w:val="28"/>
          <w:lang w:eastAsia="zh-CN"/>
        </w:rPr>
        <w:t>1、硬件设备到达甲方指定地点后，组织现场开箱请点验货。所到设备的型号和数量必须与合同一致，甲方和乙方共同签署到货验收单。未签收到货验收单的货物不得擅自开箱安装。</w:t>
      </w:r>
    </w:p>
    <w:p w14:paraId="21AAD5BB">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2、乙方保证合同所有设备是全新的（包括零部件），其规格参数及配件不低于（符合）本项目招投标文件的要求。</w:t>
      </w:r>
    </w:p>
    <w:p w14:paraId="7ABD1B33">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3、安装完成，乙方进行自测并形成自测报告（软硬件），出现的问题限期整改。自检最终通过后，乙方提出验收申请，甲方组织相关人员进行最终验收。</w:t>
      </w:r>
    </w:p>
    <w:p w14:paraId="6534FC5F">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4、设备采购从通过最终验收之日起进入保修期，提供原厂保修升级。</w:t>
      </w:r>
    </w:p>
    <w:p w14:paraId="701C69F5">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九、其他要求</w:t>
      </w:r>
    </w:p>
    <w:p w14:paraId="6653AB2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1、乙方对其所提供软硬件设备、材料等负责备品配件的供应,长期提供维修服务，并提供技术咨询等服务。质保期内应无偿负责的维修和替换等工作。超出质保期只收取维修所需原设备、材料成本费用。</w:t>
      </w:r>
    </w:p>
    <w:p w14:paraId="4E6C8712">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2、服务响应时限：7*24小时服务，提供售后服务电话（应具有：固定电话、移动电话、传真）。</w:t>
      </w:r>
    </w:p>
    <w:p w14:paraId="0A3D807D">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3、派专人对学校提供售后服务，并每月定期对所提供的软硬件设备、材料等进行巡检，做好巡检记录。</w:t>
      </w:r>
    </w:p>
    <w:p w14:paraId="20E313BF">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4、维修工作时间不大于24小时，更换工作时间不大于72小时。</w:t>
      </w:r>
    </w:p>
    <w:p w14:paraId="5924B565">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5、乙方应无偿对学校指定人员在现场进行维护、使用说明的培训，使用甲方够完成现场日常操作，技术人员能完成系统维护工作，并制作维护使用手册。</w:t>
      </w:r>
    </w:p>
    <w:p w14:paraId="3215236A">
      <w:pPr>
        <w:widowControl/>
        <w:snapToGrid w:val="0"/>
        <w:spacing w:line="360" w:lineRule="auto"/>
        <w:ind w:firstLine="560" w:firstLineChars="200"/>
        <w:outlineLvl w:val="1"/>
        <w:rPr>
          <w:rFonts w:hint="eastAsia" w:ascii="宋体" w:hAnsi="宋体" w:cs="宋体"/>
          <w:sz w:val="28"/>
          <w:szCs w:val="28"/>
          <w:lang w:eastAsia="zh-CN"/>
        </w:rPr>
      </w:pPr>
      <w:r>
        <w:rPr>
          <w:rFonts w:hint="eastAsia" w:ascii="宋体" w:hAnsi="宋体" w:cs="宋体"/>
          <w:sz w:val="28"/>
          <w:szCs w:val="28"/>
          <w:lang w:eastAsia="zh-CN"/>
        </w:rPr>
        <w:t>6、在保修期内更换系统中部件（包括软件和硬件），其保修期应相应延长。</w:t>
      </w:r>
    </w:p>
    <w:p w14:paraId="1E3ED903">
      <w:pPr>
        <w:widowControl/>
        <w:snapToGrid w:val="0"/>
        <w:spacing w:line="360" w:lineRule="auto"/>
        <w:ind w:firstLine="560" w:firstLineChars="200"/>
        <w:outlineLvl w:val="1"/>
        <w:rPr>
          <w:rFonts w:ascii="宋体" w:hAnsi="宋体" w:cs="宋体"/>
          <w:sz w:val="28"/>
          <w:szCs w:val="28"/>
        </w:rPr>
      </w:pPr>
      <w:r>
        <w:rPr>
          <w:rFonts w:hint="eastAsia" w:ascii="宋体" w:hAnsi="宋体" w:cs="宋体"/>
          <w:sz w:val="28"/>
          <w:szCs w:val="28"/>
          <w:lang w:eastAsia="zh-CN"/>
        </w:rPr>
        <w:t>十</w:t>
      </w:r>
      <w:r>
        <w:rPr>
          <w:rFonts w:hint="eastAsia" w:ascii="宋体" w:hAnsi="宋体" w:cs="宋体"/>
          <w:sz w:val="28"/>
          <w:szCs w:val="28"/>
        </w:rPr>
        <w:t>、其他事项</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0D74F6AE">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（一）采购人监督部门在合同的履行期间以及履行期后，可以随时检查项目的执行情况，对采购内容进行调查核实，并对发现的问题进行处理。</w:t>
      </w:r>
    </w:p>
    <w:p w14:paraId="6B4BD16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（二）本合同一式</w:t>
      </w:r>
      <w:r>
        <w:rPr>
          <w:rFonts w:hint="eastAsia" w:ascii="宋体" w:hAnsi="宋体" w:cs="宋体"/>
          <w:sz w:val="28"/>
          <w:szCs w:val="28"/>
          <w:u w:val="single"/>
          <w:lang w:eastAsia="zh-CN"/>
        </w:rPr>
        <w:t>四</w:t>
      </w:r>
      <w:r>
        <w:rPr>
          <w:rFonts w:hint="eastAsia" w:ascii="宋体" w:hAnsi="宋体" w:cs="宋体"/>
          <w:sz w:val="28"/>
          <w:szCs w:val="28"/>
        </w:rPr>
        <w:t>份，甲方</w:t>
      </w:r>
      <w:r>
        <w:rPr>
          <w:rFonts w:hint="eastAsia" w:ascii="宋体" w:hAnsi="宋体" w:cs="宋体"/>
          <w:sz w:val="28"/>
          <w:szCs w:val="28"/>
          <w:u w:val="single"/>
        </w:rPr>
        <w:t xml:space="preserve"> </w:t>
      </w:r>
      <w:r>
        <w:rPr>
          <w:rFonts w:hint="eastAsia" w:ascii="宋体" w:hAnsi="宋体" w:cs="宋体"/>
          <w:sz w:val="28"/>
          <w:szCs w:val="28"/>
          <w:u w:val="single"/>
          <w:lang w:eastAsia="zh-CN"/>
        </w:rPr>
        <w:t>二</w:t>
      </w:r>
      <w:r>
        <w:rPr>
          <w:rFonts w:hint="eastAsia" w:ascii="宋体" w:hAnsi="宋体" w:cs="宋体"/>
          <w:sz w:val="28"/>
          <w:szCs w:val="28"/>
          <w:u w:val="single"/>
        </w:rPr>
        <w:t xml:space="preserve"> </w:t>
      </w:r>
      <w:r>
        <w:rPr>
          <w:rFonts w:hint="eastAsia" w:ascii="宋体" w:hAnsi="宋体" w:cs="宋体"/>
          <w:sz w:val="28"/>
          <w:szCs w:val="28"/>
        </w:rPr>
        <w:t>份，乙方</w:t>
      </w:r>
      <w:r>
        <w:rPr>
          <w:rFonts w:hint="eastAsia" w:ascii="宋体" w:hAnsi="宋体" w:cs="宋体"/>
          <w:sz w:val="28"/>
          <w:szCs w:val="28"/>
          <w:u w:val="single"/>
        </w:rPr>
        <w:t xml:space="preserve"> 二 </w:t>
      </w:r>
      <w:r>
        <w:rPr>
          <w:rFonts w:hint="eastAsia" w:ascii="宋体" w:hAnsi="宋体" w:cs="宋体"/>
          <w:sz w:val="28"/>
          <w:szCs w:val="28"/>
        </w:rPr>
        <w:t xml:space="preserve"> 份，甲乙双方签字盖章后生效。</w:t>
      </w:r>
    </w:p>
    <w:p w14:paraId="20DB0825">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（三）</w:t>
      </w:r>
      <w:r>
        <w:rPr>
          <w:rFonts w:hint="eastAsia" w:ascii="宋体" w:hAnsi="宋体" w:cs="宋体"/>
          <w:sz w:val="28"/>
          <w:szCs w:val="28"/>
          <w:lang w:eastAsia="zh-CN"/>
        </w:rPr>
        <w:t>谈判文件</w:t>
      </w:r>
      <w:r>
        <w:rPr>
          <w:rFonts w:hint="eastAsia" w:ascii="宋体" w:hAnsi="宋体" w:cs="宋体"/>
          <w:sz w:val="28"/>
          <w:szCs w:val="28"/>
        </w:rPr>
        <w:t>、响应文件也是合同的组成部分，合同中未约定的以</w:t>
      </w:r>
      <w:r>
        <w:rPr>
          <w:rFonts w:hint="eastAsia" w:ascii="宋体" w:hAnsi="宋体" w:cs="宋体"/>
          <w:sz w:val="28"/>
          <w:szCs w:val="28"/>
          <w:lang w:eastAsia="zh-CN"/>
        </w:rPr>
        <w:t>谈判文件</w:t>
      </w:r>
      <w:r>
        <w:rPr>
          <w:rFonts w:hint="eastAsia" w:ascii="宋体" w:hAnsi="宋体" w:cs="宋体"/>
          <w:sz w:val="28"/>
          <w:szCs w:val="28"/>
        </w:rPr>
        <w:t>、响应文件为准。</w:t>
      </w:r>
    </w:p>
    <w:p w14:paraId="4251BC81">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（四）未尽事宜双方共同协商制定。</w:t>
      </w:r>
    </w:p>
    <w:p w14:paraId="1780C8BC">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合同签订地点：   </w:t>
      </w:r>
    </w:p>
    <w:p w14:paraId="4642BF1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合同签订时间：    年   月    日</w:t>
      </w:r>
    </w:p>
    <w:p w14:paraId="5E98C0DC">
      <w:pPr>
        <w:widowControl/>
        <w:snapToGrid w:val="0"/>
        <w:spacing w:line="360" w:lineRule="auto"/>
        <w:ind w:firstLine="560" w:firstLineChars="200"/>
        <w:rPr>
          <w:rFonts w:hint="eastAsia" w:ascii="宋体" w:hAnsi="宋体" w:eastAsia="宋体" w:cs="宋体"/>
          <w:sz w:val="28"/>
          <w:szCs w:val="28"/>
          <w:lang w:eastAsia="zh-CN"/>
        </w:rPr>
      </w:pPr>
      <w:r>
        <w:rPr>
          <w:rFonts w:hint="eastAsia" w:ascii="宋体" w:hAnsi="宋体" w:cs="宋体"/>
          <w:sz w:val="28"/>
          <w:szCs w:val="28"/>
        </w:rPr>
        <w:t>甲    方</w:t>
      </w:r>
      <w:r>
        <w:rPr>
          <w:rFonts w:hint="eastAsia" w:ascii="宋体" w:hAnsi="宋体" w:cs="宋体"/>
          <w:sz w:val="28"/>
          <w:szCs w:val="28"/>
          <w:lang w:eastAsia="zh-CN"/>
        </w:rPr>
        <w:t>：</w:t>
      </w:r>
      <w:r>
        <w:rPr>
          <w:rFonts w:hint="eastAsia" w:ascii="宋体" w:hAnsi="宋体" w:cs="宋体"/>
          <w:sz w:val="28"/>
          <w:szCs w:val="28"/>
        </w:rPr>
        <w:t xml:space="preserve">                          乙    方</w:t>
      </w:r>
      <w:r>
        <w:rPr>
          <w:rFonts w:hint="eastAsia" w:ascii="宋体" w:hAnsi="宋体" w:cs="宋体"/>
          <w:sz w:val="28"/>
          <w:szCs w:val="28"/>
          <w:lang w:eastAsia="zh-CN"/>
        </w:rPr>
        <w:t>：</w:t>
      </w:r>
    </w:p>
    <w:p w14:paraId="23267848">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单位名称：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单位名称： </w:t>
      </w:r>
    </w:p>
    <w:p w14:paraId="2E2B1A8E">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地   址：  </w:t>
      </w:r>
      <w:r>
        <w:rPr>
          <w:rFonts w:hint="eastAsia" w:ascii="宋体" w:hAnsi="宋体" w:cs="宋体"/>
          <w:sz w:val="28"/>
          <w:szCs w:val="28"/>
        </w:rPr>
        <w:tab/>
      </w:r>
      <w:r>
        <w:rPr>
          <w:rFonts w:hint="eastAsia" w:ascii="宋体" w:hAnsi="宋体" w:cs="宋体"/>
          <w:sz w:val="28"/>
          <w:szCs w:val="28"/>
        </w:rPr>
        <w:t xml:space="preserve">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地    址：</w:t>
      </w:r>
    </w:p>
    <w:p w14:paraId="2B76521A">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法人代表：                         法人代表： </w:t>
      </w:r>
    </w:p>
    <w:p w14:paraId="23404395">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联系电话：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联系电话： </w:t>
      </w:r>
    </w:p>
    <w:p w14:paraId="68150B5D">
      <w:pPr>
        <w:widowControl/>
        <w:snapToGrid w:val="0"/>
        <w:spacing w:line="360" w:lineRule="auto"/>
        <w:ind w:firstLine="560" w:firstLineChars="200"/>
        <w:rPr>
          <w:rFonts w:ascii="宋体" w:hAnsi="宋体" w:cs="宋体"/>
          <w:sz w:val="28"/>
          <w:szCs w:val="28"/>
        </w:rPr>
      </w:pPr>
      <w:r>
        <w:rPr>
          <w:rFonts w:hint="eastAsia" w:ascii="宋体" w:hAnsi="宋体" w:cs="宋体"/>
          <w:sz w:val="28"/>
          <w:szCs w:val="28"/>
        </w:rPr>
        <w:t xml:space="preserve">开 户 行：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开 户 行： </w:t>
      </w:r>
    </w:p>
    <w:p w14:paraId="3ED71500">
      <w:pPr>
        <w:pStyle w:val="8"/>
        <w:keepLines w:val="0"/>
        <w:pageBreakBefore w:val="0"/>
        <w:kinsoku/>
        <w:overflowPunct/>
        <w:topLinePunct w:val="0"/>
        <w:bidi w:val="0"/>
        <w:spacing w:line="360" w:lineRule="auto"/>
        <w:ind w:firstLine="560" w:firstLineChars="200"/>
        <w:jc w:val="both"/>
        <w:textAlignment w:val="auto"/>
        <w:outlineLvl w:val="9"/>
        <w:rPr>
          <w:rFonts w:hint="eastAsia" w:ascii="宋体" w:hAnsi="宋体" w:eastAsia="宋体" w:cs="宋体"/>
          <w:b/>
          <w:bCs w:val="0"/>
          <w:sz w:val="32"/>
          <w:szCs w:val="32"/>
          <w:highlight w:val="none"/>
        </w:rPr>
      </w:pPr>
      <w:r>
        <w:rPr>
          <w:rFonts w:hint="eastAsia" w:ascii="宋体" w:hAnsi="宋体" w:cs="宋体"/>
          <w:sz w:val="28"/>
          <w:szCs w:val="28"/>
        </w:rPr>
        <w:t xml:space="preserve">账    号：             </w:t>
      </w:r>
      <w:r>
        <w:rPr>
          <w:rFonts w:hint="eastAsia" w:ascii="宋体" w:hAnsi="宋体" w:cs="宋体"/>
          <w:sz w:val="28"/>
          <w:szCs w:val="28"/>
        </w:rPr>
        <w:tab/>
      </w:r>
      <w:r>
        <w:rPr>
          <w:rFonts w:hint="eastAsia" w:ascii="宋体" w:hAnsi="宋体" w:cs="宋体"/>
          <w:sz w:val="28"/>
          <w:szCs w:val="28"/>
        </w:rPr>
        <w:tab/>
      </w:r>
      <w:r>
        <w:rPr>
          <w:rFonts w:hint="eastAsia" w:ascii="宋体" w:hAnsi="宋体" w:cs="宋体"/>
          <w:sz w:val="28"/>
          <w:szCs w:val="28"/>
        </w:rPr>
        <w:t xml:space="preserve">   </w:t>
      </w:r>
      <w:r>
        <w:rPr>
          <w:rFonts w:hint="eastAsia" w:ascii="宋体" w:hAnsi="宋体" w:cs="宋体"/>
          <w:sz w:val="28"/>
          <w:szCs w:val="28"/>
        </w:rPr>
        <w:tab/>
      </w:r>
      <w:r>
        <w:rPr>
          <w:rFonts w:hint="eastAsia" w:ascii="宋体" w:hAnsi="宋体" w:cs="宋体"/>
          <w:sz w:val="28"/>
          <w:szCs w:val="28"/>
        </w:rPr>
        <w:t>账    号：</w:t>
      </w:r>
    </w:p>
    <w:bookmarkEnd w:id="0"/>
    <w:bookmarkEnd w:id="1"/>
    <w:bookmarkEnd w:id="2"/>
    <w:p w14:paraId="22915BFE">
      <w:pPr>
        <w:pStyle w:val="2"/>
        <w:spacing w:before="120" w:beforeLines="50" w:after="240" w:afterLines="100" w:line="360" w:lineRule="auto"/>
        <w:ind w:firstLine="0"/>
        <w:jc w:val="center"/>
        <w:outlineLvl w:val="0"/>
        <w:rPr>
          <w:rFonts w:hint="eastAsia" w:ascii="宋体" w:hAnsi="宋体" w:eastAsia="宋体" w:cs="宋体"/>
          <w:b/>
          <w:color w:val="auto"/>
          <w:kern w:val="44"/>
          <w:sz w:val="32"/>
          <w:szCs w:val="32"/>
          <w:highlight w:val="none"/>
        </w:rPr>
      </w:pPr>
    </w:p>
    <w:p w14:paraId="278727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00000000"/>
    <w:rsid w:val="01402549"/>
    <w:rsid w:val="05655F50"/>
    <w:rsid w:val="070A32F3"/>
    <w:rsid w:val="07CF1BFD"/>
    <w:rsid w:val="25A465A5"/>
    <w:rsid w:val="2F5C72E3"/>
    <w:rsid w:val="30D5713B"/>
    <w:rsid w:val="3B7503E1"/>
    <w:rsid w:val="520103CD"/>
    <w:rsid w:val="5257222D"/>
    <w:rsid w:val="569A6B8C"/>
    <w:rsid w:val="57185C45"/>
    <w:rsid w:val="76785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index 4"/>
    <w:basedOn w:val="1"/>
    <w:next w:val="1"/>
    <w:unhideWhenUsed/>
    <w:qFormat/>
    <w:uiPriority w:val="99"/>
    <w:pPr>
      <w:ind w:left="428" w:firstLine="14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autoRedefine/>
    <w:qFormat/>
    <w:uiPriority w:val="34"/>
    <w:pPr>
      <w:ind w:firstLine="420" w:firstLineChars="200"/>
    </w:pPr>
    <w:rPr>
      <w:szCs w:val="24"/>
    </w:rPr>
  </w:style>
  <w:style w:type="paragraph" w:customStyle="1" w:styleId="8">
    <w:name w:val="Default Tex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1633</Words>
  <Characters>1663</Characters>
  <Lines>0</Lines>
  <Paragraphs>0</Paragraphs>
  <TotalTime>2</TotalTime>
  <ScaleCrop>false</ScaleCrop>
  <LinksUpToDate>false</LinksUpToDate>
  <CharactersWithSpaces>1927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2024-03-15T04:43:00Z</dcterms:created>
  <dc:creator>Administrator</dc:creator>
  <cp:lastModifiedBy>Cx330</cp:lastModifiedBy>
  <dcterms:modified xsi:type="dcterms:W3CDTF">2025-12-26T08:31:42Z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1A330483D6F74E16ACA3278D0F68A9B7_12</vt:lpwstr>
  </property>
  <property fmtid="{D5CDD505-2E9C-101B-9397-08002B2CF9AE}" pid="4" name="KSOTemplateDocerSaveRecord">
    <vt:lpwstr>eyJoZGlkIjoiZWExOGI5Yjk1MDg4NWE4NzZlYjI4NDg5NWQ4MGNhMmIiLCJ1c2VySWQiOiIzODMzMzQ2ODAifQ==</vt:lpwstr>
  </property>
</Properties>
</file>