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版本号：ZX2025-11-0520251209001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家门口就业创业服务驿站运营服务项目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ZX2025-11-05</w:t>
      </w:r>
      <w:r>
        <w:br/>
      </w:r>
      <w:r>
        <w:br/>
      </w:r>
      <w:r>
        <w:br/>
      </w:r>
    </w:p>
    <w:p>
      <w:pPr>
        <w:pStyle w:val="null3"/>
        <w:jc w:val="center"/>
        <w:outlineLvl w:val="2"/>
      </w:pPr>
      <w:r>
        <w:rPr>
          <w:rFonts w:ascii="仿宋_GB2312" w:hAnsi="仿宋_GB2312" w:cs="仿宋_GB2312" w:eastAsia="仿宋_GB2312"/>
          <w:sz w:val="28"/>
          <w:b/>
        </w:rPr>
        <w:t>西安市碑林区人力资源和社会保障局（本级）</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西安市碑林区人力资源和社会保障局（本级）</w:t>
      </w:r>
      <w:r>
        <w:rPr>
          <w:rFonts w:ascii="仿宋_GB2312" w:hAnsi="仿宋_GB2312" w:cs="仿宋_GB2312" w:eastAsia="仿宋_GB2312"/>
        </w:rPr>
        <w:t>委托，拟对</w:t>
      </w:r>
      <w:r>
        <w:rPr>
          <w:rFonts w:ascii="仿宋_GB2312" w:hAnsi="仿宋_GB2312" w:cs="仿宋_GB2312" w:eastAsia="仿宋_GB2312"/>
        </w:rPr>
        <w:t>家门口就业创业服务驿站运营服务项目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家门口就业创业服务驿站运营服务项目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家门口就业创业服务驿站运营服务项目，1项，具体内容详见磋商文件第三章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采购包1（家门口就业创业服务驿站运营服务项目）：属于专门面向中小企业采购。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西安市碑林区人力资源和社会保障局（本级）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陕西省西安市碑林区炮房街 99 号人力资源和社会保障服务中心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蔡丹 王宇轩 马演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代理服务费收费标准：参照国家计委计价格[2002]1980号及发改办价格[2003]857号通知按预算计取，由成交供应商支付代理服务费。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西安市碑林区人力资源和社会保障局（本级）</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西安市碑林区人力资源和社会保障局（本级）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西安市碑林区人力资源和社会保障局（本级）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家门口就业创业服务驿站运营服务项目</w:t>
      </w:r>
      <w:r>
        <w:rPr>
          <w:rFonts w:ascii="仿宋_GB2312" w:hAnsi="仿宋_GB2312" w:cs="仿宋_GB2312" w:eastAsia="仿宋_GB2312"/>
          <w:sz w:val="21"/>
        </w:rPr>
        <w:t>，具体内容详见磋商文件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贯彻落实《关于印发《西安市就业创业服务驿站建设指引(试行)》的通知》（市人社函〔2025〕87）号文件精神，深入推动碑林区就业创业服务工作向街道、社区基层延伸，提升基层就业公共服务效能，打造具有碑林特色的“家门口就业创业服务驿站”，拟购买“家门口就业创业服务驿站建设”运营服务。</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（一）基础服务</w:t>
            </w:r>
          </w:p>
          <w:p>
            <w:pPr>
              <w:pStyle w:val="null3"/>
            </w:pPr>
            <w:r>
              <w:rPr>
                <w:rFonts w:ascii="仿宋_GB2312" w:hAnsi="仿宋_GB2312" w:cs="仿宋_GB2312" w:eastAsia="仿宋_GB2312"/>
              </w:rPr>
              <w:t>1.就业创业政策宣传与咨询：通过宣传资料、线上平台、线下讲解等方式，向居民宣传就业创业政策，解答政策疑问。</w:t>
            </w:r>
          </w:p>
          <w:p>
            <w:pPr>
              <w:pStyle w:val="null3"/>
            </w:pPr>
            <w:r>
              <w:rPr>
                <w:rFonts w:ascii="仿宋_GB2312" w:hAnsi="仿宋_GB2312" w:cs="仿宋_GB2312" w:eastAsia="仿宋_GB2312"/>
              </w:rPr>
              <w:t>2.岗位信息归集与信息发布：每周收集整理辖区企业特别是楼宇企业的招聘岗位信息，通过宣传栏、电子屏、社区微信群、线上平台等多渠道发布，确保招聘、求职、培训、创业等信息及时更新。</w:t>
            </w:r>
          </w:p>
          <w:p>
            <w:pPr>
              <w:pStyle w:val="null3"/>
            </w:pPr>
            <w:r>
              <w:rPr>
                <w:rFonts w:ascii="仿宋_GB2312" w:hAnsi="仿宋_GB2312" w:cs="仿宋_GB2312" w:eastAsia="仿宋_GB2312"/>
              </w:rPr>
              <w:t>3.求职登记与推荐：为有就业意愿的居民提供求职登记服务，根据其需求和技能匹配推荐岗位，跟踪推荐结果，做好后续服务。</w:t>
            </w:r>
          </w:p>
          <w:p>
            <w:pPr>
              <w:pStyle w:val="null3"/>
            </w:pPr>
            <w:r>
              <w:rPr>
                <w:rFonts w:ascii="仿宋_GB2312" w:hAnsi="仿宋_GB2312" w:cs="仿宋_GB2312" w:eastAsia="仿宋_GB2312"/>
              </w:rPr>
              <w:t>4.心理疏导：通过现场心理咨询等方式，帮助失业人员、求职困难群体缓解焦虑、抑郁等情绪。通过心理状态评估，帮助求职者明确职业定位，减少因盲目求职导致的频繁离职。</w:t>
            </w:r>
          </w:p>
          <w:p>
            <w:pPr>
              <w:pStyle w:val="null3"/>
            </w:pPr>
            <w:r>
              <w:rPr>
                <w:rFonts w:ascii="仿宋_GB2312" w:hAnsi="仿宋_GB2312" w:cs="仿宋_GB2312" w:eastAsia="仿宋_GB2312"/>
              </w:rPr>
              <w:t>5.每周固定时间安排工作人员到驿站开展常态化服务，服务包含但不限于以上政策咨询、求职登记、岗位推荐、就业指导、心理疏导等内容。</w:t>
            </w:r>
          </w:p>
          <w:p>
            <w:pPr>
              <w:pStyle w:val="null3"/>
            </w:pPr>
            <w:r>
              <w:rPr>
                <w:rFonts w:ascii="仿宋_GB2312" w:hAnsi="仿宋_GB2312" w:cs="仿宋_GB2312" w:eastAsia="仿宋_GB2312"/>
              </w:rPr>
              <w:t>（二）延伸服务</w:t>
            </w:r>
          </w:p>
          <w:p>
            <w:pPr>
              <w:pStyle w:val="null3"/>
            </w:pPr>
            <w:r>
              <w:rPr>
                <w:rFonts w:ascii="仿宋_GB2312" w:hAnsi="仿宋_GB2312" w:cs="仿宋_GB2312" w:eastAsia="仿宋_GB2312"/>
              </w:rPr>
              <w:t>1.就业困难人员帮扶：对辖区就业困难人员等失业人员进行摸排登记，建立一人一档，制定个性化帮扶计划，提供职业指导、岗位推荐、技能培训等帮扶措施，确保帮扶对象实现就业。</w:t>
            </w:r>
          </w:p>
          <w:p>
            <w:pPr>
              <w:pStyle w:val="null3"/>
            </w:pPr>
            <w:r>
              <w:rPr>
                <w:rFonts w:ascii="仿宋_GB2312" w:hAnsi="仿宋_GB2312" w:cs="仿宋_GB2312" w:eastAsia="仿宋_GB2312"/>
              </w:rPr>
              <w:t>2.职业技能培训服务：根据辖区居民就业需求和企业用工需求，组织开展职业技能培训活动。</w:t>
            </w:r>
          </w:p>
          <w:p>
            <w:pPr>
              <w:pStyle w:val="null3"/>
            </w:pPr>
            <w:r>
              <w:rPr>
                <w:rFonts w:ascii="仿宋_GB2312" w:hAnsi="仿宋_GB2312" w:cs="仿宋_GB2312" w:eastAsia="仿宋_GB2312"/>
              </w:rPr>
              <w:t>3.楼宇岗位摸排：安排专业的工作人员定期深入辖区内的各类商务楼宇、产业园区等，重点针对写字楼内已入驻的企业进行岗位摸排，将摸排收集到的各类岗位信息进行分类整理和录入，建立详细的楼宇岗位信息数据库。</w:t>
            </w:r>
          </w:p>
          <w:p>
            <w:pPr>
              <w:pStyle w:val="null3"/>
            </w:pPr>
            <w:r>
              <w:rPr>
                <w:rFonts w:ascii="仿宋_GB2312" w:hAnsi="仿宋_GB2312" w:cs="仿宋_GB2312" w:eastAsia="仿宋_GB2312"/>
              </w:rPr>
              <w:t>4.创业指导与扶持：为有创业意愿的居民提供创业项目推荐、创业政策解读、创业担保贷款申请等指导服务，帮助创业者解决实际问题。</w:t>
            </w:r>
          </w:p>
          <w:p>
            <w:pPr>
              <w:pStyle w:val="null3"/>
            </w:pPr>
            <w:r>
              <w:rPr>
                <w:rFonts w:ascii="仿宋_GB2312" w:hAnsi="仿宋_GB2312" w:cs="仿宋_GB2312" w:eastAsia="仿宋_GB2312"/>
              </w:rPr>
              <w:t>5.每季度开展一次为期1-2天的求职训练营，根据服务人群（离校未就业毕业生、大龄失业人员、退役军人、宝妈等），精准化匹配训练营内容。</w:t>
            </w:r>
          </w:p>
          <w:p>
            <w:pPr>
              <w:pStyle w:val="null3"/>
            </w:pPr>
            <w:r>
              <w:rPr>
                <w:rFonts w:ascii="仿宋_GB2312" w:hAnsi="仿宋_GB2312" w:cs="仿宋_GB2312" w:eastAsia="仿宋_GB2312"/>
              </w:rPr>
              <w:t>6.依托家门口就业创业服务驿站组织开展各类求职招聘活动，形式不限于现场招聘会、就业指导活动、网络招聘会等。</w:t>
            </w:r>
          </w:p>
          <w:p>
            <w:pPr>
              <w:pStyle w:val="null3"/>
            </w:pPr>
            <w:r>
              <w:rPr>
                <w:rFonts w:ascii="仿宋_GB2312" w:hAnsi="仿宋_GB2312" w:cs="仿宋_GB2312" w:eastAsia="仿宋_GB2312"/>
              </w:rPr>
              <w:t>（三）数字化服务</w:t>
            </w:r>
          </w:p>
          <w:p>
            <w:pPr>
              <w:pStyle w:val="null3"/>
            </w:pPr>
            <w:r>
              <w:rPr>
                <w:rFonts w:ascii="仿宋_GB2312" w:hAnsi="仿宋_GB2312" w:cs="仿宋_GB2312" w:eastAsia="仿宋_GB2312"/>
              </w:rPr>
              <w:t>1.线上服务平台推广：引导居民使用“秦云就业”小程序、“碑林就创梦”微信公众号、“显摆招聘网-碑林招聘分站”等线上服务平台，方便居民随时随地获取就业信息、办理就业业务。</w:t>
            </w:r>
          </w:p>
          <w:p>
            <w:pPr>
              <w:pStyle w:val="null3"/>
            </w:pPr>
            <w:r>
              <w:rPr>
                <w:rFonts w:ascii="仿宋_GB2312" w:hAnsi="仿宋_GB2312" w:cs="仿宋_GB2312" w:eastAsia="仿宋_GB2312"/>
              </w:rPr>
              <w:t>2.数字赋能就业：利用数字化平台，从楼宇岗位摸排到线上精准匹配，形成“岗位采集-智能推荐-就业跟踪”全链条服务，同时依托网站开展线上招聘、直播带岗等活动。通过后台数据分析，精准掌握辖区居民就业需求和企业用工情况，实现就业服务的精准推送和个性化定制。</w:t>
            </w:r>
          </w:p>
          <w:p>
            <w:pPr>
              <w:pStyle w:val="null3"/>
            </w:pPr>
            <w:r>
              <w:rPr>
                <w:rFonts w:ascii="仿宋_GB2312" w:hAnsi="仿宋_GB2312" w:cs="仿宋_GB2312" w:eastAsia="仿宋_GB2312"/>
              </w:rPr>
              <w:t>3.数字求职一体机：配置数字求职一体机，岗位信息实时更新。</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 xml:space="preserve">   利用自有媒体、官方媒体等多渠道、多维度广泛宣传推广，强化驿站服务认知度与影响力；基于碑林区文旅资源打造融合历史文脉、市井烟火与数字创新特色家门口驿站空间；通过政策咨询、就业咨询服务等精准响应求职需求，建立动态更新的求职需求台账500人以上，服务覆盖超3000人次；深度联动辖区企业资源，系统摸排用工需求，建立企业用工需求库超500家，同步依托线上线下平台滚动发布岗位5000个以上；依托智能算法驱动的数字求职一体机，通过云端数据库与本地终端协同，实现岗位信息实时动态更新，同时配备专业团队保障设备运维、数据迭代及功能升级，全年释放岗位超5000个。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西安市碑林区人力资源和社会保障局指定地点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响应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14其他资料.docx 标的清单 报价表 商务部分偏离表.docx 资格证明文件.docx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供应商针对本项目工作目的、内容的理解是否清晰。能否清晰描述本次工作任务目标，对项目把握是否准确进行评审。 满足磋商文件要求，无瑕疵：8分；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审标准中关于“瑕疵”的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切实可行的针对本项目的整体服务方案，包括①服务目标、范围②服务方案及策略③服务标准④进度安排及保证⑤硬件设施配备等。方案须全面，对评审内容中的各项要求描述详细，且实施步骤清晰合理，具有针对性。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供应商提供针对本项目的工作流程。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3工作流程.docx</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供应商提供针对本项目开展配合媒体宣传方案，包括①本地知名媒体及各类官方媒体宣传配合方案②社交平台宣传方案（政策宣传小视频制作，微信公众号、抖音、微博等），方案须科学合理、切实可行。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4媒体宣传方案.docx</w:t>
            </w:r>
          </w:p>
        </w:tc>
      </w:tr>
      <w:tr>
        <w:tc>
          <w:tcPr>
            <w:tcW w:type="dxa" w:w="831"/>
            <w:vMerge/>
          </w:tcPr>
          <w:p/>
        </w:tc>
        <w:tc>
          <w:tcPr>
            <w:tcW w:type="dxa" w:w="1661"/>
          </w:tcPr>
          <w:p>
            <w:pPr>
              <w:pStyle w:val="null3"/>
            </w:pPr>
            <w:r>
              <w:rPr>
                <w:rFonts w:ascii="仿宋_GB2312" w:hAnsi="仿宋_GB2312" w:cs="仿宋_GB2312" w:eastAsia="仿宋_GB2312"/>
              </w:rPr>
              <w:t>物料设施设备</w:t>
            </w:r>
          </w:p>
        </w:tc>
        <w:tc>
          <w:tcPr>
            <w:tcW w:type="dxa" w:w="2492"/>
          </w:tcPr>
          <w:p>
            <w:pPr>
              <w:pStyle w:val="null3"/>
            </w:pPr>
            <w:r>
              <w:rPr>
                <w:rFonts w:ascii="仿宋_GB2312" w:hAnsi="仿宋_GB2312" w:cs="仿宋_GB2312" w:eastAsia="仿宋_GB2312"/>
              </w:rPr>
              <w:t>提供针对本项目拟配备的物料设施设备进行赋分。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5物料设施设备.docx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拟投入本项目的人员配备方案，有项目负责人、有专业的策划、宣传、服务、执行以及收尾团队；项目负责人了解相关专业、具有相关工作年限及经验。提供团队成员配备情况明细表及拟配备服务人员的简历介绍，包括人员的年龄、学历、专业、工作履历等信息。 满足磋商文件要求，无瑕疵：4分； 方案内容存在1处瑕疵：3分； 方案内容存在2处瑕疵：2分； 方案内容存在3处瑕疵：1分； 未提供或不满足磋商文件要求或内容存在4处及以上瑕疵：0分。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6人员配备方案.docx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供应商提供针对本项目的质量保障措施，能做到机构健全，工作信息收集、监督、反馈渠道及措施明确。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7质量保障措施.docx</w:t>
            </w:r>
          </w:p>
        </w:tc>
      </w:tr>
      <w:tr>
        <w:tc>
          <w:tcPr>
            <w:tcW w:type="dxa" w:w="831"/>
            <w:vMerge/>
          </w:tcPr>
          <w:p/>
        </w:tc>
        <w:tc>
          <w:tcPr>
            <w:tcW w:type="dxa" w:w="1661"/>
          </w:tcPr>
          <w:p>
            <w:pPr>
              <w:pStyle w:val="null3"/>
            </w:pPr>
            <w:r>
              <w:rPr>
                <w:rFonts w:ascii="仿宋_GB2312" w:hAnsi="仿宋_GB2312" w:cs="仿宋_GB2312" w:eastAsia="仿宋_GB2312"/>
              </w:rPr>
              <w:t>风险应对措施</w:t>
            </w:r>
          </w:p>
        </w:tc>
        <w:tc>
          <w:tcPr>
            <w:tcW w:type="dxa" w:w="2492"/>
          </w:tcPr>
          <w:p>
            <w:pPr>
              <w:pStyle w:val="null3"/>
            </w:pPr>
            <w:r>
              <w:rPr>
                <w:rFonts w:ascii="仿宋_GB2312" w:hAnsi="仿宋_GB2312" w:cs="仿宋_GB2312" w:eastAsia="仿宋_GB2312"/>
              </w:rPr>
              <w:t>供应商提供风险应对措施，包括数据保密与安全措施、法律合规风险、人员操作风险等。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8风险应对措施.docx</w:t>
            </w:r>
          </w:p>
        </w:tc>
      </w:tr>
      <w:tr>
        <w:tc>
          <w:tcPr>
            <w:tcW w:type="dxa" w:w="831"/>
            <w:vMerge/>
          </w:tcPr>
          <w:p/>
        </w:tc>
        <w:tc>
          <w:tcPr>
            <w:tcW w:type="dxa" w:w="1661"/>
          </w:tcPr>
          <w:p>
            <w:pPr>
              <w:pStyle w:val="null3"/>
            </w:pPr>
            <w:r>
              <w:rPr>
                <w:rFonts w:ascii="仿宋_GB2312" w:hAnsi="仿宋_GB2312" w:cs="仿宋_GB2312" w:eastAsia="仿宋_GB2312"/>
              </w:rPr>
              <w:t>突发事件解决方案</w:t>
            </w:r>
          </w:p>
        </w:tc>
        <w:tc>
          <w:tcPr>
            <w:tcW w:type="dxa" w:w="2492"/>
          </w:tcPr>
          <w:p>
            <w:pPr>
              <w:pStyle w:val="null3"/>
            </w:pPr>
            <w:r>
              <w:rPr>
                <w:rFonts w:ascii="仿宋_GB2312" w:hAnsi="仿宋_GB2312" w:cs="仿宋_GB2312" w:eastAsia="仿宋_GB2312"/>
              </w:rPr>
              <w:t>供应商提供针对数据丢失、设备故障及其他突发事件提出具体且具有针对性的预防与应对办法。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9突发事件解决方案.docx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供应商提供针对本项目的切实的增值服务，每提供一个经磋商小组一致认定的切实、可行性强的增值服务计2分，满分4分。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10增值服务.docx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供应商提供针对本项目的合理化建议，每提供一个经磋商小组一致认定的完整合理、可行性强的合理化建议计2分，满分4分。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11合理化建议.docx</w:t>
            </w:r>
          </w:p>
        </w:tc>
      </w:tr>
      <w:tr>
        <w:tc>
          <w:tcPr>
            <w:tcW w:type="dxa" w:w="831"/>
            <w:vMerge/>
          </w:tcPr>
          <w:p/>
        </w:tc>
        <w:tc>
          <w:tcPr>
            <w:tcW w:type="dxa" w:w="1661"/>
          </w:tcPr>
          <w:p>
            <w:pPr>
              <w:pStyle w:val="null3"/>
            </w:pPr>
            <w:r>
              <w:rPr>
                <w:rFonts w:ascii="仿宋_GB2312" w:hAnsi="仿宋_GB2312" w:cs="仿宋_GB2312" w:eastAsia="仿宋_GB2312"/>
              </w:rPr>
              <w:t>整改承诺</w:t>
            </w:r>
          </w:p>
        </w:tc>
        <w:tc>
          <w:tcPr>
            <w:tcW w:type="dxa" w:w="2492"/>
          </w:tcPr>
          <w:p>
            <w:pPr>
              <w:pStyle w:val="null3"/>
            </w:pPr>
            <w:r>
              <w:rPr>
                <w:rFonts w:ascii="仿宋_GB2312" w:hAnsi="仿宋_GB2312" w:cs="仿宋_GB2312" w:eastAsia="仿宋_GB2312"/>
              </w:rPr>
              <w:t>供应商对采购人提出的意见和建议，要认真及时加以整改，承诺若出现不符合工作要求的服务人员，须根据采购人要求及时进行更换、补充。承诺完整计2分；未提供或不完整均不计分。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12整改承诺.docx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供应商从2022年1月1日以来（以合同签订日期为准）同类项目业绩，每提供一个1个计2分，最高得8分。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详见附件：2整体服务方案.docx</w:t>
      </w:r>
    </w:p>
    <w:p>
      <w:pPr>
        <w:pStyle w:val="null3"/>
        <w:ind w:firstLine="960"/>
      </w:pPr>
      <w:r>
        <w:rPr>
          <w:rFonts w:ascii="仿宋_GB2312" w:hAnsi="仿宋_GB2312" w:cs="仿宋_GB2312" w:eastAsia="仿宋_GB2312"/>
        </w:rPr>
        <w:t>详见附件：3工作流程.docx</w:t>
      </w:r>
    </w:p>
    <w:p>
      <w:pPr>
        <w:pStyle w:val="null3"/>
        <w:ind w:firstLine="960"/>
      </w:pPr>
      <w:r>
        <w:rPr>
          <w:rFonts w:ascii="仿宋_GB2312" w:hAnsi="仿宋_GB2312" w:cs="仿宋_GB2312" w:eastAsia="仿宋_GB2312"/>
        </w:rPr>
        <w:t>详见附件：4媒体宣传方案.docx</w:t>
      </w:r>
    </w:p>
    <w:p>
      <w:pPr>
        <w:pStyle w:val="null3"/>
        <w:ind w:firstLine="960"/>
      </w:pPr>
      <w:r>
        <w:rPr>
          <w:rFonts w:ascii="仿宋_GB2312" w:hAnsi="仿宋_GB2312" w:cs="仿宋_GB2312" w:eastAsia="仿宋_GB2312"/>
        </w:rPr>
        <w:t>详见附件：5物料设施设备.docx</w:t>
      </w:r>
    </w:p>
    <w:p>
      <w:pPr>
        <w:pStyle w:val="null3"/>
        <w:ind w:firstLine="960"/>
      </w:pPr>
      <w:r>
        <w:rPr>
          <w:rFonts w:ascii="仿宋_GB2312" w:hAnsi="仿宋_GB2312" w:cs="仿宋_GB2312" w:eastAsia="仿宋_GB2312"/>
        </w:rPr>
        <w:t>详见附件：6人员配备方案.docx</w:t>
      </w:r>
    </w:p>
    <w:p>
      <w:pPr>
        <w:pStyle w:val="null3"/>
        <w:ind w:firstLine="960"/>
      </w:pPr>
      <w:r>
        <w:rPr>
          <w:rFonts w:ascii="仿宋_GB2312" w:hAnsi="仿宋_GB2312" w:cs="仿宋_GB2312" w:eastAsia="仿宋_GB2312"/>
        </w:rPr>
        <w:t>详见附件：7质量保障措施.docx</w:t>
      </w:r>
    </w:p>
    <w:p>
      <w:pPr>
        <w:pStyle w:val="null3"/>
        <w:ind w:firstLine="960"/>
      </w:pPr>
      <w:r>
        <w:rPr>
          <w:rFonts w:ascii="仿宋_GB2312" w:hAnsi="仿宋_GB2312" w:cs="仿宋_GB2312" w:eastAsia="仿宋_GB2312"/>
        </w:rPr>
        <w:t>详见附件：8风险应对措施.docx</w:t>
      </w:r>
    </w:p>
    <w:p>
      <w:pPr>
        <w:pStyle w:val="null3"/>
        <w:ind w:firstLine="960"/>
      </w:pPr>
      <w:r>
        <w:rPr>
          <w:rFonts w:ascii="仿宋_GB2312" w:hAnsi="仿宋_GB2312" w:cs="仿宋_GB2312" w:eastAsia="仿宋_GB2312"/>
        </w:rPr>
        <w:t>详见附件：9突发事件解决方案.docx</w:t>
      </w:r>
    </w:p>
    <w:p>
      <w:pPr>
        <w:pStyle w:val="null3"/>
        <w:ind w:firstLine="960"/>
      </w:pPr>
      <w:r>
        <w:rPr>
          <w:rFonts w:ascii="仿宋_GB2312" w:hAnsi="仿宋_GB2312" w:cs="仿宋_GB2312" w:eastAsia="仿宋_GB2312"/>
        </w:rPr>
        <w:t>详见附件：10增值服务.docx</w:t>
      </w:r>
    </w:p>
    <w:p>
      <w:pPr>
        <w:pStyle w:val="null3"/>
        <w:ind w:firstLine="960"/>
      </w:pPr>
      <w:r>
        <w:rPr>
          <w:rFonts w:ascii="仿宋_GB2312" w:hAnsi="仿宋_GB2312" w:cs="仿宋_GB2312" w:eastAsia="仿宋_GB2312"/>
        </w:rPr>
        <w:t>详见附件：11合理化建议.docx</w:t>
      </w:r>
    </w:p>
    <w:p>
      <w:pPr>
        <w:pStyle w:val="null3"/>
        <w:ind w:firstLine="960"/>
      </w:pPr>
      <w:r>
        <w:rPr>
          <w:rFonts w:ascii="仿宋_GB2312" w:hAnsi="仿宋_GB2312" w:cs="仿宋_GB2312" w:eastAsia="仿宋_GB2312"/>
        </w:rPr>
        <w:t>详见附件：12整改承诺.docx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