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版本号：RCZB2024-XD-18-0320250319001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西何家村及边西街其他垃圾转运站设备更新补充项目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RCZB2024-XD-18-03</w:t>
      </w:r>
      <w:r>
        <w:br/>
      </w:r>
      <w:r>
        <w:br/>
      </w:r>
      <w:r>
        <w:br/>
      </w:r>
      <w:r>
        <w:br/>
      </w:r>
      <w:r>
        <w:br/>
      </w:r>
    </w:p>
    <w:p>
      <w:pPr>
        <w:pStyle w:val="null3"/>
        <w:jc w:val="center"/>
        <w:outlineLvl w:val="5"/>
      </w:pPr>
      <w:r>
        <w:rPr>
          <w:rFonts w:ascii="仿宋_GB2312" w:hAnsi="仿宋_GB2312" w:cs="仿宋_GB2312" w:eastAsia="仿宋_GB2312"/>
          <w:sz w:val="15"/>
          <w:b/>
        </w:rPr>
        <w:t>西安市碑林区城市管理局（本级）</w:t>
      </w:r>
    </w:p>
    <w:p>
      <w:pPr>
        <w:pStyle w:val="null3"/>
        <w:jc w:val="center"/>
        <w:outlineLvl w:val="5"/>
      </w:pPr>
      <w:r>
        <w:rPr>
          <w:rFonts w:ascii="仿宋_GB2312" w:hAnsi="仿宋_GB2312" w:cs="仿宋_GB2312" w:eastAsia="仿宋_GB2312"/>
          <w:sz w:val="15"/>
          <w:b/>
        </w:rPr>
        <w:t>锐驰项目管理有限公司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2025年03月19日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锐驰项目管理有限公司</w:t>
      </w:r>
      <w:r>
        <w:rPr>
          <w:rFonts w:ascii="仿宋_GB2312" w:hAnsi="仿宋_GB2312" w:cs="仿宋_GB2312" w:eastAsia="仿宋_GB2312"/>
        </w:rPr>
        <w:t>（以下简称“代理机构”）受</w:t>
      </w:r>
      <w:r>
        <w:rPr>
          <w:rFonts w:ascii="仿宋_GB2312" w:hAnsi="仿宋_GB2312" w:cs="仿宋_GB2312" w:eastAsia="仿宋_GB2312"/>
        </w:rPr>
        <w:t>西安市碑林区城市管理局（本级）</w:t>
      </w:r>
      <w:r>
        <w:rPr>
          <w:rFonts w:ascii="仿宋_GB2312" w:hAnsi="仿宋_GB2312" w:cs="仿宋_GB2312" w:eastAsia="仿宋_GB2312"/>
        </w:rPr>
        <w:t>委托，拟对</w:t>
      </w:r>
      <w:r>
        <w:rPr>
          <w:rFonts w:ascii="仿宋_GB2312" w:hAnsi="仿宋_GB2312" w:cs="仿宋_GB2312" w:eastAsia="仿宋_GB2312"/>
        </w:rPr>
        <w:t>西何家村及边西街其他垃圾转运站设备更新补充项目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RCZB2024-XD-18-03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西何家村及边西街其他垃圾转运站设备更新补充项目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为进一步提升生活垃圾收集转运效率，改善城市环境面貌，拟采购4台18立方移动压缩机，配合完成垃圾转运工作。</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事业单位法人证书、自然人身份证明：供应商为具有独立承担民事责任能力的法人或其他组织或自然人，并提供法人或者其他组织合法有效的营业执照等证明文件，事业单位应提供事业单位法人证书，自然人应提供身份证明文件；</w:t>
      </w:r>
    </w:p>
    <w:p>
      <w:pPr>
        <w:pStyle w:val="null3"/>
      </w:pPr>
      <w:r>
        <w:rPr>
          <w:rFonts w:ascii="仿宋_GB2312" w:hAnsi="仿宋_GB2312" w:cs="仿宋_GB2312" w:eastAsia="仿宋_GB2312"/>
        </w:rPr>
        <w:t>2、法人身份证复印件或法定代表人授权书及被授权人身份证复印件：供应商应授权合法的人员参加谈判全过程，其中法定代表人直接参加谈判的，须出具法人身份证复印件，并与营业执照上信息一致。法定代表人授权他人参加谈判的，须出具法定代表人授权书及被授权人身份证复印件；</w:t>
      </w:r>
    </w:p>
    <w:p>
      <w:pPr>
        <w:pStyle w:val="null3"/>
      </w:pPr>
      <w:r>
        <w:rPr>
          <w:rFonts w:ascii="仿宋_GB2312" w:hAnsi="仿宋_GB2312" w:cs="仿宋_GB2312" w:eastAsia="仿宋_GB2312"/>
        </w:rPr>
        <w:t>3、财务会计制度的证明材料：供应商应提供财务状况报告（以下两种方式任选其一）1．2023年度经审计的财务会计报告（至少包括审计报告、资产负债表、利润表、现金流量表、所有者权益变动表及其附注，成立时间至提交响应文件截止时间不足一年的可提供成立后任意时段的资产负债表）；2．提交响应文件截止时间前三个月内其基本账户开户银行出具的资信证明（附基本存款账户信息）。</w:t>
      </w:r>
    </w:p>
    <w:p>
      <w:pPr>
        <w:pStyle w:val="null3"/>
      </w:pPr>
      <w:r>
        <w:rPr>
          <w:rFonts w:ascii="仿宋_GB2312" w:hAnsi="仿宋_GB2312" w:cs="仿宋_GB2312" w:eastAsia="仿宋_GB2312"/>
        </w:rPr>
        <w:t>4、税收缴纳证明：供2024年7月至今任意时段已缴纳完税凭证或税务机关开具的完税证明（任意税种）；依法免税的应提供相关文件证明；</w:t>
      </w:r>
    </w:p>
    <w:p>
      <w:pPr>
        <w:pStyle w:val="null3"/>
      </w:pPr>
      <w:r>
        <w:rPr>
          <w:rFonts w:ascii="仿宋_GB2312" w:hAnsi="仿宋_GB2312" w:cs="仿宋_GB2312" w:eastAsia="仿宋_GB2312"/>
        </w:rPr>
        <w:t>5、社保缴纳证明：提供2024年7月至今任意时段已缴纳的社会保障资金缴存单据或社保机构开具的社会保险参保缴费情况证明；依法不需要缴纳社会保障资金的应提供相关文件证明；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6、具备履行合同所必需的设备和专业技术能力：具备履行合同所必需的设备和专业技术能力</w:t>
      </w:r>
    </w:p>
    <w:p>
      <w:pPr>
        <w:pStyle w:val="null3"/>
      </w:pPr>
      <w:r>
        <w:rPr>
          <w:rFonts w:ascii="仿宋_GB2312" w:hAnsi="仿宋_GB2312" w:cs="仿宋_GB2312" w:eastAsia="仿宋_GB2312"/>
        </w:rPr>
        <w:t>7、参加政府采购活动前3年内，在经营活动中没有重大违法记录：参加政府采购活动前3年内，在经营活动中没有重大违法记录</w:t>
      </w:r>
    </w:p>
    <w:p>
      <w:pPr>
        <w:pStyle w:val="null3"/>
      </w:pPr>
      <w:r>
        <w:rPr>
          <w:rFonts w:ascii="仿宋_GB2312" w:hAnsi="仿宋_GB2312" w:cs="仿宋_GB2312" w:eastAsia="仿宋_GB2312"/>
        </w:rPr>
        <w:t>8、供应商信用：采购人或代理机构根据《关于在政府采购活动中查询及使用信用记录有关问题的通知》（财库〔2 016〕125号）的要求，通过“信用中国”网站（www.creditchina.gov.cn）、“中国政府采购网”网站（www.ccgp.gov.cn）等渠道，查询供应商在响应文件提交截止时间前的信用记录并保存信用记录结果网页截图，拒绝列入失信被执行人名单、重大税收违法失信主体、政府采购严重违法失信行为记录名单中的供应商参加本项目的采购活动。</w:t>
      </w:r>
    </w:p>
    <w:p>
      <w:pPr>
        <w:pStyle w:val="null3"/>
      </w:pPr>
      <w:r>
        <w:rPr>
          <w:rFonts w:ascii="仿宋_GB2312" w:hAnsi="仿宋_GB2312" w:cs="仿宋_GB2312" w:eastAsia="仿宋_GB2312"/>
        </w:rPr>
        <w:t>9、本项目不接受联合体投标：供应商应提供《非联合体投标声明》，视为独立投标。</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西安市碑林区城市管理局（本级）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雁塔北路23号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邢雨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029-62651335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锐驰项目管理有限公司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西安市雁塔区朱雀大街南段汇成天玺C座11层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029-88669622转801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颁发的《招标代理服务收费管理暂行办法》（计价格[2002]1980号）和国家发展改革委员会办公厅颁发的《关于招标代理服务收费有关问题的通知》（发改办价格[2003]857号）文规定的“货物”收费标准。</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西安市碑林区城市管理局（本级）</w:t>
      </w:r>
      <w:r>
        <w:rPr>
          <w:rFonts w:ascii="仿宋_GB2312" w:hAnsi="仿宋_GB2312" w:cs="仿宋_GB2312" w:eastAsia="仿宋_GB2312"/>
        </w:rPr>
        <w:t>和</w:t>
      </w:r>
      <w:r>
        <w:rPr>
          <w:rFonts w:ascii="仿宋_GB2312" w:hAnsi="仿宋_GB2312" w:cs="仿宋_GB2312" w:eastAsia="仿宋_GB2312"/>
        </w:rPr>
        <w:t>锐驰项目管理有限公司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锐驰项目管理有限公司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西安市碑林区城市管理局（本级）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锐驰项目管理有限公司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国家、行业强制性标准。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锐驰项目管理有限公司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锐驰项目管理有限公司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锐驰项目管理有限公司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为进一步提升生活垃圾收集转运效率，改善城市环境面貌，拟采购4台18立方移动压缩机，配合完成垃圾转运工作。</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计划采购“西何家村及边西街其他垃圾转运站设备更新补充项目”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标的名称：计划采购“西何家村及边西街其他垃圾转运站设备更新补充项目”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560"/>
              <w:jc w:val="both"/>
            </w:pPr>
            <w:r>
              <w:rPr>
                <w:rFonts w:ascii="仿宋_GB2312" w:hAnsi="仿宋_GB2312" w:cs="仿宋_GB2312" w:eastAsia="仿宋_GB2312"/>
                <w:sz w:val="28"/>
                <w:color w:val="000000"/>
              </w:rPr>
              <w:t>一、采购内容</w:t>
            </w:r>
          </w:p>
          <w:p>
            <w:pPr>
              <w:pStyle w:val="null3"/>
              <w:ind w:firstLine="560"/>
              <w:jc w:val="both"/>
            </w:pPr>
            <w:r>
              <w:rPr>
                <w:rFonts w:ascii="仿宋_GB2312" w:hAnsi="仿宋_GB2312" w:cs="仿宋_GB2312" w:eastAsia="仿宋_GB2312"/>
                <w:sz w:val="28"/>
                <w:color w:val="000000"/>
              </w:rPr>
              <w:t>4台18立方移动压缩机</w:t>
            </w:r>
          </w:p>
          <w:p>
            <w:pPr>
              <w:pStyle w:val="null3"/>
              <w:ind w:firstLine="560"/>
              <w:jc w:val="both"/>
            </w:pPr>
            <w:r>
              <w:rPr>
                <w:rFonts w:ascii="仿宋_GB2312" w:hAnsi="仿宋_GB2312" w:cs="仿宋_GB2312" w:eastAsia="仿宋_GB2312"/>
                <w:sz w:val="28"/>
                <w:color w:val="000000"/>
              </w:rPr>
              <w:t>二、技术要求</w:t>
            </w:r>
          </w:p>
          <w:p>
            <w:pPr>
              <w:pStyle w:val="null3"/>
              <w:ind w:firstLine="560"/>
              <w:jc w:val="both"/>
            </w:pPr>
            <w:r>
              <w:rPr>
                <w:rFonts w:ascii="仿宋_GB2312" w:hAnsi="仿宋_GB2312" w:cs="仿宋_GB2312" w:eastAsia="仿宋_GB2312"/>
                <w:sz w:val="28"/>
                <w:color w:val="000000"/>
              </w:rPr>
              <w:t>方形移动式生活垃圾压缩机由方形箱体、料斗及举升装置、压缩机总成、后门总成及锁紧密封系统、液压系统、电气控制系统等主要部件构成。</w:t>
            </w:r>
          </w:p>
          <w:p>
            <w:pPr>
              <w:pStyle w:val="null3"/>
              <w:ind w:firstLine="560"/>
              <w:jc w:val="both"/>
            </w:pPr>
            <w:r>
              <w:rPr>
                <w:rFonts w:ascii="仿宋_GB2312" w:hAnsi="仿宋_GB2312" w:cs="仿宋_GB2312" w:eastAsia="仿宋_GB2312"/>
                <w:sz w:val="28"/>
                <w:color w:val="000000"/>
              </w:rPr>
              <w:t>垃圾通过举升装置从料斗中投入受料腔，受料腔与压缩腔互通，垃圾不断进入压缩腔中，在压缩推头的作用下进入箱体。推头压缩动作与上料动作联动，料斗投料结束后推头即开始压缩动作，推头连续循环压缩，直至将垃圾全部压缩箱体中。垃圾压缩设备</w:t>
            </w:r>
            <w:r>
              <w:rPr>
                <w:rFonts w:ascii="仿宋_GB2312" w:hAnsi="仿宋_GB2312" w:cs="仿宋_GB2312" w:eastAsia="仿宋_GB2312"/>
                <w:sz w:val="28"/>
                <w:color w:val="000000"/>
              </w:rPr>
              <w:t>PLC可以根据不同垃圾处理量和不同压缩阶段自动选择不同的压缩方式和压缩循环次数，随着箱体中的垃圾逐渐增加至将装满时，推头压力增大，速度变慢，保证垃圾压缩密度。</w:t>
            </w:r>
          </w:p>
          <w:tbl>
            <w:tblPr>
              <w:tblInd w:type="dxa" w:w="135"/>
              <w:tblBorders>
                <w:top w:val="none" w:color="000000" w:sz="4"/>
                <w:left w:val="none" w:color="000000" w:sz="4"/>
                <w:bottom w:val="none" w:color="000000" w:sz="4"/>
                <w:right w:val="none" w:color="000000" w:sz="4"/>
                <w:insideH w:val="none"/>
                <w:insideV w:val="none"/>
              </w:tblBorders>
            </w:tblPr>
            <w:tblGrid>
              <w:gridCol w:w="792"/>
              <w:gridCol w:w="1067"/>
            </w:tblGrid>
            <w:tr>
              <w:tc>
                <w:tcPr>
                  <w:tcW w:type="dxa" w:w="79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外形尺寸</w:t>
                  </w:r>
                  <w:r>
                    <w:rPr>
                      <w:rFonts w:ascii="仿宋_GB2312" w:hAnsi="仿宋_GB2312" w:cs="仿宋_GB2312" w:eastAsia="仿宋_GB2312"/>
                      <w:sz w:val="24"/>
                    </w:rPr>
                    <w:t xml:space="preserve">  </w:t>
                  </w:r>
                </w:p>
                <w:p>
                  <w:pPr>
                    <w:pStyle w:val="null3"/>
                    <w:jc w:val="center"/>
                  </w:pPr>
                  <w:r>
                    <w:rPr>
                      <w:rFonts w:ascii="仿宋_GB2312" w:hAnsi="仿宋_GB2312" w:cs="仿宋_GB2312" w:eastAsia="仿宋_GB2312"/>
                      <w:sz w:val="24"/>
                    </w:rPr>
                    <w:t>(长×宽×高) /mm</w:t>
                  </w:r>
                </w:p>
              </w:tc>
              <w:tc>
                <w:tcPr>
                  <w:tcW w:type="dxa" w:w="106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65</w:t>
                  </w:r>
                  <w:r>
                    <w:rPr>
                      <w:rFonts w:ascii="仿宋_GB2312" w:hAnsi="仿宋_GB2312" w:cs="仿宋_GB2312" w:eastAsia="仿宋_GB2312"/>
                      <w:sz w:val="24"/>
                    </w:rPr>
                    <w:t>0</w:t>
                  </w:r>
                  <w:r>
                    <w:rPr>
                      <w:rFonts w:ascii="仿宋_GB2312" w:hAnsi="仿宋_GB2312" w:cs="仿宋_GB2312" w:eastAsia="仿宋_GB2312"/>
                      <w:sz w:val="24"/>
                    </w:rPr>
                    <w:t>0×2550×2450</w:t>
                  </w:r>
                </w:p>
              </w:tc>
            </w:tr>
            <w:tr>
              <w:tc>
                <w:tcPr>
                  <w:tcW w:type="dxa" w:w="79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箱体容积</w:t>
                  </w:r>
                  <w:r>
                    <w:rPr>
                      <w:rFonts w:ascii="仿宋_GB2312" w:hAnsi="仿宋_GB2312" w:cs="仿宋_GB2312" w:eastAsia="仿宋_GB2312"/>
                      <w:sz w:val="24"/>
                    </w:rPr>
                    <w:t>/m³</w:t>
                  </w:r>
                </w:p>
              </w:tc>
              <w:tc>
                <w:tcPr>
                  <w:tcW w:type="dxa" w:w="1067"/>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r>
            <w:tr>
              <w:tc>
                <w:tcPr>
                  <w:tcW w:type="dxa" w:w="79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压缩腔容积</w:t>
                  </w:r>
                  <w:r>
                    <w:rPr>
                      <w:rFonts w:ascii="仿宋_GB2312" w:hAnsi="仿宋_GB2312" w:cs="仿宋_GB2312" w:eastAsia="仿宋_GB2312"/>
                      <w:sz w:val="24"/>
                    </w:rPr>
                    <w:t>/m³</w:t>
                  </w:r>
                </w:p>
              </w:tc>
              <w:tc>
                <w:tcPr>
                  <w:tcW w:type="dxa" w:w="1067"/>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r>
            <w:tr>
              <w:tc>
                <w:tcPr>
                  <w:tcW w:type="dxa" w:w="79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上料循环时间</w:t>
                  </w:r>
                  <w:r>
                    <w:rPr>
                      <w:rFonts w:ascii="仿宋_GB2312" w:hAnsi="仿宋_GB2312" w:cs="仿宋_GB2312" w:eastAsia="仿宋_GB2312"/>
                      <w:sz w:val="24"/>
                    </w:rPr>
                    <w:t>/s</w:t>
                  </w:r>
                </w:p>
              </w:tc>
              <w:tc>
                <w:tcPr>
                  <w:tcW w:type="dxa" w:w="1067"/>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35</w:t>
                  </w:r>
                </w:p>
              </w:tc>
            </w:tr>
            <w:tr>
              <w:tc>
                <w:tcPr>
                  <w:tcW w:type="dxa" w:w="79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压缩循环时间</w:t>
                  </w:r>
                  <w:r>
                    <w:rPr>
                      <w:rFonts w:ascii="仿宋_GB2312" w:hAnsi="仿宋_GB2312" w:cs="仿宋_GB2312" w:eastAsia="仿宋_GB2312"/>
                      <w:sz w:val="24"/>
                    </w:rPr>
                    <w:t>/s</w:t>
                  </w:r>
                </w:p>
              </w:tc>
              <w:tc>
                <w:tcPr>
                  <w:tcW w:type="dxa" w:w="1067"/>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45</w:t>
                  </w:r>
                </w:p>
              </w:tc>
            </w:tr>
            <w:tr>
              <w:tc>
                <w:tcPr>
                  <w:tcW w:type="dxa" w:w="79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压缩密度</w:t>
                  </w:r>
                  <w:r>
                    <w:rPr>
                      <w:rFonts w:ascii="仿宋_GB2312" w:hAnsi="仿宋_GB2312" w:cs="仿宋_GB2312" w:eastAsia="仿宋_GB2312"/>
                      <w:sz w:val="24"/>
                    </w:rPr>
                    <w:t>/t/m³</w:t>
                  </w:r>
                </w:p>
              </w:tc>
              <w:tc>
                <w:tcPr>
                  <w:tcW w:type="dxa" w:w="1067"/>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≥0.75</w:t>
                  </w:r>
                </w:p>
              </w:tc>
            </w:tr>
            <w:tr>
              <w:tc>
                <w:tcPr>
                  <w:tcW w:type="dxa" w:w="79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料斗容积</w:t>
                  </w:r>
                  <w:r>
                    <w:rPr>
                      <w:rFonts w:ascii="仿宋_GB2312" w:hAnsi="仿宋_GB2312" w:cs="仿宋_GB2312" w:eastAsia="仿宋_GB2312"/>
                      <w:sz w:val="24"/>
                    </w:rPr>
                    <w:t>/ m³</w:t>
                  </w:r>
                </w:p>
              </w:tc>
              <w:tc>
                <w:tcPr>
                  <w:tcW w:type="dxa" w:w="1067"/>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79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最大举升能力</w:t>
                  </w:r>
                  <w:r>
                    <w:rPr>
                      <w:rFonts w:ascii="仿宋_GB2312" w:hAnsi="仿宋_GB2312" w:cs="仿宋_GB2312" w:eastAsia="仿宋_GB2312"/>
                      <w:sz w:val="24"/>
                    </w:rPr>
                    <w:t>/kg</w:t>
                  </w:r>
                </w:p>
              </w:tc>
              <w:tc>
                <w:tcPr>
                  <w:tcW w:type="dxa" w:w="1067"/>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≥2000</w:t>
                  </w:r>
                </w:p>
              </w:tc>
            </w:tr>
            <w:tr>
              <w:tc>
                <w:tcPr>
                  <w:tcW w:type="dxa" w:w="79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自重</w:t>
                  </w:r>
                  <w:r>
                    <w:rPr>
                      <w:rFonts w:ascii="仿宋_GB2312" w:hAnsi="仿宋_GB2312" w:cs="仿宋_GB2312" w:eastAsia="仿宋_GB2312"/>
                      <w:sz w:val="24"/>
                    </w:rPr>
                    <w:t>/t</w:t>
                  </w:r>
                </w:p>
              </w:tc>
              <w:tc>
                <w:tcPr>
                  <w:tcW w:type="dxa" w:w="1067"/>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r>
            <w:tr>
              <w:tc>
                <w:tcPr>
                  <w:tcW w:type="dxa" w:w="79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电压</w:t>
                  </w:r>
                  <w:r>
                    <w:rPr>
                      <w:rFonts w:ascii="仿宋_GB2312" w:hAnsi="仿宋_GB2312" w:cs="仿宋_GB2312" w:eastAsia="仿宋_GB2312"/>
                      <w:sz w:val="24"/>
                    </w:rPr>
                    <w:t>/V</w:t>
                  </w:r>
                </w:p>
              </w:tc>
              <w:tc>
                <w:tcPr>
                  <w:tcW w:type="dxa" w:w="1067"/>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380</w:t>
                  </w:r>
                </w:p>
              </w:tc>
            </w:tr>
            <w:tr>
              <w:tc>
                <w:tcPr>
                  <w:tcW w:type="dxa" w:w="79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压缩力</w:t>
                  </w:r>
                  <w:r>
                    <w:rPr>
                      <w:rFonts w:ascii="仿宋_GB2312" w:hAnsi="仿宋_GB2312" w:cs="仿宋_GB2312" w:eastAsia="仿宋_GB2312"/>
                      <w:sz w:val="24"/>
                    </w:rPr>
                    <w:t>/kN</w:t>
                  </w:r>
                </w:p>
              </w:tc>
              <w:tc>
                <w:tcPr>
                  <w:tcW w:type="dxa" w:w="1067"/>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≥340</w:t>
                  </w:r>
                </w:p>
              </w:tc>
            </w:tr>
            <w:tr>
              <w:tc>
                <w:tcPr>
                  <w:tcW w:type="dxa" w:w="79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系统压力</w:t>
                  </w:r>
                  <w:r>
                    <w:rPr>
                      <w:rFonts w:ascii="仿宋_GB2312" w:hAnsi="仿宋_GB2312" w:cs="仿宋_GB2312" w:eastAsia="仿宋_GB2312"/>
                      <w:sz w:val="24"/>
                    </w:rPr>
                    <w:t>/MPa</w:t>
                  </w:r>
                </w:p>
              </w:tc>
              <w:tc>
                <w:tcPr>
                  <w:tcW w:type="dxa" w:w="1067"/>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r>
            <w:tr>
              <w:tc>
                <w:tcPr>
                  <w:tcW w:type="dxa" w:w="792"/>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电机功率</w:t>
                  </w:r>
                  <w:r>
                    <w:rPr>
                      <w:rFonts w:ascii="仿宋_GB2312" w:hAnsi="仿宋_GB2312" w:cs="仿宋_GB2312" w:eastAsia="仿宋_GB2312"/>
                      <w:sz w:val="24"/>
                    </w:rPr>
                    <w:t>/kW</w:t>
                  </w:r>
                </w:p>
              </w:tc>
              <w:tc>
                <w:tcPr>
                  <w:tcW w:type="dxa" w:w="1067"/>
                  <w:tcBorders>
                    <w:top w:val="non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自合同签订之日起15个日历日完成全部项目内容，并交付采购人验收合格。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全部产品安装调试完毕，达到使用标准并验收合格后，甲方向乙方支付合同总价 100% 的价款。乙方应开具符合国家标准的增值税专用发票。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产品）制造商、经销代理商应严格遵守《中华人民共和国产品质量法》，确保提供的产品符合质量标准，达到合格产品的要求。可能危及人体健康和人身、财产安全的工业产品，必须符合保障人体健康和人身、财产安全的国家标准、行业标准；未制定国家标准、行业标准的，必须符合保障人体健康和人身、财产安全的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一年。确保所提供的货品质量合格，性能稳定，符合相关的行业标准和合同规定的质量标准。提供完整的配套设备、工具、说明书等。在合同约定的期限内，提供优质的售后服务，包括维修、保养、零部件更换等，确保货品的生产、销售和交付过程符合相关法律法规和政策要求。对于采购方在使用过程中发现的质量问题，积极采取措施予以解决，并承担相应的费用和责任。积极配合采购方进行验收工作，提供必要的技术资料和协助。</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2、乙方履约延误 2-1、如果乙方未按照政府采购合同规定的要求提供服务；或乙方未能履行政府采购合同规定的任何其它义务时，甲方有权向乙方发出违约通知书，乙方应按照甲方选择的下列一种或多种方式承担赔偿责任： 2-2、在甲方同意延长的期限内提供服务并承担由此给甲方造成的一切损失； 2-3、在甲方规定的时间内，用符合政府采购合同规定的服务以达到政府采购合同规定的要求，乙方应承担由此发生的一切费用和风险。此时，相关服务的期限也应相应延长； 2-4、甲方有权部分或全部解除政府采购合同并要求乙方赔偿由此造成的损失。此时甲方可采取必要的补救措施，相关费用由乙方承担。 2-5、如果乙方在收到甲方的违约通知书后 10 日内未作答复也没有按照甲方选择的方式承担违约责任，则甲方有权从履约保证金（如有）、尚未支付的政府采购合同价款中扣回索赔金额。如果这些金额不足以补偿，甲方有权向乙方提出不足部分的赔偿要求。 2-6、以上各项交付的违约金并不影响违约方履行政府采购合同的各项义务。</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供应商报价不允许超过最高限价。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应商应提供财务状况报告（以下两种方式任选其一）1．2023年度经审计的财务会计报告（至少包括审计报告、资产负债表、利润表、现金流量表、所有者权益变动表及其附注，成立时间至提交响应文件截止时间不足一年的可提供成立后任意时段的资产负债表）；2．提交响应文件截止时间前三个月内其基本账户开户银行出具的资信证明（附基本存款账户信息）。</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营业执照、事业单位法人证书、自然人身份证明</w:t>
            </w:r>
          </w:p>
        </w:tc>
        <w:tc>
          <w:tcPr>
            <w:tcW w:type="dxa" w:w="3322"/>
          </w:tcPr>
          <w:p>
            <w:pPr>
              <w:pStyle w:val="null3"/>
            </w:pPr>
            <w:r>
              <w:rPr>
                <w:rFonts w:ascii="仿宋_GB2312" w:hAnsi="仿宋_GB2312" w:cs="仿宋_GB2312" w:eastAsia="仿宋_GB2312"/>
              </w:rPr>
              <w:t>供应商为具有独立承担民事责任能力的法人或其他组织或自然人，并提供法人或者其他组织合法有效的营业执照等证明文件，事业单位应提供事业单位法人证书，自然人应提供身份证明文件；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法人身份证复印件或法定代表人授权书及被授权人身份证复印件</w:t>
            </w:r>
          </w:p>
        </w:tc>
        <w:tc>
          <w:tcPr>
            <w:tcW w:type="dxa" w:w="3322"/>
          </w:tcPr>
          <w:p>
            <w:pPr>
              <w:pStyle w:val="null3"/>
            </w:pPr>
            <w:r>
              <w:rPr>
                <w:rFonts w:ascii="仿宋_GB2312" w:hAnsi="仿宋_GB2312" w:cs="仿宋_GB2312" w:eastAsia="仿宋_GB2312"/>
              </w:rPr>
              <w:t>供应商应授权合法的人员参加谈判全过程，其中法定代表人直接参加谈判的，须出具法人身份证复印件，并与营业执照上信息一致。法定代表人授权他人参加谈判的，须出具法定代表人授权书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财务会计制度的证明材料</w:t>
            </w:r>
          </w:p>
        </w:tc>
        <w:tc>
          <w:tcPr>
            <w:tcW w:type="dxa" w:w="3322"/>
          </w:tcPr>
          <w:p>
            <w:pPr>
              <w:pStyle w:val="null3"/>
            </w:pPr>
            <w:r>
              <w:rPr>
                <w:rFonts w:ascii="仿宋_GB2312" w:hAnsi="仿宋_GB2312" w:cs="仿宋_GB2312" w:eastAsia="仿宋_GB2312"/>
              </w:rPr>
              <w:t>供应商应提供财务状况报告（以下两种方式任选其一）1．2023年度经审计的财务会计报告（至少包括审计报告、资产负债表、利润表、现金流量表、所有者权益变动表及其附注，成立时间至提交响应文件截止时间不足一年的可提供成立后任意时段的资产负债表）；2．提交响应文件截止时间前三个月内其基本账户开户银行出具的资信证明（附基本存款账户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供2024年7月至今任意时段已缴纳完税凭证或税务机关开具的完税证明（任意税种）；依法免税的应提供相关文件证明；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提供2024年7月至今任意时段已缴纳的社会保障资金缴存单据或社保机构开具的社会保险参保缴费情况证明；依法不需要缴纳社会保障资金的应提供相关文件证明；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参加政府采购活动前3年内，在经营活动中没有重大违法记录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采购人或代理机构根据《关于在政府采购活动中查询及使用信用记录有关问题的通知》（财库〔2 016〕125号）的要求，通过“信用中国”网站（www.creditchina.gov.cn）、“中国政府采购网”网站（www.ccgp.gov.cn）等渠道，查询供应商在响应文件提交截止时间前的信用记录并保存信用记录结果网页截图，拒绝列入失信被执行人名单、重大税收违法失信主体、政府采购严重违法失信行为记录名单中的供应商参加本项目的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供应商应提供《非联合体投标声明》，视为独立投标。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供应商按照谈判文件要求上传响应文件</w:t>
            </w:r>
          </w:p>
        </w:tc>
        <w:tc>
          <w:tcPr>
            <w:tcW w:type="dxa" w:w="1661"/>
          </w:tcPr>
          <w:p>
            <w:pPr>
              <w:pStyle w:val="null3"/>
            </w:pPr>
            <w:r>
              <w:rPr>
                <w:rFonts w:ascii="仿宋_GB2312" w:hAnsi="仿宋_GB2312" w:cs="仿宋_GB2312" w:eastAsia="仿宋_GB2312"/>
              </w:rPr>
              <w:t>中小企业声明函 商务应答表 报价表 供应商业绩证明材料.docx 响应文件封面 产品技术参数表 分项报价表.docx 供应商应提交的相关资格证明材料.docx 残疾人福利性单位声明函 标的清单 项目实施方案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谈判小组认为供应商投标报价明显低于其他通过符合性审查供应商的投标报价，有可能影响产品质量或者不能诚信履约的，谈判小组应当要求其在合理的时间内在项目电子化交易系统中上传说明材料，必要时提交相关证明材料。投标人提交的相关证明材料，应当加盖供应商（法定名称）电子印章，在评标委员会要求的时间内通过项目电子化交易系统进行提交，否则提交的相关证明材料无效。供应商不能证明其投标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供应商按照谈判文件要求上传响应文件</w:t>
            </w:r>
          </w:p>
        </w:tc>
        <w:tc>
          <w:tcPr>
            <w:tcW w:type="dxa" w:w="1661"/>
          </w:tcPr>
          <w:p>
            <w:pPr>
              <w:pStyle w:val="null3"/>
            </w:pPr>
            <w:r>
              <w:rPr>
                <w:rFonts w:ascii="仿宋_GB2312" w:hAnsi="仿宋_GB2312" w:cs="仿宋_GB2312" w:eastAsia="仿宋_GB2312"/>
              </w:rPr>
              <w:t>中小企业声明函 商务应答表 报价表 供应商业绩证明材料.docx 响应文件封面 产品技术参数表 分项报价表.docx 供应商应提交的相关资格证明材料.docx 残疾人福利性单位声明函 标的清单 项目实施方案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响应文件上法定代表人或其委托代理人的签字齐全并加盖单位章</w:t>
            </w:r>
          </w:p>
        </w:tc>
        <w:tc>
          <w:tcPr>
            <w:tcW w:type="dxa" w:w="1661"/>
          </w:tcPr>
          <w:p>
            <w:pPr>
              <w:pStyle w:val="null3"/>
            </w:pPr>
            <w:r>
              <w:rPr>
                <w:rFonts w:ascii="仿宋_GB2312" w:hAnsi="仿宋_GB2312" w:cs="仿宋_GB2312" w:eastAsia="仿宋_GB2312"/>
              </w:rPr>
              <w:t>中小企业声明函 商务应答表 报价表 供应商业绩证明材料.docx 响应文件封面 产品技术参数表 分项报价表.docx 供应商应提交的相关资格证明材料.docx 残疾人福利性单位声明函 标的清单 项目实施方案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详见附件：供应商业绩证明材料.docx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