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E4035">
      <w:pPr>
        <w:spacing w:before="170" w:line="360" w:lineRule="auto"/>
        <w:jc w:val="center"/>
        <w:rPr>
          <w:rFonts w:hint="eastAsia" w:asciiTheme="minorEastAsia" w:hAnsiTheme="minorEastAsia" w:eastAsiaTheme="minorEastAsia" w:cstheme="minorEastAsia"/>
          <w:color w:val="000000" w:themeColor="text1"/>
          <w:spacing w:val="-14"/>
          <w:sz w:val="44"/>
          <w:szCs w:val="44"/>
          <w:highlight w:val="none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-14"/>
          <w:sz w:val="44"/>
          <w:szCs w:val="44"/>
          <w:highlight w:val="none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西安市碑林区残疾人联合会碑林区2025年</w:t>
      </w:r>
    </w:p>
    <w:p w14:paraId="01EF2997">
      <w:pPr>
        <w:spacing w:before="170" w:line="360" w:lineRule="auto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-14"/>
          <w:sz w:val="44"/>
          <w:szCs w:val="44"/>
          <w:highlight w:val="none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残疾人家庭医生签约服务（第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14"/>
          <w:sz w:val="44"/>
          <w:szCs w:val="44"/>
          <w:highlight w:val="none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包）</w:t>
      </w:r>
    </w:p>
    <w:p w14:paraId="2B04B2E2">
      <w:pPr>
        <w:pStyle w:val="6"/>
        <w:spacing w:line="259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28C6096">
      <w:pPr>
        <w:pStyle w:val="6"/>
        <w:spacing w:line="259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039D21">
      <w:pPr>
        <w:pStyle w:val="6"/>
        <w:spacing w:line="259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EE46AA8">
      <w:pPr>
        <w:pStyle w:val="6"/>
        <w:spacing w:line="259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BD8E404">
      <w:pPr>
        <w:pStyle w:val="6"/>
        <w:spacing w:line="260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9A1BE59">
      <w:pPr>
        <w:spacing w:before="271" w:line="221" w:lineRule="auto"/>
        <w:ind w:left="2508"/>
        <w:outlineLvl w:val="0"/>
        <w:rPr>
          <w:rFonts w:hint="eastAsia" w:asciiTheme="minorEastAsia" w:hAnsiTheme="minorEastAsia" w:eastAsiaTheme="minorEastAsia" w:cstheme="minorEastAsia"/>
          <w:color w:val="000000" w:themeColor="text1"/>
          <w:spacing w:val="5"/>
          <w:sz w:val="72"/>
          <w:szCs w:val="72"/>
          <w:highlight w:val="none"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5"/>
          <w:sz w:val="72"/>
          <w:szCs w:val="72"/>
          <w:highlight w:val="none"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采购合同</w:t>
      </w:r>
    </w:p>
    <w:p w14:paraId="16ADAA18">
      <w:pPr>
        <w:pStyle w:val="3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AB5B993">
      <w:pPr>
        <w:spacing w:before="244" w:line="225" w:lineRule="auto"/>
        <w:ind w:left="2251"/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项目编号：SXLX25-02-023Z(F)</w:t>
      </w:r>
    </w:p>
    <w:p w14:paraId="61599689">
      <w:pPr>
        <w:pStyle w:val="6"/>
        <w:spacing w:line="242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F330237">
      <w:pPr>
        <w:pStyle w:val="6"/>
        <w:spacing w:line="242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7BDB6B2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C1B0C03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BBF8B2D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0031F23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E98F0D7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FEDCB7A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BD7400D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03D3F45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4739B36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5159B41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35135D8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B89000B">
      <w:pPr>
        <w:pStyle w:val="6"/>
        <w:spacing w:line="24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22D064C">
      <w:pPr>
        <w:pStyle w:val="6"/>
        <w:spacing w:line="243" w:lineRule="auto"/>
        <w:jc w:val="center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C0FFAF6">
      <w:pPr>
        <w:spacing w:before="101" w:line="224" w:lineRule="auto"/>
        <w:ind w:firstLine="1550" w:firstLineChars="50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:u w:val="singl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西安市碑林区残疾人联合会</w:t>
      </w:r>
    </w:p>
    <w:p w14:paraId="0C8CA5BB">
      <w:pPr>
        <w:spacing w:before="101" w:line="224" w:lineRule="auto"/>
        <w:ind w:firstLine="1630" w:firstLineChars="500"/>
        <w:jc w:val="both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31"/>
          <w:szCs w:val="31"/>
          <w:highlight w:val="none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</w:t>
      </w:r>
    </w:p>
    <w:p w14:paraId="274EBDB7">
      <w:pPr>
        <w:pStyle w:val="6"/>
        <w:spacing w:line="273" w:lineRule="auto"/>
        <w:rPr>
          <w:rFonts w:hint="eastAsia" w:asciiTheme="minorEastAsia" w:hAnsiTheme="minorEastAsia" w:eastAsiaTheme="minorEastAsia" w:cs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A00B395">
      <w:pPr>
        <w:spacing w:before="101" w:line="225" w:lineRule="auto"/>
        <w:ind w:left="2818"/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3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3"/>
          <w:sz w:val="31"/>
          <w:szCs w:val="31"/>
          <w:highlight w:val="none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3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8"/>
          <w:sz w:val="31"/>
          <w:szCs w:val="31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3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41"/>
          <w:sz w:val="31"/>
          <w:szCs w:val="31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3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日</w:t>
      </w:r>
    </w:p>
    <w:p w14:paraId="77395F58">
      <w:pPr>
        <w:spacing w:line="225" w:lineRule="auto"/>
        <w:rPr>
          <w:rFonts w:hint="eastAsia" w:asciiTheme="minorEastAsia" w:hAnsiTheme="minorEastAsia" w:eastAsiaTheme="minorEastAsia" w:cstheme="minorEastAsia"/>
          <w:color w:val="000000" w:themeColor="text1"/>
          <w:sz w:val="31"/>
          <w:szCs w:val="31"/>
          <w:highlight w:val="none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5" w:h="16839"/>
          <w:pgMar w:top="1417" w:right="1417" w:bottom="1417" w:left="1417" w:header="878" w:footer="972" w:gutter="0"/>
          <w:cols w:space="0" w:num="1"/>
          <w:rtlGutter w:val="0"/>
          <w:docGrid w:linePitch="0" w:charSpace="0"/>
        </w:sectPr>
      </w:pPr>
    </w:p>
    <w:p w14:paraId="1C9CA224">
      <w:pPr>
        <w:keepNext w:val="0"/>
        <w:keepLines w:val="0"/>
        <w:pageBreakBefore w:val="0"/>
        <w:widowControl/>
        <w:tabs>
          <w:tab w:val="left" w:pos="735"/>
        </w:tabs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482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（此合同草案条款，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采购人和成交供应商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所签订的合同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不得对磋商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文件确定的事项和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文件做实质性修改，最终签订的合同以采购人确定的合同内容为准。）</w:t>
      </w:r>
    </w:p>
    <w:p w14:paraId="41BD62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456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4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3705C4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496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甲方（采购人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5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西安市碑林区残疾人联合会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5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 w14:paraId="572EA4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48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2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乙方（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2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             </w:t>
      </w:r>
    </w:p>
    <w:p w14:paraId="58E005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2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根据《中华人民共和国民法典》和《中华人民共和国政府采购法》有关规定，结合项目实际，经甲、乙双方协商，签订本合同，共同信守。</w:t>
      </w:r>
    </w:p>
    <w:p w14:paraId="565D9D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4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合同内容 </w:t>
      </w:r>
    </w:p>
    <w:p w14:paraId="4B1502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2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根据要求，结合实际，开展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西安市碑林区残疾人联合会碑林区2025年残疾人家庭医生签约服务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，通过家庭医生与残疾人签约，为他们提供相应的基本医疗服务、公共卫生服务、健康管理服务、基本康复服务及入户精准康复服务等，提高残疾人的生活、学习和工作质量。</w:t>
      </w:r>
    </w:p>
    <w:p w14:paraId="027C78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2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一、合同价款</w:t>
      </w:r>
    </w:p>
    <w:p w14:paraId="5F861D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第一包：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元（人/次），服务人数：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人，服务次数：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次（人/年），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总价(人民币/元)暂定为：大写：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8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小写：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精准入户服务包总费用=服务人数×服务次数（3次）×单人单次固定费用（80元）。最终根据实际服务人数结算费用。</w:t>
      </w:r>
    </w:p>
    <w:p w14:paraId="6A085A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第二包：</w:t>
      </w:r>
    </w:p>
    <w:p w14:paraId="0E1CE05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right="0" w:rightChars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1.基础康复服务包：固定单价：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50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元（人/年），服务人数：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人，总价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(人民币/元)暂定为：大写：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8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小写：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:lang w:eastAsia="zh-CN"/>
          <w14:textFill>
            <w14:solidFill>
              <w14:schemeClr w14:val="tx1"/>
            </w14:solidFill>
          </w14:textFill>
        </w:rPr>
        <w:t>。基础康复服务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包总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:lang w:eastAsia="zh-CN"/>
          <w14:textFill>
            <w14:solidFill>
              <w14:schemeClr w14:val="tx1"/>
            </w14:solidFill>
          </w14:textFill>
        </w:rPr>
        <w:t>费用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=服务人数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×每人每年固定单价（50元）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:lang w:eastAsia="zh-CN"/>
          <w14:textFill>
            <w14:solidFill>
              <w14:schemeClr w14:val="tx1"/>
            </w14:solidFill>
          </w14:textFill>
        </w:rPr>
        <w:t>，最终根据实际服务人数结算费用；</w:t>
      </w:r>
    </w:p>
    <w:p w14:paraId="4A0408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2.精准康复服务包：单人单次单项：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20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（元），全年总服务项数：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项，</w:t>
      </w:r>
    </w:p>
    <w:p w14:paraId="12BCD6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right="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总价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(人民币/元)暂定为：大写：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8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小写：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精准康复服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务包总费用=全年总服务项数×单人单次单项价格（20元），最终根据实际服务项数、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单人单次单项价格据实结算费用；</w:t>
      </w:r>
    </w:p>
    <w:p w14:paraId="23A151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3.第二包：精神残疾人家庭医生签约服务总价=基础康复服务费用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元+精准康复服务费用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元，即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大写：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8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小写：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78A0A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2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二、款项结算</w:t>
      </w:r>
    </w:p>
    <w:p w14:paraId="359556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结算方式：</w:t>
      </w:r>
    </w:p>
    <w:p w14:paraId="4775F6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第一包：最终根据实际服务人数及次数据实结算费用，即结算费用=全年总服务人数×每人每年服务次数×单人单次报价。</w:t>
      </w:r>
    </w:p>
    <w:p w14:paraId="75C177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第二包：</w:t>
      </w:r>
    </w:p>
    <w:p w14:paraId="78C575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1.“基础康复服务包”：最终根据实际服务人数、每人每年固定费用结算。即结算费用=实际服务人数×每人每年固定费用。</w:t>
      </w:r>
    </w:p>
    <w:p w14:paraId="1DD5EB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2.“精准康复服务包”：最终根据实际服务项数、单人单次单项报价据实结算费用，即结算费用=全年总服务项数×单人单次单项报价。</w:t>
      </w:r>
    </w:p>
    <w:p w14:paraId="416455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default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3.第二包总费用=基础康复服务费用+精准康复服务费用。</w:t>
      </w:r>
    </w:p>
    <w:p w14:paraId="35F4F8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（二）支付方式：银行转账。</w:t>
      </w:r>
    </w:p>
    <w:p w14:paraId="4592A7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5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（三）甲方付款前，乙方须开具等额发票。</w:t>
      </w:r>
    </w:p>
    <w:p w14:paraId="794C4F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2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三、服务期及服务地点</w:t>
      </w:r>
    </w:p>
    <w:p w14:paraId="034E1D3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480" w:lineRule="exact"/>
        <w:textAlignment w:val="baseline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第一包：</w:t>
      </w:r>
    </w:p>
    <w:p w14:paraId="3D909B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（1）服务期限：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自合同签订之日起一年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。</w:t>
      </w:r>
    </w:p>
    <w:p w14:paraId="02A0F2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（2）服务地点：采购人指定地点。</w:t>
      </w:r>
    </w:p>
    <w:p w14:paraId="02577F37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480" w:lineRule="exact"/>
        <w:textAlignment w:val="baseline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第二包：</w:t>
      </w:r>
    </w:p>
    <w:p w14:paraId="772D5B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（1）服务期限：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自合同签订之日起一年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。</w:t>
      </w:r>
    </w:p>
    <w:p w14:paraId="185351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（2）服务地点：采购人指定地点。</w:t>
      </w:r>
    </w:p>
    <w:p w14:paraId="47A829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2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四、双方权力和义务</w:t>
      </w:r>
    </w:p>
    <w:p w14:paraId="267FE6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2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（一）甲方的权利和义务</w:t>
      </w:r>
    </w:p>
    <w:p w14:paraId="363B96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1.甲方有权对合同规定范围内乙方的服务行为进行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6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监督和检查，拥有监管权。有权定期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核对乙方提供服务所配备的人员数量。对甲方认为不合理的部分有权下达整改通知书，并要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求乙方限期整改。</w:t>
      </w:r>
    </w:p>
    <w:p w14:paraId="7FFB90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6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9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2.甲方有权对乙方提供的服务进行定期考评。</w:t>
      </w:r>
    </w:p>
    <w:p w14:paraId="50B124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6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9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3.负责检查监督乙方管理工作的实施及制度的执行情况。</w:t>
      </w:r>
    </w:p>
    <w:p w14:paraId="38DBA0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4.根据本合同规定，按时向乙方支付应付服务费用。</w:t>
      </w:r>
    </w:p>
    <w:p w14:paraId="671D4D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6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9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5.国家法律、法规所规定由甲方承担的其它责任。</w:t>
      </w:r>
    </w:p>
    <w:p w14:paraId="6A7FEA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2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（二）乙方的权利和义务</w:t>
      </w:r>
    </w:p>
    <w:p w14:paraId="3F6A99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6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9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1.对本合同规定的委托服务范围内的项目享有管理权及服务义务。</w:t>
      </w:r>
    </w:p>
    <w:p w14:paraId="7525EE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2.根据本合同的规定向甲方收取相关服务费用，并有权在本项目管理范围内管理及合理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3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使用。</w:t>
      </w:r>
    </w:p>
    <w:p w14:paraId="06DA1A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3.及时向甲方通告本项目服务范围内有关服务的重大事项，及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9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时配合处理投诉。</w:t>
      </w:r>
    </w:p>
    <w:p w14:paraId="6DD4CB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4.接受项目行业管理部门及政府有关部门的指导，接受甲方的监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9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督。</w:t>
      </w:r>
    </w:p>
    <w:p w14:paraId="70BA17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16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9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5.国家法律、法规所规定由乙方承担的其它责任。</w:t>
      </w:r>
    </w:p>
    <w:p w14:paraId="5D0B8E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2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五、违约责任</w:t>
      </w:r>
    </w:p>
    <w:p w14:paraId="1B149D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按《中华人民共和国民法典》中的相关条款执行；</w:t>
      </w:r>
    </w:p>
    <w:p w14:paraId="6ED4A0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乙方未按合同要求提供服务或提供的服务质量不能满足技术要求，且在规定时间内未使甲方满意的，甲方有权终止合同，同时报请监管部门对其违约行为进行追究。</w:t>
      </w:r>
    </w:p>
    <w:p w14:paraId="5195AA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甲乙双方必须遵守本合同并执行合同中的各项规定，保证本合同的正常履行。</w:t>
      </w:r>
    </w:p>
    <w:p w14:paraId="62530C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如因乙方工作人员在履行职务过程中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4C0C18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2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六、合同的变更和终止</w:t>
      </w:r>
    </w:p>
    <w:p w14:paraId="4963B7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除《中华人民共和国政府采购法》第49条、第50条第二款规定的情形外，本合同一经签订，甲乙双方不得擅自变更、中止或终止合同。</w:t>
      </w:r>
    </w:p>
    <w:p w14:paraId="72E85E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2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七、合同争议</w:t>
      </w:r>
    </w:p>
    <w:p w14:paraId="0E33FC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本合同在履行过程中发生的争议的，由甲、乙方协商解决；协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eastAsia="zh-CN"/>
          <w14:textFill>
            <w14:solidFill>
              <w14:schemeClr w14:val="tx1"/>
            </w14:solidFill>
          </w14:textFill>
        </w:rPr>
        <w:t>商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不成的，依法向甲方所在地人民法院起诉解决。</w:t>
      </w:r>
    </w:p>
    <w:p w14:paraId="1CE177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2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八、合同生效</w:t>
      </w:r>
    </w:p>
    <w:p w14:paraId="25EA95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2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合同未尽事宜，由甲、乙双方协商，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文件、乙方的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0"/>
          <w:sz w:val="24"/>
          <w:szCs w:val="24"/>
          <w:highlight w:val="none"/>
          <w:u w:val="none" w:color="auto"/>
          <w14:textFill>
            <w14:solidFill>
              <w14:schemeClr w14:val="tx1"/>
            </w14:solidFill>
          </w14:textFill>
        </w:rPr>
        <w:t>文件及评标过程中的澄清、承诺内容均作为本合同的组成部分，具有同等法律效力。</w:t>
      </w:r>
    </w:p>
    <w:p w14:paraId="0BEB6B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508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本合同一式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9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4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9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份，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5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甲方、乙方各执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9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5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9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份。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双方签字盖章后生效。</w:t>
      </w:r>
    </w:p>
    <w:p w14:paraId="54DB6A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48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62DAA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right="0" w:firstLine="480" w:firstLineChars="20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01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3"/>
        <w:gridCol w:w="3000"/>
        <w:gridCol w:w="2557"/>
      </w:tblGrid>
      <w:tr w14:paraId="26001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01F905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3000" w:type="dxa"/>
            <w:noWrap w:val="0"/>
            <w:vAlign w:val="center"/>
          </w:tcPr>
          <w:p w14:paraId="6A83C0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  <w:tc>
          <w:tcPr>
            <w:tcW w:w="2557" w:type="dxa"/>
            <w:noWrap w:val="0"/>
            <w:vAlign w:val="center"/>
          </w:tcPr>
          <w:p w14:paraId="278A07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B1C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59BD16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3000" w:type="dxa"/>
            <w:noWrap w:val="0"/>
            <w:vAlign w:val="center"/>
          </w:tcPr>
          <w:p w14:paraId="33F28F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2557" w:type="dxa"/>
            <w:noWrap w:val="0"/>
            <w:vAlign w:val="center"/>
          </w:tcPr>
          <w:p w14:paraId="13926D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0B5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3E2253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</w:tc>
        <w:tc>
          <w:tcPr>
            <w:tcW w:w="3000" w:type="dxa"/>
            <w:noWrap w:val="0"/>
            <w:vAlign w:val="center"/>
          </w:tcPr>
          <w:p w14:paraId="05F376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  <w:tc>
          <w:tcPr>
            <w:tcW w:w="2557" w:type="dxa"/>
            <w:noWrap w:val="0"/>
            <w:vAlign w:val="center"/>
          </w:tcPr>
          <w:p w14:paraId="3F6D14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C56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0E4597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  <w:tc>
          <w:tcPr>
            <w:tcW w:w="3000" w:type="dxa"/>
            <w:noWrap w:val="0"/>
            <w:vAlign w:val="center"/>
          </w:tcPr>
          <w:p w14:paraId="33D2F4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  <w:tc>
          <w:tcPr>
            <w:tcW w:w="2557" w:type="dxa"/>
            <w:noWrap w:val="0"/>
            <w:vAlign w:val="center"/>
          </w:tcPr>
          <w:p w14:paraId="6CC5E6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1D2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4FC727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法定代表人： </w:t>
            </w:r>
          </w:p>
        </w:tc>
        <w:tc>
          <w:tcPr>
            <w:tcW w:w="3000" w:type="dxa"/>
            <w:noWrap w:val="0"/>
            <w:vAlign w:val="center"/>
          </w:tcPr>
          <w:p w14:paraId="22DE74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  <w:tc>
          <w:tcPr>
            <w:tcW w:w="2557" w:type="dxa"/>
            <w:noWrap w:val="0"/>
            <w:vAlign w:val="center"/>
          </w:tcPr>
          <w:p w14:paraId="58BCAD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D8D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7D83D3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</w:t>
            </w:r>
          </w:p>
        </w:tc>
        <w:tc>
          <w:tcPr>
            <w:tcW w:w="3000" w:type="dxa"/>
            <w:noWrap w:val="0"/>
            <w:vAlign w:val="center"/>
          </w:tcPr>
          <w:p w14:paraId="39D9E6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</w:t>
            </w:r>
          </w:p>
        </w:tc>
        <w:tc>
          <w:tcPr>
            <w:tcW w:w="2557" w:type="dxa"/>
            <w:noWrap w:val="0"/>
            <w:vAlign w:val="center"/>
          </w:tcPr>
          <w:p w14:paraId="50B0EA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2070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54D8A6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3000" w:type="dxa"/>
            <w:noWrap w:val="0"/>
            <w:vAlign w:val="center"/>
          </w:tcPr>
          <w:p w14:paraId="014EA7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2557" w:type="dxa"/>
            <w:noWrap w:val="0"/>
            <w:vAlign w:val="center"/>
          </w:tcPr>
          <w:p w14:paraId="6F97C4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D4B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3480C8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  <w:tc>
          <w:tcPr>
            <w:tcW w:w="3000" w:type="dxa"/>
            <w:noWrap w:val="0"/>
            <w:vAlign w:val="center"/>
          </w:tcPr>
          <w:p w14:paraId="1362D2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  <w:tc>
          <w:tcPr>
            <w:tcW w:w="2557" w:type="dxa"/>
            <w:noWrap w:val="0"/>
            <w:vAlign w:val="center"/>
          </w:tcPr>
          <w:p w14:paraId="1C35CD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003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2D7C17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  <w:tc>
          <w:tcPr>
            <w:tcW w:w="3000" w:type="dxa"/>
            <w:noWrap w:val="0"/>
            <w:vAlign w:val="center"/>
          </w:tcPr>
          <w:p w14:paraId="4DF0C5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  <w:tc>
          <w:tcPr>
            <w:tcW w:w="2557" w:type="dxa"/>
            <w:noWrap w:val="0"/>
            <w:vAlign w:val="center"/>
          </w:tcPr>
          <w:p w14:paraId="6BCD68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258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0EDFFA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开户银行账号：</w:t>
            </w:r>
          </w:p>
        </w:tc>
        <w:tc>
          <w:tcPr>
            <w:tcW w:w="3000" w:type="dxa"/>
            <w:noWrap w:val="0"/>
            <w:vAlign w:val="center"/>
          </w:tcPr>
          <w:p w14:paraId="768B20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开户银行账号：</w:t>
            </w:r>
          </w:p>
        </w:tc>
        <w:tc>
          <w:tcPr>
            <w:tcW w:w="2557" w:type="dxa"/>
            <w:noWrap w:val="0"/>
            <w:vAlign w:val="center"/>
          </w:tcPr>
          <w:p w14:paraId="3063DE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F38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603" w:type="dxa"/>
            <w:noWrap w:val="0"/>
            <w:vAlign w:val="center"/>
          </w:tcPr>
          <w:p w14:paraId="255604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38" w:leftChars="304" w:right="0" w:firstLine="0" w:firstLineChars="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  <w:tc>
          <w:tcPr>
            <w:tcW w:w="3000" w:type="dxa"/>
            <w:noWrap w:val="0"/>
            <w:vAlign w:val="center"/>
          </w:tcPr>
          <w:p w14:paraId="55C57A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929" w:leftChars="800" w:right="0" w:hanging="249" w:hangingChars="104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  <w:tc>
          <w:tcPr>
            <w:tcW w:w="2557" w:type="dxa"/>
            <w:noWrap w:val="0"/>
            <w:vAlign w:val="center"/>
          </w:tcPr>
          <w:p w14:paraId="408CE3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0" w:right="0" w:firstLine="48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AF14AD4">
      <w:pP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35EDE722">
      <w:pPr>
        <w:pStyle w:val="6"/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232677EB">
      <w:bookmarkStart w:id="0" w:name="_GoBack"/>
      <w:bookmarkEnd w:id="0"/>
    </w:p>
    <w:sectPr>
      <w:headerReference r:id="rId6" w:type="default"/>
      <w:footerReference r:id="rId7" w:type="default"/>
      <w:pgSz w:w="11900" w:h="16840"/>
      <w:pgMar w:top="1417" w:right="1417" w:bottom="1417" w:left="1417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C8F17">
    <w:pPr>
      <w:pStyle w:val="6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E8428">
    <w:pPr>
      <w:spacing w:line="173" w:lineRule="auto"/>
      <w:ind w:left="3694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9"/>
        <w:sz w:val="24"/>
        <w:szCs w:val="24"/>
      </w:rPr>
      <w:t>-</w:t>
    </w:r>
    <w:r>
      <w:rPr>
        <w:rFonts w:ascii="宋体" w:hAnsi="宋体" w:eastAsia="宋体" w:cs="宋体"/>
        <w:spacing w:val="-9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9"/>
        <w:sz w:val="24"/>
        <w:szCs w:val="24"/>
      </w:rPr>
      <w:t>44</w:t>
    </w:r>
    <w:r>
      <w:rPr>
        <w:rFonts w:ascii="宋体" w:hAnsi="宋体" w:eastAsia="宋体" w:cs="宋体"/>
        <w:spacing w:val="-9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9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D4E15">
    <w:pPr>
      <w:pStyle w:val="6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3582B"/>
    <w:rsid w:val="0BEE32C2"/>
    <w:rsid w:val="0E916E0F"/>
    <w:rsid w:val="2682656C"/>
    <w:rsid w:val="28C01707"/>
    <w:rsid w:val="28E03E7D"/>
    <w:rsid w:val="298970CB"/>
    <w:rsid w:val="2C1C1DF7"/>
    <w:rsid w:val="2FCB43E0"/>
    <w:rsid w:val="37294A27"/>
    <w:rsid w:val="3CA3582B"/>
    <w:rsid w:val="422C694D"/>
    <w:rsid w:val="431E61AB"/>
    <w:rsid w:val="43995A03"/>
    <w:rsid w:val="492C14BA"/>
    <w:rsid w:val="4BFE3A92"/>
    <w:rsid w:val="59D41C83"/>
    <w:rsid w:val="667A008B"/>
    <w:rsid w:val="7C6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kern w:val="44"/>
      <w:sz w:val="44"/>
      <w:szCs w:val="20"/>
    </w:rPr>
  </w:style>
  <w:style w:type="paragraph" w:styleId="3">
    <w:name w:val="heading 2"/>
    <w:basedOn w:val="2"/>
    <w:next w:val="1"/>
    <w:link w:val="10"/>
    <w:semiHidden/>
    <w:unhideWhenUsed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36"/>
      <w:szCs w:val="20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rFonts w:ascii="Calibri" w:hAnsi="Calibri" w:eastAsia="宋体"/>
      <w:b/>
      <w:sz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9">
    <w:name w:val="标题 3 Char"/>
    <w:link w:val="4"/>
    <w:qFormat/>
    <w:uiPriority w:val="0"/>
    <w:rPr>
      <w:rFonts w:ascii="Calibri" w:hAnsi="Calibri" w:eastAsia="宋体"/>
      <w:b/>
      <w:sz w:val="30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kern w:val="2"/>
      <w:sz w:val="36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2025-04-16T09:26:00Z</dcterms:created>
  <dc:creator>豆本豆</dc:creator>
  <cp:lastModifiedBy>豆本豆</cp:lastModifiedBy>
  <dcterms:modified xsi:type="dcterms:W3CDTF">2025-04-16T09:26:51Z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DB0B159054D44ED28442EBF45E6AAEC5_11</vt:lpwstr>
  </property>
  <property fmtid="{D5CDD505-2E9C-101B-9397-08002B2CF9AE}" pid="4" name="KSOTemplateDocerSaveRecord">
    <vt:lpwstr>eyJoZGlkIjoiOTE1MzkzNjRmZjY4MDg4NmRmNDdiY2I0ZGM1N2RjMGEiLCJ1c2VySWQiOiI4MTA3MzA2NDAifQ==</vt:lpwstr>
  </property>
</Properties>
</file>