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版本号：XBZB-2025-04220250417001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碑林区2025年市政道路养护项目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XBZB-2025-042</w:t>
      </w:r>
      <w:r>
        <w:br/>
      </w:r>
      <w:r>
        <w:br/>
      </w:r>
      <w:r>
        <w:br/>
      </w:r>
    </w:p>
    <w:p>
      <w:pPr>
        <w:pStyle w:val="null3"/>
        <w:jc w:val="center"/>
        <w:outlineLvl w:val="2"/>
      </w:pPr>
      <w:r>
        <w:rPr>
          <w:rFonts w:ascii="仿宋_GB2312" w:hAnsi="仿宋_GB2312" w:cs="仿宋_GB2312" w:eastAsia="仿宋_GB2312"/>
          <w:sz w:val="28"/>
          <w:b/>
        </w:rPr>
        <w:t>西安市碑林区城市管理局（本级）</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西安市碑林区城市管理局（本级）</w:t>
      </w:r>
      <w:r>
        <w:rPr>
          <w:rFonts w:ascii="仿宋_GB2312" w:hAnsi="仿宋_GB2312" w:cs="仿宋_GB2312" w:eastAsia="仿宋_GB2312"/>
        </w:rPr>
        <w:t>委托，拟对</w:t>
      </w:r>
      <w:r>
        <w:rPr>
          <w:rFonts w:ascii="仿宋_GB2312" w:hAnsi="仿宋_GB2312" w:cs="仿宋_GB2312" w:eastAsia="仿宋_GB2312"/>
        </w:rPr>
        <w:t>碑林区2025年市政道路养护项目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XBZB-2025-042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碑林区2025年市政道路养护项目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碑林区2025年市政道路养护项目，碑林区区管道路路面、人行道、人行天桥及其附属设施日常养护、应急养护及其他应急工作。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采购包1（碑林区2025年市政道路养护项目）：属于专门面向中小企业采购。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1、企业资质：供应商须具备建设部门颁发的市政公用工程施工总承包三级及以上资质；</w:t>
      </w:r>
    </w:p>
    <w:p>
      <w:pPr>
        <w:pStyle w:val="null3"/>
      </w:pPr>
      <w:r>
        <w:rPr>
          <w:rFonts w:ascii="仿宋_GB2312" w:hAnsi="仿宋_GB2312" w:cs="仿宋_GB2312" w:eastAsia="仿宋_GB2312"/>
        </w:rPr>
        <w:t>2、法定代表人授权书：被授权人参加投标，须提供法定代表人授权书（附法定代表人、被授权人身份证复印件）；法定代表人直接参加投标，须提供法定代表人身份证明；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3、安全生产许可证：供应商须具备有效的安全生产许可证；</w:t>
      </w:r>
    </w:p>
    <w:p>
      <w:pPr>
        <w:pStyle w:val="null3"/>
      </w:pPr>
      <w:r>
        <w:rPr>
          <w:rFonts w:ascii="仿宋_GB2312" w:hAnsi="仿宋_GB2312" w:cs="仿宋_GB2312" w:eastAsia="仿宋_GB2312"/>
        </w:rPr>
        <w:t>4、拟派项目负责人（项目经理）资质和专业要求：项目经理具有市政公用工程专业二级及以上注册建造师证，具备有效的安全生产考核合格证书（建安B证），且无在建工程（提供无在建声明）；</w:t>
      </w:r>
    </w:p>
    <w:p>
      <w:pPr>
        <w:pStyle w:val="null3"/>
      </w:pPr>
      <w:r>
        <w:rPr>
          <w:rFonts w:ascii="仿宋_GB2312" w:hAnsi="仿宋_GB2312" w:cs="仿宋_GB2312" w:eastAsia="仿宋_GB2312"/>
        </w:rPr>
        <w:t>5、信用信息：供应商未被中国政府采购网（www.ccgp.gov.cn）列入政府采购严重违法失信行为记录名单，未被“信用中国”网站（www.creditchina.gov.cn）列入失信被执行人和重大税收违法失信主体（以现场查询结果为准）</w:t>
      </w:r>
    </w:p>
    <w:p>
      <w:pPr>
        <w:pStyle w:val="null3"/>
      </w:pPr>
      <w:r>
        <w:rPr>
          <w:rFonts w:ascii="仿宋_GB2312" w:hAnsi="仿宋_GB2312" w:cs="仿宋_GB2312" w:eastAsia="仿宋_GB2312"/>
        </w:rPr>
        <w:t>6、本项目不接受联合体磋商：本项目不接受联合体磋商，按要求上传相应证明文件并进行电子签章。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西安市碑林区城市管理局（本级）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西安市碑林区雁塔北路23号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029-83238303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陕西省西安市碑林区南关正街长安国际F座17层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王富敏、王薇、朱柯伟、谢娜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029-85221302/13572926183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采购包1：1,499,843.48元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2002年颁发的《招标代理服务收费管理暂行办法》(计价格〔2002〕1980号)和国家发改委2011年颁布的《国家发展改革委关于降低部分建设项目收费标准规范收费行为等有关问题的通知》发改价格[2011]534号文件的规定计算。 2.支付方式：成交供应商应在领取成交通知书前，向西北国际（陕西）造价管理集团有限公司一次性支付本项目采购代理服务费。 收款账户如下：收款单位：西北国际（陕西）造价管理集团有限公司；开户银行：招商银行股份有限公司西安雁塔路支行；银行账号：1299 1289 8210 301 。</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西安市碑林区城市管理局（本级）</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西安市碑林区城市管理局（本级）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西安市碑林区城市管理局（本级）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照《城镇道路养护技术规范》CJJ36-2016、《公路沥青路面养护技术规范》JTJ073.2-2017、《道路施工安全设施设置示例》GB5768-2009、《城市道路养护作业安全设施设置技术规程》DBJ13/T－149－2012等行业管理部门规定的标准、方法和内容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联系人：王富敏、王薇、朱柯伟、谢娜</w:t>
      </w:r>
    </w:p>
    <w:p>
      <w:pPr>
        <w:pStyle w:val="null3"/>
      </w:pPr>
      <w:r>
        <w:rPr>
          <w:rFonts w:ascii="仿宋_GB2312" w:hAnsi="仿宋_GB2312" w:cs="仿宋_GB2312" w:eastAsia="仿宋_GB2312"/>
        </w:rPr>
        <w:t>联系电话：029-85221302/13572926183</w:t>
      </w:r>
    </w:p>
    <w:p>
      <w:pPr>
        <w:pStyle w:val="null3"/>
      </w:pPr>
      <w:r>
        <w:rPr>
          <w:rFonts w:ascii="仿宋_GB2312" w:hAnsi="仿宋_GB2312" w:cs="仿宋_GB2312" w:eastAsia="仿宋_GB2312"/>
        </w:rPr>
        <w:t>地址：陕西省西安市碑林区南关正街长安国际F座17层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1,499,843.48</w:t>
      </w:r>
    </w:p>
    <w:p>
      <w:pPr>
        <w:pStyle w:val="null3"/>
      </w:pPr>
      <w:r>
        <w:rPr>
          <w:rFonts w:ascii="仿宋_GB2312" w:hAnsi="仿宋_GB2312" w:cs="仿宋_GB2312" w:eastAsia="仿宋_GB2312"/>
        </w:rPr>
        <w:t>采购包最高限价（元）: 1,499,843.48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碑林区2025年市政道路养护项目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1,499,843.48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标的名称：碑林区2025年市政道路养护项目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一、工程概况</w:t>
            </w:r>
          </w:p>
        </w:tc>
        <w:tc>
          <w:tcPr>
            <w:tcW w:type="dxa" w:w="2076"/>
          </w:tcPr>
          <w:p>
            <w:pPr>
              <w:pStyle w:val="null3"/>
              <w:jc w:val="both"/>
            </w:pPr>
            <w:r>
              <w:rPr>
                <w:rFonts w:ascii="仿宋_GB2312" w:hAnsi="仿宋_GB2312" w:cs="仿宋_GB2312" w:eastAsia="仿宋_GB2312"/>
                <w:sz w:val="21"/>
                <w:color w:val="000000"/>
              </w:rPr>
              <w:t>碑林区</w:t>
            </w:r>
            <w:r>
              <w:rPr>
                <w:rFonts w:ascii="仿宋_GB2312" w:hAnsi="仿宋_GB2312" w:cs="仿宋_GB2312" w:eastAsia="仿宋_GB2312"/>
                <w:sz w:val="21"/>
                <w:color w:val="000000"/>
              </w:rPr>
              <w:t>2025年市政道路养护项目，碑林区区管道路路面、人行道、人行天桥及其附属设施日常养护、应急养护及其他应急工作。</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二、工程内容</w:t>
            </w:r>
          </w:p>
        </w:tc>
        <w:tc>
          <w:tcPr>
            <w:tcW w:type="dxa" w:w="2076"/>
          </w:tcPr>
          <w:p>
            <w:pPr>
              <w:pStyle w:val="null3"/>
              <w:jc w:val="both"/>
            </w:pPr>
            <w:r>
              <w:rPr>
                <w:rFonts w:ascii="仿宋_GB2312" w:hAnsi="仿宋_GB2312" w:cs="仿宋_GB2312" w:eastAsia="仿宋_GB2312"/>
                <w:sz w:val="21"/>
                <w:color w:val="000000"/>
              </w:rPr>
              <w:t>包括对养护区域内凹陷凸起、壅包、破损剥落、龟裂等缺陷路面的铣刨重铺处理以及塌陷路面基础处理；拆除人行道、人行道块料铺设、铺设垫层等；人行天桥的维护、维修，采购人安排的其它临时工程、防汛应急抢险任务等。</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三、工程量清单和计价依据</w:t>
            </w:r>
          </w:p>
        </w:tc>
        <w:tc>
          <w:tcPr>
            <w:tcW w:type="dxa" w:w="2076"/>
          </w:tcPr>
          <w:p>
            <w:pPr>
              <w:pStyle w:val="null3"/>
              <w:jc w:val="both"/>
            </w:pPr>
            <w:r>
              <w:rPr>
                <w:rFonts w:ascii="仿宋_GB2312" w:hAnsi="仿宋_GB2312" w:cs="仿宋_GB2312" w:eastAsia="仿宋_GB2312"/>
                <w:sz w:val="21"/>
              </w:rPr>
              <w:t>1.工程量清单详见附件</w:t>
            </w:r>
          </w:p>
          <w:p>
            <w:pPr>
              <w:pStyle w:val="null3"/>
              <w:jc w:val="left"/>
            </w:pPr>
            <w:r>
              <w:rPr>
                <w:rFonts w:ascii="仿宋_GB2312" w:hAnsi="仿宋_GB2312" w:cs="仿宋_GB2312" w:eastAsia="仿宋_GB2312"/>
                <w:sz w:val="21"/>
                <w:color w:val="000000"/>
              </w:rPr>
              <w:t>2.计价依据：根据陕西省市政设施维修养护定额（2012）及其配套文件；执行陕建发〔2018〕2019号；执行陕建价发〔2019〕45号文件规定，材料价格执行2025年第3期的《陕西造价管理信息材料信息价》；参照《陕西省市政工程消耗量定额》，报价以给定的工程量清单及现场情况自主编报。</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四、施工要求</w:t>
            </w:r>
          </w:p>
        </w:tc>
        <w:tc>
          <w:tcPr>
            <w:tcW w:type="dxa" w:w="2076"/>
          </w:tcPr>
          <w:p>
            <w:pPr>
              <w:pStyle w:val="null3"/>
              <w:jc w:val="both"/>
            </w:pPr>
            <w:r>
              <w:rPr>
                <w:rFonts w:ascii="仿宋_GB2312" w:hAnsi="仿宋_GB2312" w:cs="仿宋_GB2312" w:eastAsia="仿宋_GB2312"/>
                <w:sz w:val="21"/>
              </w:rPr>
              <w:t>1.办公场所要求：为保证服务的质量及便捷性，供应商应在碑林区辖区设置固定项目管理部，必须配备满足项目开展的办公室、物资材料仓储室、机械设备停放场以及相应的生活区。</w:t>
            </w:r>
          </w:p>
          <w:p>
            <w:pPr>
              <w:pStyle w:val="null3"/>
              <w:spacing w:before="60"/>
              <w:jc w:val="both"/>
            </w:pPr>
            <w:r>
              <w:rPr>
                <w:rFonts w:ascii="仿宋_GB2312" w:hAnsi="仿宋_GB2312" w:cs="仿宋_GB2312" w:eastAsia="仿宋_GB2312"/>
                <w:sz w:val="21"/>
              </w:rPr>
              <w:t>2.项目团队成员配备要求：供应商应成立项目管理组织机构，要求项目组成员结构合理、分工明确，并保证项目组成员具有相应资格或职称证书，持证上岗。项目组人员必须包含项目负责人、技术负责人、技术管理人员、安全专职人员(2人以上)、质检人员、资料员、专业的维修养护人员。项目所需的机械设备及工具都为供应商自备，采购人不提供任何机械设备及工具。</w:t>
            </w:r>
          </w:p>
          <w:p>
            <w:pPr>
              <w:pStyle w:val="null3"/>
              <w:spacing w:before="60"/>
              <w:jc w:val="both"/>
            </w:pPr>
            <w:r>
              <w:rPr>
                <w:rFonts w:ascii="仿宋_GB2312" w:hAnsi="仿宋_GB2312" w:cs="仿宋_GB2312" w:eastAsia="仿宋_GB2312"/>
                <w:sz w:val="21"/>
              </w:rPr>
              <w:t>3.市政道路及其人行天桥维修养护要求：应具备健全的修补制度、管理制度、应急处理制度及自查自检制度。供应商提供的市政道路及设施养护维修项目包括管养区域道路修复、人行道修复、道牙修复更换、等及其他临时性工作。供应商必须提供维修养护所需的全部材料及设备，并按相关要求进行养护维修作业。</w:t>
            </w:r>
          </w:p>
          <w:p>
            <w:pPr>
              <w:pStyle w:val="null3"/>
              <w:spacing w:before="60"/>
              <w:jc w:val="both"/>
            </w:pPr>
            <w:r>
              <w:rPr>
                <w:rFonts w:ascii="仿宋_GB2312" w:hAnsi="仿宋_GB2312" w:cs="仿宋_GB2312" w:eastAsia="仿宋_GB2312"/>
                <w:sz w:val="21"/>
              </w:rPr>
              <w:t>保证辖区</w:t>
            </w:r>
            <w:r>
              <w:rPr>
                <w:rFonts w:ascii="仿宋_GB2312" w:hAnsi="仿宋_GB2312" w:cs="仿宋_GB2312" w:eastAsia="仿宋_GB2312"/>
                <w:sz w:val="21"/>
              </w:rPr>
              <w:t>28座人行天桥正常通行，当天损坏的防滑垫、护栏等当天进行维修或更换，必须确保人民日常通行和市容环境不受影响。</w:t>
            </w:r>
          </w:p>
          <w:p>
            <w:pPr>
              <w:pStyle w:val="null3"/>
              <w:spacing w:before="60"/>
              <w:jc w:val="both"/>
            </w:pPr>
            <w:r>
              <w:rPr>
                <w:rFonts w:ascii="仿宋_GB2312" w:hAnsi="仿宋_GB2312" w:cs="仿宋_GB2312" w:eastAsia="仿宋_GB2312"/>
                <w:sz w:val="21"/>
              </w:rPr>
              <w:t>4.安全文明施工要求：必须作好施工现场组织管理、文明施工，维护现场秩序，做到工完场清、道路畅通。根据施工现场采取不同的围挡方式进行围挡作业，对短时间内或小面积（1M²以下）维修可用水马、安全锥、连杆等安全防护标志，并设有市政设施抢修施工告示牌，严禁用土头垃圾堆做防护。养护维修过程中当天产生的土堆、废渣、垃圾等应在当天维修结束后清理完毕，做到工完料尽场地清。建筑垃圾不得随意倾倒，由供应商自行联系运至碑林辖区地以外的建筑垃圾堆放场所并承担相应的费用。夜间应尽量减少噪音对周边居民以及企业的影响。</w:t>
            </w:r>
          </w:p>
          <w:p>
            <w:pPr>
              <w:pStyle w:val="null3"/>
              <w:jc w:val="left"/>
            </w:pPr>
            <w:r>
              <w:rPr>
                <w:rFonts w:ascii="仿宋_GB2312" w:hAnsi="仿宋_GB2312" w:cs="仿宋_GB2312" w:eastAsia="仿宋_GB2312"/>
                <w:sz w:val="21"/>
                <w:color w:val="000000"/>
              </w:rPr>
              <w:t>供应商对自有的施工人员人身及财产安全负责，对自己的人和机械设备购买保险及相应的劳保用具。维修作业人员需穿有印制</w:t>
            </w:r>
            <w:r>
              <w:rPr>
                <w:rFonts w:ascii="仿宋_GB2312" w:hAnsi="仿宋_GB2312" w:cs="仿宋_GB2312" w:eastAsia="仿宋_GB2312"/>
                <w:sz w:val="21"/>
                <w:color w:val="000000"/>
              </w:rPr>
              <w:t>“市政维护”标识字样统一样式的橘色醒目制服，并根据实际情况穿戴反光服、高温鞋、安全帽等安全防护用品。施工人员均应严格按照相关技术规范进行施工，做到安全施工且不影响交通。</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五、商务要求</w:t>
            </w:r>
          </w:p>
        </w:tc>
        <w:tc>
          <w:tcPr>
            <w:tcW w:type="dxa" w:w="2076"/>
          </w:tcPr>
          <w:p>
            <w:pPr>
              <w:pStyle w:val="null3"/>
              <w:jc w:val="both"/>
            </w:pPr>
            <w:r>
              <w:rPr>
                <w:rFonts w:ascii="仿宋_GB2312" w:hAnsi="仿宋_GB2312" w:cs="仿宋_GB2312" w:eastAsia="仿宋_GB2312"/>
                <w:sz w:val="21"/>
              </w:rPr>
              <w:t>1.工程地点：西安市碑林区</w:t>
            </w:r>
          </w:p>
          <w:p>
            <w:pPr>
              <w:pStyle w:val="null3"/>
              <w:jc w:val="both"/>
            </w:pPr>
            <w:r>
              <w:rPr>
                <w:rFonts w:ascii="仿宋_GB2312" w:hAnsi="仿宋_GB2312" w:cs="仿宋_GB2312" w:eastAsia="仿宋_GB2312"/>
                <w:sz w:val="21"/>
              </w:rPr>
              <w:t>2.工期：自合同签订之日起365日历天</w:t>
            </w:r>
          </w:p>
          <w:p>
            <w:pPr>
              <w:pStyle w:val="null3"/>
              <w:jc w:val="both"/>
            </w:pPr>
            <w:r>
              <w:rPr>
                <w:rFonts w:ascii="仿宋_GB2312" w:hAnsi="仿宋_GB2312" w:cs="仿宋_GB2312" w:eastAsia="仿宋_GB2312"/>
                <w:sz w:val="21"/>
              </w:rPr>
              <w:t>3.缺陷责任期：12个月，缺陷责任期自工程通过竣工验收之日计算。</w:t>
            </w:r>
          </w:p>
          <w:p>
            <w:pPr>
              <w:pStyle w:val="null3"/>
              <w:jc w:val="both"/>
            </w:pPr>
            <w:r>
              <w:rPr>
                <w:rFonts w:ascii="仿宋_GB2312" w:hAnsi="仿宋_GB2312" w:cs="仿宋_GB2312" w:eastAsia="仿宋_GB2312"/>
                <w:sz w:val="21"/>
              </w:rPr>
              <w:t>4.质量保修期：项目竣工验收合格之日起1年</w:t>
            </w:r>
          </w:p>
          <w:p>
            <w:pPr>
              <w:pStyle w:val="null3"/>
              <w:jc w:val="both"/>
            </w:pPr>
            <w:r>
              <w:rPr>
                <w:rFonts w:ascii="仿宋_GB2312" w:hAnsi="仿宋_GB2312" w:cs="仿宋_GB2312" w:eastAsia="仿宋_GB2312"/>
                <w:sz w:val="21"/>
              </w:rPr>
              <w:t>5.质量验收标准：符合国家现行有关施工质量验收规范“合格”要求。</w:t>
            </w:r>
          </w:p>
          <w:p>
            <w:pPr>
              <w:pStyle w:val="null3"/>
              <w:jc w:val="both"/>
            </w:pPr>
            <w:r>
              <w:rPr>
                <w:rFonts w:ascii="仿宋_GB2312" w:hAnsi="仿宋_GB2312" w:cs="仿宋_GB2312" w:eastAsia="仿宋_GB2312"/>
                <w:sz w:val="21"/>
              </w:rPr>
              <w:t>6.款项结算：</w:t>
            </w:r>
          </w:p>
          <w:p>
            <w:pPr>
              <w:pStyle w:val="null3"/>
              <w:jc w:val="both"/>
            </w:pPr>
            <w:r>
              <w:rPr>
                <w:rFonts w:ascii="仿宋_GB2312" w:hAnsi="仿宋_GB2312" w:cs="仿宋_GB2312" w:eastAsia="仿宋_GB2312"/>
                <w:sz w:val="21"/>
              </w:rPr>
              <w:t>①合同签订后10日内，支付合同总价款的40%作为预付款；</w:t>
            </w:r>
          </w:p>
          <w:p>
            <w:pPr>
              <w:pStyle w:val="null3"/>
              <w:jc w:val="both"/>
            </w:pPr>
            <w:r>
              <w:rPr>
                <w:rFonts w:ascii="仿宋_GB2312" w:hAnsi="仿宋_GB2312" w:cs="仿宋_GB2312" w:eastAsia="仿宋_GB2312"/>
                <w:sz w:val="21"/>
              </w:rPr>
              <w:t>②结算审计完成、资金到账后10日内，付至审定金额的100%。</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①每季度初上报上季度完成情况，经监理及采购人确认完成工程量，养护期结束后由政府审计部门或采购人委托的第三方审计对全年工程量进行审计得到结算评审价（审定金额），采购人根据最终决算价款支付合同尾款(以审计结算评审价为准)。</w:t>
            </w:r>
          </w:p>
          <w:p>
            <w:pPr>
              <w:pStyle w:val="null3"/>
              <w:jc w:val="left"/>
            </w:pPr>
            <w:r>
              <w:rPr>
                <w:rFonts w:ascii="仿宋_GB2312" w:hAnsi="仿宋_GB2312" w:cs="仿宋_GB2312" w:eastAsia="仿宋_GB2312"/>
                <w:sz w:val="21"/>
                <w:color w:val="000000"/>
              </w:rPr>
              <w:t>②在付款前，供应商应当先开具符合采购人要求的全额发票给采购人（附详细清单）。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成交供应商在领取成交通知书时需提供纸质版响应文件贰份、电子版U盘壹份。纸质版响应文件应与政府采购电子化交易平台中上传的内容保持一致。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①可提供2023年或2024年度经审计的财务报告（包含审计报告和审计报告中所涉及的财务报表和报表附注）；②可提供2023或2024年度供应商完整的全套财务报表（应当包括资产负债表、利润表、现金流量表、所有者权益变动表、附注）；③可提供截至响应文件递交截止日前一年内银行出具的资信证明；④供应商注册时间截至响应文件递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资格标.docx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供应商须具备建设部门颁发的市政公用工程施工总承包三级及以上资质；</w:t>
            </w:r>
          </w:p>
        </w:tc>
        <w:tc>
          <w:tcPr>
            <w:tcW w:type="dxa" w:w="1661"/>
          </w:tcPr>
          <w:p>
            <w:pPr>
              <w:pStyle w:val="null3"/>
            </w:pPr>
            <w:r>
              <w:rPr>
                <w:rFonts w:ascii="仿宋_GB2312" w:hAnsi="仿宋_GB2312" w:cs="仿宋_GB2312" w:eastAsia="仿宋_GB2312"/>
              </w:rPr>
              <w:t>资格标.docx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被授权人参加投标，须提供法定代表人授权书（附法定代表人、被授权人身份证复印件）；法定代表人直接参加投标，须提供法定代表人身份证明；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供应商须具备有效的安全生产许可证；</w:t>
            </w:r>
          </w:p>
        </w:tc>
        <w:tc>
          <w:tcPr>
            <w:tcW w:type="dxa" w:w="1661"/>
          </w:tcPr>
          <w:p>
            <w:pPr>
              <w:pStyle w:val="null3"/>
            </w:pPr>
            <w:r>
              <w:rPr>
                <w:rFonts w:ascii="仿宋_GB2312" w:hAnsi="仿宋_GB2312" w:cs="仿宋_GB2312" w:eastAsia="仿宋_GB2312"/>
              </w:rPr>
              <w:t>资格标.docx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拟派项目负责人（项目经理）资质和专业要求</w:t>
            </w:r>
          </w:p>
        </w:tc>
        <w:tc>
          <w:tcPr>
            <w:tcW w:type="dxa" w:w="3322"/>
          </w:tcPr>
          <w:p>
            <w:pPr>
              <w:pStyle w:val="null3"/>
            </w:pPr>
            <w:r>
              <w:rPr>
                <w:rFonts w:ascii="仿宋_GB2312" w:hAnsi="仿宋_GB2312" w:cs="仿宋_GB2312" w:eastAsia="仿宋_GB2312"/>
              </w:rPr>
              <w:t>项目经理具有市政公用工程专业二级及以上注册建造师证，具备有效的安全生产考核合格证书（建安B证），且无在建工程（提供无在建声明）；</w:t>
            </w:r>
          </w:p>
        </w:tc>
        <w:tc>
          <w:tcPr>
            <w:tcW w:type="dxa" w:w="1661"/>
          </w:tcPr>
          <w:p>
            <w:pPr>
              <w:pStyle w:val="null3"/>
            </w:pPr>
            <w:r>
              <w:rPr>
                <w:rFonts w:ascii="仿宋_GB2312" w:hAnsi="仿宋_GB2312" w:cs="仿宋_GB2312" w:eastAsia="仿宋_GB2312"/>
              </w:rPr>
              <w:t>资格标.docx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供应商未被中国政府采购网（www.ccgp.gov.cn）列入政府采购严重违法失信行为记录名单，未被“信用中国”网站（www.creditchina.gov.cn）列入失信被执行人和重大税收违法失信主体（以现场查询结果为准）</w:t>
            </w:r>
          </w:p>
        </w:tc>
        <w:tc>
          <w:tcPr>
            <w:tcW w:type="dxa" w:w="1661"/>
          </w:tcPr>
          <w:p>
            <w:pPr>
              <w:pStyle w:val="null3"/>
            </w:pPr>
            <w:r>
              <w:rPr>
                <w:rFonts w:ascii="仿宋_GB2312" w:hAnsi="仿宋_GB2312" w:cs="仿宋_GB2312" w:eastAsia="仿宋_GB2312"/>
              </w:rPr>
              <w:t>资格标.docx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本项目不接受联合体磋商，按要求上传相应证明文件并进行电子签章。</w:t>
            </w:r>
          </w:p>
        </w:tc>
        <w:tc>
          <w:tcPr>
            <w:tcW w:type="dxa" w:w="1661"/>
          </w:tcPr>
          <w:p>
            <w:pPr>
              <w:pStyle w:val="null3"/>
            </w:pPr>
            <w:r>
              <w:rPr>
                <w:rFonts w:ascii="仿宋_GB2312" w:hAnsi="仿宋_GB2312" w:cs="仿宋_GB2312" w:eastAsia="仿宋_GB2312"/>
              </w:rPr>
              <w:t>资格标.docx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 资格标.docx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资格标.docx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商务标.docx 技术标.docx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商务标.docx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不存在法律、法规和采购文件规定的其他无效磋商情形</w:t>
            </w:r>
          </w:p>
        </w:tc>
        <w:tc>
          <w:tcPr>
            <w:tcW w:type="dxa" w:w="1661"/>
          </w:tcPr>
          <w:p>
            <w:pPr>
              <w:pStyle w:val="null3"/>
            </w:pPr>
            <w:r>
              <w:rPr>
                <w:rFonts w:ascii="仿宋_GB2312" w:hAnsi="仿宋_GB2312" w:cs="仿宋_GB2312" w:eastAsia="仿宋_GB2312"/>
              </w:rPr>
              <w:t>其他资料.docx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则由全体磋商小组成员无记名投票得票高者排序在前。</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A.方案详细完善、合理可行、针对性强，得8分； B.方案较详细，基本合理可行、有针对性，得6分； C.方案较详细、基本合理可行，针对性欠缺，得4分； D.方案简单，可行性及针对性欠缺，得2分； E.其他或未提供得0分。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A.安全作业方案及安全配套措施完善、合理可行、针对性强，得6分； B.安全作业方案及安全配套措施基本合理可行，针对性欠缺，得4分； C.安全作业方案及安全配套措施简单，可行性及针对性欠缺，得2分。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针对本项目提供的文明施工措施进行综合评审。 A.措施详细完善、合理可行、针对性强，得6分； B.措施较详细、基本合理可行，针对性欠缺，得4分； C.措施简单，可行性及针对性欠缺，得2分；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服务承诺及保障措施</w:t>
            </w:r>
          </w:p>
        </w:tc>
        <w:tc>
          <w:tcPr>
            <w:tcW w:type="dxa" w:w="2492"/>
          </w:tcPr>
          <w:p>
            <w:pPr>
              <w:pStyle w:val="null3"/>
            </w:pPr>
            <w:r>
              <w:rPr>
                <w:rFonts w:ascii="仿宋_GB2312" w:hAnsi="仿宋_GB2312" w:cs="仿宋_GB2312" w:eastAsia="仿宋_GB2312"/>
              </w:rPr>
              <w:t>针对本项目全部工程内容提供具体的质量保修承诺及保障措施、工期承诺及保障措施、后续服务方案。 以上3部分方案内容全面详细、阐述条理清晰详尽、符合本项目采购需求，能有效保障本项目实施的得12分，每有一项方案缺失扣4分，每一项方案内容存在缺陷扣2分。 说明：缺陷是指①内容不合理、虽有内容但内容稀疏、不完善、内容表述前后不一致；②套用其他项目方案或与项目需求不匹配及其他不利于项目实施的等任意一种情形。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针对本项目的项目组织管理机构配备。 A.人员组织架构完整，岗位设置合理、明确，技术人员专业性、经验性强，得6分； B.人员组织架构有待优化，岗位设置基本合理，技术人员专业性、经验性欠缺，得4分； C.人员组织架构不完整，岗位设置紧张，技术人员专业性、经验性欠缺，得2分；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根据供应商提供的施工机械、设备和材料投入计划等进行评审。 A.主要机械配置齐全，设备型号、参数及用途清晰，针对性强，材料投入合理，得6分； B. 主要机械配置紧张，设备型号、参数及用途基本清晰，缺乏针对性，材料投入基本合理，得4分； C. 主要机械配置紧张，设备型号、参数及用途不清晰，材料投入有欠缺，得2分；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A.劳动力安排详细、合理、充分，组织有序，分工明确，得6分； B.劳动力安排合理、充分，有组织和分工，得4分； C.劳动力安排笼统，得2分；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针对本项目的临时性、阶段性工作及突发事件的应急处理方案。 A.应急处理方案全面、合理、规范、可实施性强，得6分； B.应急处理方案合理，具有一定实施性，得4分； C.应急处理方案基本合理，可实施性欠缺，得2分；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A.描述详细、完整可行、有针对性，得4分； B.描述简单、缺乏针对性，得2分； C.其他或未提供得0分。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供应商2022年3月1日至截标时间前类似项目业绩；每提供1份计2分，最高得10分。 业绩证明（时间以合同签订时间为准，须在响应文件中附合同协议书扫描件并加盖单位公章，证明材料不符合要求或未提供的不得分）弄虚作假者，取消其成交资格。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1、经初审合格的响应文件，其最终报价为有效报价。 2、有效最低报价为基准价得30分。 3、按（磋商基准价/有效最终磋商报价）×30的公式计算报价得分。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详见附件：技术标.docx</w:t>
      </w:r>
    </w:p>
    <w:p>
      <w:pPr>
        <w:pStyle w:val="null3"/>
        <w:ind w:firstLine="960"/>
      </w:pPr>
      <w:r>
        <w:rPr>
          <w:rFonts w:ascii="仿宋_GB2312" w:hAnsi="仿宋_GB2312" w:cs="仿宋_GB2312" w:eastAsia="仿宋_GB2312"/>
        </w:rPr>
        <w:t>详见附件：资格标.docx</w:t>
      </w:r>
    </w:p>
    <w:p>
      <w:pPr>
        <w:pStyle w:val="null3"/>
        <w:ind w:firstLine="960"/>
      </w:pPr>
      <w:r>
        <w:rPr>
          <w:rFonts w:ascii="仿宋_GB2312" w:hAnsi="仿宋_GB2312" w:cs="仿宋_GB2312" w:eastAsia="仿宋_GB2312"/>
        </w:rPr>
        <w:t>详见附件：商务标.docx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