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版本号：慧科ZX-CF04079BF20250421002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2025年图书馆运营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慧科ZX-CF04079BF</w:t>
      </w:r>
      <w:r>
        <w:br/>
      </w:r>
      <w:r>
        <w:br/>
      </w:r>
      <w:r>
        <w:br/>
      </w:r>
    </w:p>
    <w:p>
      <w:pPr>
        <w:pStyle w:val="null3"/>
        <w:jc w:val="center"/>
        <w:outlineLvl w:val="2"/>
      </w:pPr>
      <w:r>
        <w:rPr>
          <w:rFonts w:ascii="仿宋_GB2312" w:hAnsi="仿宋_GB2312" w:cs="仿宋_GB2312" w:eastAsia="仿宋_GB2312"/>
          <w:sz w:val="28"/>
          <w:b/>
        </w:rPr>
        <w:t>西安市碑林区图书馆</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西安市碑林区图书馆</w:t>
      </w:r>
      <w:r>
        <w:rPr>
          <w:rFonts w:ascii="仿宋_GB2312" w:hAnsi="仿宋_GB2312" w:cs="仿宋_GB2312" w:eastAsia="仿宋_GB2312"/>
        </w:rPr>
        <w:t>委托，拟对</w:t>
      </w:r>
      <w:r>
        <w:rPr>
          <w:rFonts w:ascii="仿宋_GB2312" w:hAnsi="仿宋_GB2312" w:cs="仿宋_GB2312" w:eastAsia="仿宋_GB2312"/>
        </w:rPr>
        <w:t>2025年图书馆运营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慧科ZX-CF04079BF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2025年图书馆运营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图书馆位于西安市碑林区乐居场58号（碑林区三馆一中心）。根据《中华人民共和国公共文化服务保障法》、《中华人民共和国公共图书馆法》、《陕西省公共文化服务保障条例》，全面提升图书馆的公共服务水平和效率、规范化发展；保障广大市民享受均等的公共文化服务权益；做好文献资源管理、参考咨询服务、数字资源建设与服务、地方文献收集整理保存、特色化阅读推广活动、品牌建设与宣传、新媒体运营、空间环境整体规划、团队建设及培训考核、总分馆体系建设与运营、技术维护及保障等全流程运营服务，各项工作以全国公共图书馆评估标准的县级二级馆定级标准中相关条款，坚持专业化、精细化管理，以实现碑林区图书馆各功能区域按时、按质、按量高效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采购包1（2025年碑林区图书馆运营项目）：属于专门面向中小企业采购。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供应商须具有独立承担民事责任能力的法人、其他组织或自然人。企业法人须提供有效的营业执照，事业法人须提供有效的事业单位法人证书，其他组织须提供合法且有效的证明材料，自然人须提供合法且有效的身份证明材料。</w:t>
      </w:r>
    </w:p>
    <w:p>
      <w:pPr>
        <w:pStyle w:val="null3"/>
      </w:pPr>
      <w:r>
        <w:rPr>
          <w:rFonts w:ascii="仿宋_GB2312" w:hAnsi="仿宋_GB2312" w:cs="仿宋_GB2312" w:eastAsia="仿宋_GB2312"/>
        </w:rPr>
        <w:t>2、法定代表人或法定代表人授权委托书：法定代表人参加竞争性磋商活动的，须提供本人身份证的复印件；法定代表人授权他人参加竞争性磋商活动的，须提供法定代表人授权委托书及被授权代表身份证的复印件。</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w:t>
      </w:r>
    </w:p>
    <w:p>
      <w:pPr>
        <w:pStyle w:val="null3"/>
      </w:pPr>
      <w:r>
        <w:rPr>
          <w:rFonts w:ascii="仿宋_GB2312" w:hAnsi="仿宋_GB2312" w:cs="仿宋_GB2312" w:eastAsia="仿宋_GB2312"/>
        </w:rPr>
        <w:t>4、社会保障资金缴纳证明：提供供应商2024年1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5、税收缴纳证明：提供供应商2024年1月1日以来至少一个月已缴纳的增值税纳税证明或完税证明，依法免税的供应商应提供加盖公章的相关证明文件。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6、具备履行合同所必需的设备和专业技术能力的证明材料：供应商根据项目需求提供证明材料或者承诺。：提供承诺书。</w:t>
      </w:r>
    </w:p>
    <w:p>
      <w:pPr>
        <w:pStyle w:val="null3"/>
      </w:pPr>
      <w:r>
        <w:rPr>
          <w:rFonts w:ascii="仿宋_GB2312" w:hAnsi="仿宋_GB2312" w:cs="仿宋_GB2312" w:eastAsia="仿宋_GB2312"/>
        </w:rPr>
        <w:t>7、书面信用声明：供应商须出具参加政府采购活动前3年内在经营活动中没有重大违法记录的书面声明；同时供应商须在响应文件递交截止日前未被列入失信被执行人、重大税收违法案件当事人名单、政府采购严重违法失信行为记录名单（处罚期限届满的除外，上述要求时限内的信用中国网或中国执行信息公开网或中国政府采购网的查询网页截图由代理机构开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西安市碑林区乐居场58号（碑林区三馆一中心）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肖海英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陕西省西安市高新区锦业一路西安研祥城市广场C座3楼C-306号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029-89284578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确定成交人后3日内，由成交人按国家计委颁发的《采购代理服务收费管理暂行办法》（计价格[2002]1980号）和国家发展改革委员会办公厅颁发的《关于采购代理服务收费有关问题的通知》（发改办价格[2003] 857号）的标准向采购代理机构一次付清采购代理服务费。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西安市碑林区图书馆</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w:t>
      </w:r>
    </w:p>
    <w:p>
      <w:pPr>
        <w:pStyle w:val="null3"/>
      </w:pPr>
      <w:r>
        <w:rPr>
          <w:rFonts w:ascii="仿宋_GB2312" w:hAnsi="仿宋_GB2312" w:cs="仿宋_GB2312" w:eastAsia="仿宋_GB2312"/>
        </w:rPr>
        <w:t>联系电话：029-89284578</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图书馆位于西安市碑林区乐居场58号（碑林区三馆一中心）。根据《中华人民共和国公共文化服务保障法》、《中华人民共和国公共图书馆法》、《陕西省公共文化服务保障条例》，全面提升图书馆的公共服务水平和效率、规范化发展；保障广大市民享受均等的公共文化服务权益；做好文献资源管理、参考咨询服务、数字资源建设与服务、地方文献收集整理保存、特色化阅读推广活动、品牌建设与宣传、新媒体运营、空间环境整体规划、团队建设及培训考核、总分馆体系建设与运营、技术维护及保障等全流程运营服务，各项工作以全国公共图书馆评估标准的县级二级馆定级标准中相关条款，坚持专业化、精细化管理，以实现碑林区图书馆各功能区域按时、按质、按量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图书馆读者服务、阅读服务、宣传推广、业务运行等整体服务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标的名称：图书馆读者服务、阅读服务、宣传推广、业务运行等整体服务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left"/>
            </w:pPr>
            <w:r>
              <w:rPr>
                <w:rFonts w:ascii="仿宋_GB2312" w:hAnsi="仿宋_GB2312" w:cs="仿宋_GB2312" w:eastAsia="仿宋_GB2312"/>
                <w:sz w:val="21"/>
                <w:color w:val="000000"/>
              </w:rPr>
              <w:t>西安市碑林区图书馆位于西安市碑林区乐居场</w:t>
            </w:r>
            <w:r>
              <w:rPr>
                <w:rFonts w:ascii="仿宋_GB2312" w:hAnsi="仿宋_GB2312" w:cs="仿宋_GB2312" w:eastAsia="仿宋_GB2312"/>
                <w:sz w:val="21"/>
                <w:color w:val="000000"/>
              </w:rPr>
              <w:t>58号（碑林区三馆一中心）。根据《中华人民共和国公共文化服务保障法》、《中华人民共和国公共图书馆法》、《陕西省公共文化服务保障条例》，全面提升图书馆的公共服务水平和效率、规范化发展；保障广大市民享受均等的公共文化服务权益；做好文献资源管理、参考咨询服务、数字资源建设与服务、地方文献收集整理保存、特色化阅读推广活动、品牌建设与宣传、新媒体运营、空间环境整体规划、团队建设及培训考核、总分馆体系建设与运营、技术维护及保障等全流程运营服务，各项工作以全国公共图书馆评估标准的县级二级馆定级标准中相关条款，坚持专业化、精细化管理，以实现碑林区图书馆各功能区域按时、按质、按量高效运行</w:t>
            </w:r>
            <w:r>
              <w:rPr>
                <w:rFonts w:ascii="仿宋_GB2312" w:hAnsi="仿宋_GB2312" w:cs="仿宋_GB2312" w:eastAsia="仿宋_GB2312"/>
                <w:sz w:val="21"/>
                <w:color w:val="000000"/>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二、服务内容 及要求（一）服务要 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7"/>
              <w:gridCol w:w="264"/>
              <w:gridCol w:w="1470"/>
            </w:tblGrid>
            <w:tr>
              <w:tc>
                <w:tcPr>
                  <w:tcW w:type="dxa" w:w="117"/>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服务</w:t>
                  </w:r>
                </w:p>
                <w:p>
                  <w:pPr>
                    <w:pStyle w:val="null3"/>
                    <w:jc w:val="center"/>
                  </w:pPr>
                  <w:r>
                    <w:rPr>
                      <w:rFonts w:ascii="仿宋_GB2312" w:hAnsi="仿宋_GB2312" w:cs="仿宋_GB2312" w:eastAsia="仿宋_GB2312"/>
                      <w:sz w:val="19"/>
                      <w:color w:val="000000"/>
                    </w:rPr>
                    <w:t>名称</w:t>
                  </w:r>
                </w:p>
              </w:tc>
              <w:tc>
                <w:tcPr>
                  <w:tcW w:type="dxa" w:w="264"/>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服务</w:t>
                  </w:r>
                </w:p>
                <w:p>
                  <w:pPr>
                    <w:pStyle w:val="null3"/>
                    <w:jc w:val="center"/>
                  </w:pPr>
                  <w:r>
                    <w:rPr>
                      <w:rFonts w:ascii="仿宋_GB2312" w:hAnsi="仿宋_GB2312" w:cs="仿宋_GB2312" w:eastAsia="仿宋_GB2312"/>
                      <w:sz w:val="19"/>
                      <w:color w:val="000000"/>
                    </w:rPr>
                    <w:t>内容</w:t>
                  </w:r>
                </w:p>
              </w:tc>
              <w:tc>
                <w:tcPr>
                  <w:tcW w:type="dxa" w:w="1470"/>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服务标准要求</w:t>
                  </w:r>
                </w:p>
              </w:tc>
            </w:tr>
            <w:tr>
              <w:tc>
                <w:tcPr>
                  <w:tcW w:type="dxa" w:w="11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基</w:t>
                  </w:r>
                </w:p>
                <w:p>
                  <w:pPr>
                    <w:pStyle w:val="null3"/>
                    <w:jc w:val="center"/>
                  </w:pPr>
                  <w:r>
                    <w:rPr>
                      <w:rFonts w:ascii="仿宋_GB2312" w:hAnsi="仿宋_GB2312" w:cs="仿宋_GB2312" w:eastAsia="仿宋_GB2312"/>
                      <w:sz w:val="19"/>
                      <w:color w:val="000000"/>
                    </w:rPr>
                    <w:t>本</w:t>
                  </w:r>
                </w:p>
                <w:p>
                  <w:pPr>
                    <w:pStyle w:val="null3"/>
                    <w:jc w:val="center"/>
                  </w:pPr>
                  <w:r>
                    <w:rPr>
                      <w:rFonts w:ascii="仿宋_GB2312" w:hAnsi="仿宋_GB2312" w:cs="仿宋_GB2312" w:eastAsia="仿宋_GB2312"/>
                      <w:sz w:val="19"/>
                      <w:color w:val="000000"/>
                    </w:rPr>
                    <w:t>服</w:t>
                  </w:r>
                </w:p>
                <w:p>
                  <w:pPr>
                    <w:pStyle w:val="null3"/>
                    <w:jc w:val="center"/>
                  </w:pPr>
                  <w:r>
                    <w:rPr>
                      <w:rFonts w:ascii="仿宋_GB2312" w:hAnsi="仿宋_GB2312" w:cs="仿宋_GB2312" w:eastAsia="仿宋_GB2312"/>
                      <w:sz w:val="19"/>
                      <w:color w:val="000000"/>
                    </w:rPr>
                    <w:t>务</w:t>
                  </w:r>
                </w:p>
                <w:p>
                  <w:pPr>
                    <w:pStyle w:val="null3"/>
                    <w:jc w:val="center"/>
                  </w:p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开放时间</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保证全年工作日和公休日正常开放，平均每周开放时间</w:t>
                  </w:r>
                  <w:r>
                    <w:rPr>
                      <w:rFonts w:ascii="仿宋_GB2312" w:hAnsi="仿宋_GB2312" w:cs="仿宋_GB2312" w:eastAsia="仿宋_GB2312"/>
                      <w:sz w:val="19"/>
                      <w:color w:val="000000"/>
                    </w:rPr>
                    <w:t>≥</w:t>
                  </w:r>
                  <w:r>
                    <w:rPr>
                      <w:rFonts w:ascii="仿宋_GB2312" w:hAnsi="仿宋_GB2312" w:cs="仿宋_GB2312" w:eastAsia="仿宋_GB2312"/>
                      <w:sz w:val="19"/>
                      <w:color w:val="000000"/>
                    </w:rPr>
                    <w:t>60</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周六、日</w:t>
                  </w:r>
                  <w:r>
                    <w:rPr>
                      <w:rFonts w:ascii="仿宋_GB2312" w:hAnsi="仿宋_GB2312" w:cs="仿宋_GB2312" w:eastAsia="仿宋_GB2312"/>
                      <w:sz w:val="19"/>
                      <w:color w:val="000000"/>
                    </w:rPr>
                    <w:t>均开放；</w:t>
                  </w:r>
                  <w:r>
                    <w:rPr>
                      <w:rFonts w:ascii="仿宋_GB2312" w:hAnsi="仿宋_GB2312" w:cs="仿宋_GB2312" w:eastAsia="仿宋_GB2312"/>
                      <w:sz w:val="19"/>
                      <w:color w:val="000000"/>
                    </w:rPr>
                    <w:t>国家法定节假日</w:t>
                  </w:r>
                  <w:r>
                    <w:rPr>
                      <w:rFonts w:ascii="仿宋_GB2312" w:hAnsi="仿宋_GB2312" w:cs="仿宋_GB2312" w:eastAsia="仿宋_GB2312"/>
                      <w:sz w:val="19"/>
                      <w:color w:val="000000"/>
                    </w:rPr>
                    <w:t>有</w:t>
                  </w:r>
                  <w:r>
                    <w:rPr>
                      <w:rFonts w:ascii="仿宋_GB2312" w:hAnsi="仿宋_GB2312" w:cs="仿宋_GB2312" w:eastAsia="仿宋_GB2312"/>
                      <w:sz w:val="19"/>
                      <w:color w:val="000000"/>
                    </w:rPr>
                    <w:t>开放</w:t>
                  </w:r>
                  <w:r>
                    <w:rPr>
                      <w:rFonts w:ascii="仿宋_GB2312" w:hAnsi="仿宋_GB2312" w:cs="仿宋_GB2312" w:eastAsia="仿宋_GB2312"/>
                      <w:sz w:val="19"/>
                      <w:color w:val="000000"/>
                    </w:rPr>
                    <w:t>时间</w:t>
                  </w:r>
                  <w:r>
                    <w:rPr>
                      <w:rFonts w:ascii="仿宋_GB2312" w:hAnsi="仿宋_GB2312" w:cs="仿宋_GB2312" w:eastAsia="仿宋_GB2312"/>
                      <w:sz w:val="19"/>
                      <w:color w:val="000000"/>
                    </w:rPr>
                    <w:t>。</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服务数据</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年总流通人次</w:t>
                  </w: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万；</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年文献外借量</w:t>
                  </w: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万册次；</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年流动服务文献外借量</w:t>
                  </w: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万册次。</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咨询服务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为读者提供专业且全面的咨询服务。</w:t>
                  </w:r>
                </w:p>
                <w:p>
                  <w:pPr>
                    <w:pStyle w:val="null3"/>
                    <w:jc w:val="left"/>
                  </w:pPr>
                  <w:r>
                    <w:rPr>
                      <w:rFonts w:ascii="仿宋_GB2312" w:hAnsi="仿宋_GB2312" w:cs="仿宋_GB2312" w:eastAsia="仿宋_GB2312"/>
                      <w:sz w:val="19"/>
                      <w:color w:val="000000"/>
                    </w:rPr>
                    <w:t>普通参考咨询</w:t>
                  </w:r>
                  <w:r>
                    <w:rPr>
                      <w:rFonts w:ascii="仿宋_GB2312" w:hAnsi="仿宋_GB2312" w:cs="仿宋_GB2312" w:eastAsia="仿宋_GB2312"/>
                      <w:sz w:val="19"/>
                      <w:color w:val="000000"/>
                    </w:rPr>
                    <w:t>≥</w:t>
                  </w:r>
                  <w:r>
                    <w:rPr>
                      <w:rFonts w:ascii="仿宋_GB2312" w:hAnsi="仿宋_GB2312" w:cs="仿宋_GB2312" w:eastAsia="仿宋_GB2312"/>
                      <w:sz w:val="19"/>
                      <w:color w:val="000000"/>
                    </w:rPr>
                    <w:t>1500</w:t>
                  </w:r>
                  <w:r>
                    <w:rPr>
                      <w:rFonts w:ascii="仿宋_GB2312" w:hAnsi="仿宋_GB2312" w:cs="仿宋_GB2312" w:eastAsia="仿宋_GB2312"/>
                      <w:sz w:val="19"/>
                      <w:color w:val="000000"/>
                    </w:rPr>
                    <w:t>次；</w:t>
                  </w:r>
                </w:p>
                <w:p>
                  <w:pPr>
                    <w:pStyle w:val="null3"/>
                    <w:jc w:val="left"/>
                  </w:pPr>
                  <w:r>
                    <w:rPr>
                      <w:rFonts w:ascii="仿宋_GB2312" w:hAnsi="仿宋_GB2312" w:cs="仿宋_GB2312" w:eastAsia="仿宋_GB2312"/>
                      <w:sz w:val="19"/>
                      <w:color w:val="000000"/>
                    </w:rPr>
                    <w:t>年</w:t>
                  </w:r>
                  <w:r>
                    <w:rPr>
                      <w:rFonts w:ascii="仿宋_GB2312" w:hAnsi="仿宋_GB2312" w:cs="仿宋_GB2312" w:eastAsia="仿宋_GB2312"/>
                      <w:sz w:val="19"/>
                      <w:color w:val="000000"/>
                    </w:rPr>
                    <w:t>专题咨询</w:t>
                  </w:r>
                  <w:r>
                    <w:rPr>
                      <w:rFonts w:ascii="仿宋_GB2312" w:hAnsi="仿宋_GB2312" w:cs="仿宋_GB2312" w:eastAsia="仿宋_GB2312"/>
                      <w:sz w:val="19"/>
                      <w:color w:val="000000"/>
                    </w:rPr>
                    <w:t>服务数量</w:t>
                  </w:r>
                  <w:r>
                    <w:rPr>
                      <w:rFonts w:ascii="仿宋_GB2312" w:hAnsi="仿宋_GB2312" w:cs="仿宋_GB2312" w:eastAsia="仿宋_GB2312"/>
                      <w:sz w:val="19"/>
                      <w:color w:val="000000"/>
                    </w:rPr>
                    <w:t>≥</w:t>
                  </w:r>
                  <w:r>
                    <w:rPr>
                      <w:rFonts w:ascii="仿宋_GB2312" w:hAnsi="仿宋_GB2312" w:cs="仿宋_GB2312" w:eastAsia="仿宋_GB2312"/>
                      <w:sz w:val="19"/>
                      <w:color w:val="000000"/>
                    </w:rPr>
                    <w:t>30</w:t>
                  </w:r>
                  <w:r>
                    <w:rPr>
                      <w:rFonts w:ascii="仿宋_GB2312" w:hAnsi="仿宋_GB2312" w:cs="仿宋_GB2312" w:eastAsia="仿宋_GB2312"/>
                      <w:sz w:val="19"/>
                      <w:color w:val="000000"/>
                    </w:rPr>
                    <w:t>次；</w:t>
                  </w:r>
                </w:p>
                <w:p>
                  <w:pPr>
                    <w:pStyle w:val="null3"/>
                    <w:jc w:val="left"/>
                  </w:pPr>
                  <w:r>
                    <w:rPr>
                      <w:rFonts w:ascii="仿宋_GB2312" w:hAnsi="仿宋_GB2312" w:cs="仿宋_GB2312" w:eastAsia="仿宋_GB2312"/>
                      <w:sz w:val="19"/>
                      <w:color w:val="000000"/>
                    </w:rPr>
                    <w:t>完成</w:t>
                  </w:r>
                  <w:r>
                    <w:rPr>
                      <w:rFonts w:ascii="仿宋_GB2312" w:hAnsi="仿宋_GB2312" w:cs="仿宋_GB2312" w:eastAsia="仿宋_GB2312"/>
                      <w:sz w:val="19"/>
                      <w:color w:val="000000"/>
                    </w:rPr>
                    <w:t>“</w:t>
                  </w:r>
                  <w:r>
                    <w:rPr>
                      <w:rFonts w:ascii="仿宋_GB2312" w:hAnsi="仿宋_GB2312" w:cs="仿宋_GB2312" w:eastAsia="仿宋_GB2312"/>
                      <w:sz w:val="19"/>
                      <w:color w:val="000000"/>
                    </w:rPr>
                    <w:t>两会</w:t>
                  </w:r>
                  <w:r>
                    <w:rPr>
                      <w:rFonts w:ascii="仿宋_GB2312" w:hAnsi="仿宋_GB2312" w:cs="仿宋_GB2312" w:eastAsia="仿宋_GB2312"/>
                      <w:sz w:val="19"/>
                      <w:color w:val="000000"/>
                    </w:rPr>
                    <w:t>”</w:t>
                  </w:r>
                  <w:r>
                    <w:rPr>
                      <w:rFonts w:ascii="仿宋_GB2312" w:hAnsi="仿宋_GB2312" w:cs="仿宋_GB2312" w:eastAsia="仿宋_GB2312"/>
                      <w:sz w:val="19"/>
                      <w:color w:val="000000"/>
                    </w:rPr>
                    <w:t>服务</w:t>
                  </w:r>
                  <w:r>
                    <w:rPr>
                      <w:rFonts w:ascii="仿宋_GB2312" w:hAnsi="仿宋_GB2312" w:cs="仿宋_GB2312" w:eastAsia="仿宋_GB2312"/>
                      <w:sz w:val="19"/>
                      <w:color w:val="000000"/>
                    </w:rPr>
                    <w:t>工作。</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特殊群体服务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针对不同特殊群体开展专属服务活动，并提供活动报表，包括活动主题、时间、地点、参与人数等：</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未成年人服务：举办内容丰富、形多式样的少儿活动；</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针对老年人每年需举办活动</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场；</w:t>
                  </w:r>
                </w:p>
                <w:p>
                  <w:pPr>
                    <w:pStyle w:val="null3"/>
                    <w:jc w:val="left"/>
                  </w:pPr>
                  <w:r>
                    <w:rPr>
                      <w:rFonts w:ascii="仿宋_GB2312" w:hAnsi="仿宋_GB2312" w:cs="仿宋_GB2312" w:eastAsia="仿宋_GB2312"/>
                      <w:sz w:val="19"/>
                      <w:color w:val="000000"/>
                    </w:rPr>
                    <w:t>针对残障人员</w:t>
                  </w:r>
                  <w:r>
                    <w:rPr>
                      <w:rFonts w:ascii="仿宋_GB2312" w:hAnsi="仿宋_GB2312" w:cs="仿宋_GB2312" w:eastAsia="仿宋_GB2312"/>
                      <w:sz w:val="19"/>
                      <w:color w:val="000000"/>
                    </w:rPr>
                    <w:t>开展活动</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场；</w:t>
                  </w:r>
                </w:p>
                <w:p>
                  <w:pPr>
                    <w:pStyle w:val="null3"/>
                    <w:jc w:val="left"/>
                  </w:pPr>
                  <w:r>
                    <w:rPr>
                      <w:rFonts w:ascii="仿宋_GB2312" w:hAnsi="仿宋_GB2312" w:cs="仿宋_GB2312" w:eastAsia="仿宋_GB2312"/>
                      <w:sz w:val="19"/>
                      <w:color w:val="000000"/>
                    </w:rPr>
                    <w:t>进城务工人员等群体活动</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场；</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流动服务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全年</w:t>
                  </w:r>
                  <w:r>
                    <w:rPr>
                      <w:rFonts w:ascii="仿宋_GB2312" w:hAnsi="仿宋_GB2312" w:cs="仿宋_GB2312" w:eastAsia="仿宋_GB2312"/>
                      <w:sz w:val="19"/>
                      <w:color w:val="000000"/>
                    </w:rPr>
                    <w:t>开展流动服务</w:t>
                  </w: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次</w:t>
                  </w:r>
                  <w:r>
                    <w:rPr>
                      <w:rFonts w:ascii="仿宋_GB2312" w:hAnsi="仿宋_GB2312" w:cs="仿宋_GB2312" w:eastAsia="仿宋_GB2312"/>
                      <w:sz w:val="19"/>
                      <w:color w:val="000000"/>
                    </w:rPr>
                    <w:t>，</w:t>
                  </w:r>
                  <w:r>
                    <w:rPr>
                      <w:rFonts w:ascii="仿宋_GB2312" w:hAnsi="仿宋_GB2312" w:cs="仿宋_GB2312" w:eastAsia="仿宋_GB2312"/>
                      <w:sz w:val="19"/>
                      <w:color w:val="000000"/>
                    </w:rPr>
                    <w:t>涵盖阅读</w:t>
                  </w:r>
                  <w:r>
                    <w:rPr>
                      <w:rFonts w:ascii="仿宋_GB2312" w:hAnsi="仿宋_GB2312" w:cs="仿宋_GB2312" w:eastAsia="仿宋_GB2312"/>
                      <w:sz w:val="19"/>
                      <w:color w:val="000000"/>
                    </w:rPr>
                    <w:t>进社区、进机关、进学校、进军营、进企业</w:t>
                  </w:r>
                  <w:r>
                    <w:rPr>
                      <w:rFonts w:ascii="仿宋_GB2312" w:hAnsi="仿宋_GB2312" w:cs="仿宋_GB2312" w:eastAsia="仿宋_GB2312"/>
                      <w:sz w:val="19"/>
                      <w:color w:val="000000"/>
                    </w:rPr>
                    <w:t>等多种形式</w:t>
                  </w:r>
                  <w:r>
                    <w:rPr>
                      <w:rFonts w:ascii="仿宋_GB2312" w:hAnsi="仿宋_GB2312" w:cs="仿宋_GB2312" w:eastAsia="仿宋_GB2312"/>
                      <w:sz w:val="19"/>
                      <w:color w:val="000000"/>
                    </w:rPr>
                    <w:t>。</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地方文献服务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深度挖掘与整理地方文献资源</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全面收集方志、史料、谱牒、地方出版物及本地内部资料等并完成入</w:t>
                  </w:r>
                  <w:r>
                    <w:rPr>
                      <w:rFonts w:ascii="仿宋_GB2312" w:hAnsi="仿宋_GB2312" w:cs="仿宋_GB2312" w:eastAsia="仿宋_GB2312"/>
                      <w:sz w:val="19"/>
                      <w:color w:val="000000"/>
                    </w:rPr>
                    <w:t>藏</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对地方文献进行专业编目加工整理</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3.建立完善的区地方文献征集机制，年新增地方文献</w:t>
                  </w:r>
                  <w:r>
                    <w:rPr>
                      <w:rFonts w:ascii="仿宋_GB2312" w:hAnsi="仿宋_GB2312" w:cs="仿宋_GB2312" w:eastAsia="仿宋_GB2312"/>
                      <w:sz w:val="19"/>
                      <w:color w:val="000000"/>
                    </w:rPr>
                    <w:t>≥</w:t>
                  </w:r>
                  <w:r>
                    <w:rPr>
                      <w:rFonts w:ascii="仿宋_GB2312" w:hAnsi="仿宋_GB2312" w:cs="仿宋_GB2312" w:eastAsia="仿宋_GB2312"/>
                      <w:sz w:val="19"/>
                      <w:color w:val="000000"/>
                    </w:rPr>
                    <w:t>600册</w:t>
                  </w:r>
                  <w:r>
                    <w:rPr>
                      <w:rFonts w:ascii="仿宋_GB2312" w:hAnsi="仿宋_GB2312" w:cs="仿宋_GB2312" w:eastAsia="仿宋_GB2312"/>
                      <w:sz w:val="19"/>
                      <w:color w:val="000000"/>
                    </w:rPr>
                    <w:t>，</w:t>
                  </w:r>
                  <w:r>
                    <w:rPr>
                      <w:rFonts w:ascii="仿宋_GB2312" w:hAnsi="仿宋_GB2312" w:cs="仿宋_GB2312" w:eastAsia="仿宋_GB2312"/>
                      <w:sz w:val="19"/>
                      <w:color w:val="000000"/>
                    </w:rPr>
                    <w:t>推进地方文献数据库建设</w:t>
                  </w:r>
                  <w:r>
                    <w:rPr>
                      <w:rFonts w:ascii="仿宋_GB2312" w:hAnsi="仿宋_GB2312" w:cs="仿宋_GB2312" w:eastAsia="仿宋_GB2312"/>
                      <w:sz w:val="19"/>
                      <w:color w:val="000000"/>
                    </w:rPr>
                    <w:t>。</w:t>
                  </w:r>
                </w:p>
              </w:tc>
            </w:tr>
            <w:tr>
              <w:tc>
                <w:tcPr>
                  <w:tcW w:type="dxa" w:w="11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数</w:t>
                  </w:r>
                </w:p>
                <w:p>
                  <w:pPr>
                    <w:pStyle w:val="null3"/>
                    <w:jc w:val="center"/>
                  </w:pPr>
                  <w:r>
                    <w:rPr>
                      <w:rFonts w:ascii="仿宋_GB2312" w:hAnsi="仿宋_GB2312" w:cs="仿宋_GB2312" w:eastAsia="仿宋_GB2312"/>
                      <w:sz w:val="19"/>
                      <w:color w:val="000000"/>
                    </w:rPr>
                    <w:t>字</w:t>
                  </w:r>
                </w:p>
                <w:p>
                  <w:pPr>
                    <w:pStyle w:val="null3"/>
                    <w:jc w:val="center"/>
                  </w:pPr>
                  <w:r>
                    <w:rPr>
                      <w:rFonts w:ascii="仿宋_GB2312" w:hAnsi="仿宋_GB2312" w:cs="仿宋_GB2312" w:eastAsia="仿宋_GB2312"/>
                      <w:sz w:val="19"/>
                      <w:color w:val="000000"/>
                    </w:rPr>
                    <w:t>服</w:t>
                  </w:r>
                </w:p>
                <w:p>
                  <w:pPr>
                    <w:pStyle w:val="null3"/>
                    <w:jc w:val="center"/>
                  </w:pPr>
                  <w:r>
                    <w:rPr>
                      <w:rFonts w:ascii="仿宋_GB2312" w:hAnsi="仿宋_GB2312" w:cs="仿宋_GB2312" w:eastAsia="仿宋_GB2312"/>
                      <w:sz w:val="19"/>
                      <w:color w:val="000000"/>
                    </w:rPr>
                    <w:t>务</w:t>
                  </w:r>
                </w:p>
                <w:p>
                  <w:pPr>
                    <w:pStyle w:val="null3"/>
                    <w:jc w:val="center"/>
                  </w:p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新媒体服务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利用图书馆微信公众号、视频号、网站等新媒体平台为用户提供信息推送服务：推送量</w:t>
                  </w:r>
                  <w:r>
                    <w:rPr>
                      <w:rFonts w:ascii="仿宋_GB2312" w:hAnsi="仿宋_GB2312" w:cs="仿宋_GB2312" w:eastAsia="仿宋_GB2312"/>
                      <w:sz w:val="19"/>
                      <w:color w:val="000000"/>
                    </w:rPr>
                    <w:t>≥</w:t>
                  </w:r>
                  <w:r>
                    <w:rPr>
                      <w:rFonts w:ascii="仿宋_GB2312" w:hAnsi="仿宋_GB2312" w:cs="仿宋_GB2312" w:eastAsia="仿宋_GB2312"/>
                      <w:sz w:val="19"/>
                      <w:color w:val="000000"/>
                    </w:rPr>
                    <w:t>300</w:t>
                  </w:r>
                  <w:r>
                    <w:rPr>
                      <w:rFonts w:ascii="仿宋_GB2312" w:hAnsi="仿宋_GB2312" w:cs="仿宋_GB2312" w:eastAsia="仿宋_GB2312"/>
                      <w:sz w:val="19"/>
                      <w:color w:val="000000"/>
                    </w:rPr>
                    <w:t>条以上，年浏览量</w:t>
                  </w: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万。</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数字资源服务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协助馆方加强数字资源建设，建立数字资源库，与省、市馆实现平台资源共享；每年更新自建数字资源库，包括：展览、视频、图片、音频等。</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年馆藏数字资源浏览量</w:t>
                  </w:r>
                  <w:r>
                    <w:rPr>
                      <w:rFonts w:ascii="仿宋_GB2312" w:hAnsi="仿宋_GB2312" w:cs="仿宋_GB2312" w:eastAsia="仿宋_GB2312"/>
                      <w:sz w:val="19"/>
                      <w:color w:val="000000"/>
                    </w:rPr>
                    <w:t>≥</w:t>
                  </w:r>
                  <w:r>
                    <w:rPr>
                      <w:rFonts w:ascii="仿宋_GB2312" w:hAnsi="仿宋_GB2312" w:cs="仿宋_GB2312" w:eastAsia="仿宋_GB2312"/>
                      <w:sz w:val="19"/>
                      <w:color w:val="000000"/>
                    </w:rPr>
                    <w:t>50</w:t>
                  </w:r>
                  <w:r>
                    <w:rPr>
                      <w:rFonts w:ascii="仿宋_GB2312" w:hAnsi="仿宋_GB2312" w:cs="仿宋_GB2312" w:eastAsia="仿宋_GB2312"/>
                      <w:sz w:val="19"/>
                      <w:color w:val="000000"/>
                    </w:rPr>
                    <w:t>万；</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网</w:t>
                  </w:r>
                  <w:r>
                    <w:rPr>
                      <w:rFonts w:ascii="仿宋_GB2312" w:hAnsi="仿宋_GB2312" w:cs="仿宋_GB2312" w:eastAsia="仿宋_GB2312"/>
                      <w:sz w:val="19"/>
                      <w:color w:val="000000"/>
                    </w:rPr>
                    <w:t>站</w:t>
                  </w:r>
                  <w:r>
                    <w:rPr>
                      <w:rFonts w:ascii="仿宋_GB2312" w:hAnsi="仿宋_GB2312" w:cs="仿宋_GB2312" w:eastAsia="仿宋_GB2312"/>
                      <w:sz w:val="19"/>
                      <w:color w:val="000000"/>
                    </w:rPr>
                    <w:t>资源服务</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加强图书馆网站建设与维护；</w:t>
                  </w:r>
                </w:p>
                <w:p>
                  <w:pPr>
                    <w:pStyle w:val="null3"/>
                    <w:jc w:val="left"/>
                  </w:pPr>
                  <w:r>
                    <w:rPr>
                      <w:rFonts w:ascii="仿宋_GB2312" w:hAnsi="仿宋_GB2312" w:cs="仿宋_GB2312" w:eastAsia="仿宋_GB2312"/>
                      <w:sz w:val="19"/>
                      <w:color w:val="000000"/>
                    </w:rPr>
                    <w:t>网络信息每周至少更新</w:t>
                  </w:r>
                  <w:r>
                    <w:rPr>
                      <w:rFonts w:ascii="仿宋_GB2312" w:hAnsi="仿宋_GB2312" w:cs="仿宋_GB2312" w:eastAsia="仿宋_GB2312"/>
                      <w:sz w:val="19"/>
                      <w:color w:val="000000"/>
                    </w:rPr>
                    <w:t>1</w:t>
                  </w:r>
                  <w:r>
                    <w:rPr>
                      <w:rFonts w:ascii="仿宋_GB2312" w:hAnsi="仿宋_GB2312" w:cs="仿宋_GB2312" w:eastAsia="仿宋_GB2312"/>
                      <w:sz w:val="19"/>
                      <w:color w:val="000000"/>
                    </w:rPr>
                    <w:t>次；</w:t>
                  </w:r>
                </w:p>
                <w:p>
                  <w:pPr>
                    <w:pStyle w:val="null3"/>
                    <w:jc w:val="left"/>
                  </w:pPr>
                  <w:r>
                    <w:rPr>
                      <w:rFonts w:ascii="仿宋_GB2312" w:hAnsi="仿宋_GB2312" w:cs="仿宋_GB2312" w:eastAsia="仿宋_GB2312"/>
                      <w:sz w:val="19"/>
                      <w:color w:val="000000"/>
                    </w:rPr>
                    <w:t>年</w:t>
                  </w:r>
                  <w:r>
                    <w:rPr>
                      <w:rFonts w:ascii="仿宋_GB2312" w:hAnsi="仿宋_GB2312" w:cs="仿宋_GB2312" w:eastAsia="仿宋_GB2312"/>
                      <w:sz w:val="19"/>
                      <w:color w:val="000000"/>
                    </w:rPr>
                    <w:t>图书馆浏览</w:t>
                  </w:r>
                  <w:r>
                    <w:rPr>
                      <w:rFonts w:ascii="仿宋_GB2312" w:hAnsi="仿宋_GB2312" w:cs="仿宋_GB2312" w:eastAsia="仿宋_GB2312"/>
                      <w:sz w:val="19"/>
                      <w:color w:val="000000"/>
                    </w:rPr>
                    <w:t>总次数</w:t>
                  </w: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万；</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馆藏开发与文创产品</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利用馆藏资源开发具有原创性、独特性的文创产品不少于</w:t>
                  </w:r>
                  <w:r>
                    <w:rPr>
                      <w:rFonts w:ascii="仿宋_GB2312" w:hAnsi="仿宋_GB2312" w:cs="仿宋_GB2312" w:eastAsia="仿宋_GB2312"/>
                      <w:sz w:val="19"/>
                      <w:color w:val="000000"/>
                    </w:rPr>
                    <w:t>6</w:t>
                  </w:r>
                  <w:r>
                    <w:rPr>
                      <w:rFonts w:ascii="仿宋_GB2312" w:hAnsi="仿宋_GB2312" w:cs="仿宋_GB2312" w:eastAsia="仿宋_GB2312"/>
                      <w:sz w:val="19"/>
                      <w:color w:val="000000"/>
                    </w:rPr>
                    <w:t>款（含数字创意产品）。</w:t>
                  </w:r>
                </w:p>
              </w:tc>
            </w:tr>
            <w:tr>
              <w:tc>
                <w:tcPr>
                  <w:tcW w:type="dxa" w:w="11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w:t>
                  </w:r>
                </w:p>
                <w:p>
                  <w:pPr>
                    <w:pStyle w:val="null3"/>
                    <w:jc w:val="center"/>
                  </w:pPr>
                  <w:r>
                    <w:rPr>
                      <w:rFonts w:ascii="仿宋_GB2312" w:hAnsi="仿宋_GB2312" w:cs="仿宋_GB2312" w:eastAsia="仿宋_GB2312"/>
                      <w:sz w:val="19"/>
                      <w:color w:val="000000"/>
                    </w:rPr>
                    <w:t>务</w:t>
                  </w:r>
                </w:p>
                <w:p>
                  <w:pPr>
                    <w:pStyle w:val="null3"/>
                    <w:jc w:val="center"/>
                  </w:pPr>
                  <w:r>
                    <w:rPr>
                      <w:rFonts w:ascii="仿宋_GB2312" w:hAnsi="仿宋_GB2312" w:cs="仿宋_GB2312" w:eastAsia="仿宋_GB2312"/>
                      <w:sz w:val="19"/>
                      <w:color w:val="000000"/>
                    </w:rPr>
                    <w:t>宣</w:t>
                  </w:r>
                </w:p>
                <w:p>
                  <w:pPr>
                    <w:pStyle w:val="null3"/>
                    <w:jc w:val="center"/>
                  </w:pPr>
                  <w:r>
                    <w:rPr>
                      <w:rFonts w:ascii="仿宋_GB2312" w:hAnsi="仿宋_GB2312" w:cs="仿宋_GB2312" w:eastAsia="仿宋_GB2312"/>
                      <w:sz w:val="19"/>
                      <w:color w:val="000000"/>
                    </w:rPr>
                    <w:t>传</w:t>
                  </w:r>
                </w:p>
                <w:p>
                  <w:pPr>
                    <w:pStyle w:val="null3"/>
                    <w:jc w:val="center"/>
                  </w:pPr>
                  <w:r>
                    <w:rPr>
                      <w:rFonts w:ascii="仿宋_GB2312" w:hAnsi="仿宋_GB2312" w:cs="仿宋_GB2312" w:eastAsia="仿宋_GB2312"/>
                      <w:sz w:val="19"/>
                      <w:color w:val="000000"/>
                    </w:rPr>
                    <w:t>与</w:t>
                  </w:r>
                </w:p>
                <w:p>
                  <w:pPr>
                    <w:pStyle w:val="null3"/>
                    <w:jc w:val="center"/>
                  </w:pPr>
                  <w:r>
                    <w:rPr>
                      <w:rFonts w:ascii="仿宋_GB2312" w:hAnsi="仿宋_GB2312" w:cs="仿宋_GB2312" w:eastAsia="仿宋_GB2312"/>
                      <w:sz w:val="19"/>
                      <w:color w:val="000000"/>
                    </w:rPr>
                    <w:t>阅</w:t>
                  </w:r>
                </w:p>
                <w:p>
                  <w:pPr>
                    <w:pStyle w:val="null3"/>
                    <w:jc w:val="center"/>
                  </w:pPr>
                  <w:r>
                    <w:rPr>
                      <w:rFonts w:ascii="仿宋_GB2312" w:hAnsi="仿宋_GB2312" w:cs="仿宋_GB2312" w:eastAsia="仿宋_GB2312"/>
                      <w:sz w:val="19"/>
                      <w:color w:val="000000"/>
                    </w:rPr>
                    <w:t>读</w:t>
                  </w:r>
                </w:p>
                <w:p>
                  <w:pPr>
                    <w:pStyle w:val="null3"/>
                    <w:jc w:val="center"/>
                  </w:pPr>
                  <w:r>
                    <w:rPr>
                      <w:rFonts w:ascii="仿宋_GB2312" w:hAnsi="仿宋_GB2312" w:cs="仿宋_GB2312" w:eastAsia="仿宋_GB2312"/>
                      <w:sz w:val="19"/>
                      <w:color w:val="000000"/>
                    </w:rPr>
                    <w:t>推</w:t>
                  </w:r>
                </w:p>
                <w:p>
                  <w:pPr>
                    <w:pStyle w:val="null3"/>
                    <w:jc w:val="center"/>
                  </w:pPr>
                  <w:r>
                    <w:rPr>
                      <w:rFonts w:ascii="仿宋_GB2312" w:hAnsi="仿宋_GB2312" w:cs="仿宋_GB2312" w:eastAsia="仿宋_GB2312"/>
                      <w:sz w:val="19"/>
                      <w:color w:val="000000"/>
                    </w:rPr>
                    <w:t>广</w:t>
                  </w:r>
                </w:p>
                <w:p>
                  <w:pPr>
                    <w:pStyle w:val="null3"/>
                    <w:jc w:val="center"/>
                  </w:p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讲座</w:t>
                  </w:r>
                  <w:r>
                    <w:rPr>
                      <w:rFonts w:ascii="仿宋_GB2312" w:hAnsi="仿宋_GB2312" w:cs="仿宋_GB2312" w:eastAsia="仿宋_GB2312"/>
                      <w:sz w:val="19"/>
                      <w:color w:val="000000"/>
                    </w:rPr>
                    <w:t>、</w:t>
                  </w:r>
                  <w:r>
                    <w:rPr>
                      <w:rFonts w:ascii="仿宋_GB2312" w:hAnsi="仿宋_GB2312" w:cs="仿宋_GB2312" w:eastAsia="仿宋_GB2312"/>
                      <w:sz w:val="19"/>
                      <w:color w:val="000000"/>
                    </w:rPr>
                    <w:t>展览、</w:t>
                  </w:r>
                  <w:r>
                    <w:rPr>
                      <w:rFonts w:ascii="仿宋_GB2312" w:hAnsi="仿宋_GB2312" w:cs="仿宋_GB2312" w:eastAsia="仿宋_GB2312"/>
                      <w:sz w:val="19"/>
                      <w:color w:val="000000"/>
                    </w:rPr>
                    <w:t>培训</w:t>
                  </w:r>
                  <w:r>
                    <w:rPr>
                      <w:rFonts w:ascii="仿宋_GB2312" w:hAnsi="仿宋_GB2312" w:cs="仿宋_GB2312" w:eastAsia="仿宋_GB2312"/>
                      <w:sz w:val="19"/>
                      <w:color w:val="000000"/>
                    </w:rPr>
                    <w:t>活动</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全年面向读者开展的</w:t>
                  </w:r>
                  <w:r>
                    <w:rPr>
                      <w:rFonts w:ascii="仿宋_GB2312" w:hAnsi="仿宋_GB2312" w:cs="仿宋_GB2312" w:eastAsia="仿宋_GB2312"/>
                      <w:sz w:val="19"/>
                      <w:color w:val="000000"/>
                    </w:rPr>
                    <w:t>讲座</w:t>
                  </w:r>
                  <w:r>
                    <w:rPr>
                      <w:rFonts w:ascii="仿宋_GB2312" w:hAnsi="仿宋_GB2312" w:cs="仿宋_GB2312" w:eastAsia="仿宋_GB2312"/>
                      <w:sz w:val="19"/>
                      <w:color w:val="000000"/>
                    </w:rPr>
                    <w:t>、</w:t>
                  </w:r>
                  <w:r>
                    <w:rPr>
                      <w:rFonts w:ascii="仿宋_GB2312" w:hAnsi="仿宋_GB2312" w:cs="仿宋_GB2312" w:eastAsia="仿宋_GB2312"/>
                      <w:sz w:val="19"/>
                      <w:color w:val="000000"/>
                    </w:rPr>
                    <w:t>展览</w:t>
                  </w:r>
                  <w:r>
                    <w:rPr>
                      <w:rFonts w:ascii="仿宋_GB2312" w:hAnsi="仿宋_GB2312" w:cs="仿宋_GB2312" w:eastAsia="仿宋_GB2312"/>
                      <w:sz w:val="19"/>
                      <w:color w:val="000000"/>
                    </w:rPr>
                    <w:t>及培训</w:t>
                  </w:r>
                  <w:r>
                    <w:rPr>
                      <w:rFonts w:ascii="仿宋_GB2312" w:hAnsi="仿宋_GB2312" w:cs="仿宋_GB2312" w:eastAsia="仿宋_GB2312"/>
                      <w:sz w:val="19"/>
                      <w:color w:val="000000"/>
                    </w:rPr>
                    <w:t>数量</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0</w:t>
                  </w:r>
                  <w:r>
                    <w:rPr>
                      <w:rFonts w:ascii="仿宋_GB2312" w:hAnsi="仿宋_GB2312" w:cs="仿宋_GB2312" w:eastAsia="仿宋_GB2312"/>
                      <w:sz w:val="19"/>
                      <w:color w:val="000000"/>
                    </w:rPr>
                    <w:t>场。</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阅读推广</w:t>
                  </w:r>
                  <w:r>
                    <w:rPr>
                      <w:rFonts w:ascii="仿宋_GB2312" w:hAnsi="仿宋_GB2312" w:cs="仿宋_GB2312" w:eastAsia="仿宋_GB2312"/>
                      <w:sz w:val="19"/>
                      <w:color w:val="000000"/>
                    </w:rPr>
                    <w:t>活动</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举办读书活动</w:t>
                  </w:r>
                  <w:r>
                    <w:rPr>
                      <w:rFonts w:ascii="仿宋_GB2312" w:hAnsi="仿宋_GB2312" w:cs="仿宋_GB2312" w:eastAsia="仿宋_GB2312"/>
                      <w:sz w:val="19"/>
                      <w:color w:val="000000"/>
                    </w:rPr>
                    <w:t>≥</w:t>
                  </w:r>
                  <w:r>
                    <w:rPr>
                      <w:rFonts w:ascii="仿宋_GB2312" w:hAnsi="仿宋_GB2312" w:cs="仿宋_GB2312" w:eastAsia="仿宋_GB2312"/>
                      <w:sz w:val="19"/>
                      <w:color w:val="000000"/>
                    </w:rPr>
                    <w:t>50</w:t>
                  </w:r>
                  <w:r>
                    <w:rPr>
                      <w:rFonts w:ascii="仿宋_GB2312" w:hAnsi="仿宋_GB2312" w:cs="仿宋_GB2312" w:eastAsia="仿宋_GB2312"/>
                      <w:sz w:val="19"/>
                      <w:color w:val="000000"/>
                    </w:rPr>
                    <w:t>场，</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年活动参与人次</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万；</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积极推进活动</w:t>
                  </w:r>
                  <w:r>
                    <w:rPr>
                      <w:rFonts w:ascii="仿宋_GB2312" w:hAnsi="仿宋_GB2312" w:cs="仿宋_GB2312" w:eastAsia="仿宋_GB2312"/>
                      <w:sz w:val="19"/>
                      <w:color w:val="000000"/>
                    </w:rPr>
                    <w:t>品牌</w:t>
                  </w:r>
                  <w:r>
                    <w:rPr>
                      <w:rFonts w:ascii="仿宋_GB2312" w:hAnsi="仿宋_GB2312" w:cs="仿宋_GB2312" w:eastAsia="仿宋_GB2312"/>
                      <w:sz w:val="19"/>
                      <w:color w:val="000000"/>
                    </w:rPr>
                    <w:t>建设，馆内品牌</w:t>
                  </w:r>
                  <w:r>
                    <w:rPr>
                      <w:rFonts w:ascii="仿宋_GB2312" w:hAnsi="仿宋_GB2312" w:cs="仿宋_GB2312" w:eastAsia="仿宋_GB2312"/>
                      <w:sz w:val="19"/>
                      <w:color w:val="000000"/>
                    </w:rPr>
                    <w:t>活动</w:t>
                  </w: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个</w:t>
                  </w:r>
                  <w:r>
                    <w:rPr>
                      <w:rFonts w:ascii="仿宋_GB2312" w:hAnsi="仿宋_GB2312" w:cs="仿宋_GB2312" w:eastAsia="仿宋_GB2312"/>
                      <w:sz w:val="19"/>
                      <w:color w:val="000000"/>
                    </w:rPr>
                    <w:t>（</w:t>
                  </w:r>
                  <w:r>
                    <w:rPr>
                      <w:rFonts w:ascii="仿宋_GB2312" w:hAnsi="仿宋_GB2312" w:cs="仿宋_GB2312" w:eastAsia="仿宋_GB2312"/>
                      <w:sz w:val="19"/>
                      <w:color w:val="000000"/>
                    </w:rPr>
                    <w:t>品牌须持续</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年以上</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宣传推广</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重要时间节点的宣传活动，如：</w:t>
                  </w:r>
                  <w:r>
                    <w:rPr>
                      <w:rFonts w:ascii="仿宋_GB2312" w:hAnsi="仿宋_GB2312" w:cs="仿宋_GB2312" w:eastAsia="仿宋_GB2312"/>
                      <w:sz w:val="19"/>
                      <w:color w:val="000000"/>
                    </w:rPr>
                    <w:t>春节、科技之春宣传月、</w:t>
                  </w:r>
                  <w:r>
                    <w:rPr>
                      <w:rFonts w:ascii="仿宋_GB2312" w:hAnsi="仿宋_GB2312" w:cs="仿宋_GB2312" w:eastAsia="仿宋_GB2312"/>
                      <w:sz w:val="19"/>
                      <w:color w:val="000000"/>
                    </w:rPr>
                    <w:t>4.23</w:t>
                  </w:r>
                  <w:r>
                    <w:rPr>
                      <w:rFonts w:ascii="仿宋_GB2312" w:hAnsi="仿宋_GB2312" w:cs="仿宋_GB2312" w:eastAsia="仿宋_GB2312"/>
                      <w:sz w:val="19"/>
                      <w:color w:val="000000"/>
                    </w:rPr>
                    <w:t>世界读书日</w:t>
                  </w:r>
                  <w:r>
                    <w:rPr>
                      <w:rFonts w:ascii="仿宋_GB2312" w:hAnsi="仿宋_GB2312" w:cs="仿宋_GB2312" w:eastAsia="仿宋_GB2312"/>
                      <w:sz w:val="19"/>
                      <w:color w:val="000000"/>
                    </w:rPr>
                    <w:t>、图书馆</w:t>
                  </w:r>
                  <w:r>
                    <w:rPr>
                      <w:rFonts w:ascii="仿宋_GB2312" w:hAnsi="仿宋_GB2312" w:cs="仿宋_GB2312" w:eastAsia="仿宋_GB2312"/>
                      <w:sz w:val="19"/>
                      <w:color w:val="000000"/>
                    </w:rPr>
                    <w:t>服</w:t>
                  </w:r>
                  <w:r>
                    <w:rPr>
                      <w:rFonts w:ascii="仿宋_GB2312" w:hAnsi="仿宋_GB2312" w:cs="仿宋_GB2312" w:eastAsia="仿宋_GB2312"/>
                      <w:sz w:val="19"/>
                      <w:color w:val="000000"/>
                    </w:rPr>
                    <w:t>务宣传周</w:t>
                  </w:r>
                  <w:r>
                    <w:rPr>
                      <w:rFonts w:ascii="仿宋_GB2312" w:hAnsi="仿宋_GB2312" w:cs="仿宋_GB2312" w:eastAsia="仿宋_GB2312"/>
                      <w:sz w:val="19"/>
                      <w:color w:val="000000"/>
                    </w:rPr>
                    <w:t>、</w:t>
                  </w:r>
                  <w:r>
                    <w:rPr>
                      <w:rFonts w:ascii="仿宋_GB2312" w:hAnsi="仿宋_GB2312" w:cs="仿宋_GB2312" w:eastAsia="仿宋_GB2312"/>
                      <w:sz w:val="19"/>
                      <w:color w:val="000000"/>
                    </w:rPr>
                    <w:t>陕西省阅读文化节</w:t>
                  </w:r>
                  <w:r>
                    <w:rPr>
                      <w:rFonts w:ascii="仿宋_GB2312" w:hAnsi="仿宋_GB2312" w:cs="仿宋_GB2312" w:eastAsia="仿宋_GB2312"/>
                      <w:sz w:val="19"/>
                      <w:color w:val="000000"/>
                    </w:rPr>
                    <w:t>等；</w:t>
                  </w:r>
                  <w:r>
                    <w:rPr>
                      <w:rFonts w:ascii="仿宋_GB2312" w:hAnsi="仿宋_GB2312" w:cs="仿宋_GB2312" w:eastAsia="仿宋_GB2312"/>
                      <w:sz w:val="19"/>
                      <w:color w:val="000000"/>
                    </w:rPr>
                    <w:t>馆方要求的</w:t>
                  </w:r>
                  <w:r>
                    <w:rPr>
                      <w:rFonts w:ascii="仿宋_GB2312" w:hAnsi="仿宋_GB2312" w:cs="仿宋_GB2312" w:eastAsia="仿宋_GB2312"/>
                      <w:sz w:val="19"/>
                      <w:color w:val="000000"/>
                    </w:rPr>
                    <w:t>其他相关活</w:t>
                  </w:r>
                  <w:r>
                    <w:rPr>
                      <w:rFonts w:ascii="仿宋_GB2312" w:hAnsi="仿宋_GB2312" w:cs="仿宋_GB2312" w:eastAsia="仿宋_GB2312"/>
                      <w:sz w:val="19"/>
                      <w:color w:val="000000"/>
                    </w:rPr>
                    <w:t>动</w:t>
                  </w:r>
                  <w:r>
                    <w:rPr>
                      <w:rFonts w:ascii="仿宋_GB2312" w:hAnsi="仿宋_GB2312" w:cs="仿宋_GB2312" w:eastAsia="仿宋_GB2312"/>
                      <w:sz w:val="19"/>
                      <w:color w:val="000000"/>
                    </w:rPr>
                    <w:t>宣传；</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新闻媒体宣传稿件达到</w:t>
                  </w:r>
                  <w:r>
                    <w:rPr>
                      <w:rFonts w:ascii="仿宋_GB2312" w:hAnsi="仿宋_GB2312" w:cs="仿宋_GB2312" w:eastAsia="仿宋_GB2312"/>
                      <w:sz w:val="19"/>
                      <w:color w:val="000000"/>
                    </w:rPr>
                    <w:t>15</w:t>
                  </w:r>
                  <w:r>
                    <w:rPr>
                      <w:rFonts w:ascii="仿宋_GB2312" w:hAnsi="仿宋_GB2312" w:cs="仿宋_GB2312" w:eastAsia="仿宋_GB2312"/>
                      <w:sz w:val="19"/>
                      <w:color w:val="000000"/>
                    </w:rPr>
                    <w:t>条以上；其中包含国家级</w:t>
                  </w:r>
                  <w:r>
                    <w:rPr>
                      <w:rFonts w:ascii="仿宋_GB2312" w:hAnsi="仿宋_GB2312" w:cs="仿宋_GB2312" w:eastAsia="仿宋_GB2312"/>
                      <w:sz w:val="19"/>
                      <w:color w:val="000000"/>
                    </w:rPr>
                    <w:t>1</w:t>
                  </w:r>
                  <w:r>
                    <w:rPr>
                      <w:rFonts w:ascii="仿宋_GB2312" w:hAnsi="仿宋_GB2312" w:cs="仿宋_GB2312" w:eastAsia="仿宋_GB2312"/>
                      <w:sz w:val="19"/>
                      <w:color w:val="000000"/>
                    </w:rPr>
                    <w:t>条、省级</w:t>
                  </w:r>
                  <w:r>
                    <w:rPr>
                      <w:rFonts w:ascii="仿宋_GB2312" w:hAnsi="仿宋_GB2312" w:cs="仿宋_GB2312" w:eastAsia="仿宋_GB2312"/>
                      <w:sz w:val="19"/>
                      <w:color w:val="000000"/>
                    </w:rPr>
                    <w:t>3</w:t>
                  </w:r>
                  <w:r>
                    <w:rPr>
                      <w:rFonts w:ascii="仿宋_GB2312" w:hAnsi="仿宋_GB2312" w:cs="仿宋_GB2312" w:eastAsia="仿宋_GB2312"/>
                      <w:sz w:val="19"/>
                      <w:color w:val="000000"/>
                    </w:rPr>
                    <w:t>条</w:t>
                  </w:r>
                  <w:r>
                    <w:rPr>
                      <w:rFonts w:ascii="仿宋_GB2312" w:hAnsi="仿宋_GB2312" w:cs="仿宋_GB2312" w:eastAsia="仿宋_GB2312"/>
                      <w:sz w:val="19"/>
                      <w:color w:val="000000"/>
                    </w:rPr>
                    <w:t>；</w:t>
                  </w:r>
                </w:p>
              </w:tc>
            </w:tr>
            <w:tr>
              <w:tc>
                <w:tcPr>
                  <w:tcW w:type="dxa" w:w="11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管</w:t>
                  </w:r>
                </w:p>
                <w:p>
                  <w:pPr>
                    <w:pStyle w:val="null3"/>
                    <w:jc w:val="center"/>
                  </w:pPr>
                  <w:r>
                    <w:rPr>
                      <w:rFonts w:ascii="仿宋_GB2312" w:hAnsi="仿宋_GB2312" w:cs="仿宋_GB2312" w:eastAsia="仿宋_GB2312"/>
                      <w:sz w:val="19"/>
                      <w:color w:val="000000"/>
                    </w:rPr>
                    <w:t>理</w:t>
                  </w:r>
                </w:p>
                <w:p>
                  <w:pPr>
                    <w:pStyle w:val="null3"/>
                    <w:jc w:val="center"/>
                  </w:pPr>
                  <w:r>
                    <w:rPr>
                      <w:rFonts w:ascii="仿宋_GB2312" w:hAnsi="仿宋_GB2312" w:cs="仿宋_GB2312" w:eastAsia="仿宋_GB2312"/>
                      <w:sz w:val="19"/>
                      <w:color w:val="000000"/>
                    </w:rPr>
                    <w:t>服</w:t>
                  </w:r>
                </w:p>
                <w:p>
                  <w:pPr>
                    <w:pStyle w:val="null3"/>
                    <w:jc w:val="center"/>
                  </w:pPr>
                  <w:r>
                    <w:rPr>
                      <w:rFonts w:ascii="仿宋_GB2312" w:hAnsi="仿宋_GB2312" w:cs="仿宋_GB2312" w:eastAsia="仿宋_GB2312"/>
                      <w:sz w:val="19"/>
                      <w:color w:val="000000"/>
                    </w:rPr>
                    <w:t>务</w:t>
                  </w:r>
                </w:p>
                <w:p>
                  <w:pPr>
                    <w:pStyle w:val="null3"/>
                    <w:jc w:val="center"/>
                  </w:p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总分馆制建设</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建立图书馆分馆</w:t>
                  </w:r>
                  <w:r>
                    <w:rPr>
                      <w:rFonts w:ascii="仿宋_GB2312" w:hAnsi="仿宋_GB2312" w:cs="仿宋_GB2312" w:eastAsia="仿宋_GB2312"/>
                      <w:sz w:val="19"/>
                      <w:color w:val="000000"/>
                    </w:rPr>
                    <w:t>（</w:t>
                  </w:r>
                  <w:r>
                    <w:rPr>
                      <w:rFonts w:ascii="仿宋_GB2312" w:hAnsi="仿宋_GB2312" w:cs="仿宋_GB2312" w:eastAsia="仿宋_GB2312"/>
                      <w:sz w:val="19"/>
                      <w:color w:val="000000"/>
                    </w:rPr>
                    <w:t>服务点</w:t>
                  </w:r>
                  <w:r>
                    <w:rPr>
                      <w:rFonts w:ascii="仿宋_GB2312" w:hAnsi="仿宋_GB2312" w:cs="仿宋_GB2312" w:eastAsia="仿宋_GB2312"/>
                      <w:sz w:val="19"/>
                      <w:color w:val="000000"/>
                    </w:rPr>
                    <w:t>）</w:t>
                  </w:r>
                  <w:r>
                    <w:rPr>
                      <w:rFonts w:ascii="仿宋_GB2312" w:hAnsi="仿宋_GB2312" w:cs="仿宋_GB2312" w:eastAsia="仿宋_GB2312"/>
                      <w:sz w:val="19"/>
                      <w:color w:val="000000"/>
                    </w:rPr>
                    <w:t>及</w:t>
                  </w:r>
                  <w:r>
                    <w:rPr>
                      <w:rFonts w:ascii="仿宋_GB2312" w:hAnsi="仿宋_GB2312" w:cs="仿宋_GB2312" w:eastAsia="仿宋_GB2312"/>
                      <w:sz w:val="19"/>
                      <w:color w:val="000000"/>
                    </w:rPr>
                    <w:t>新型阅读空间</w:t>
                  </w:r>
                  <w:r>
                    <w:rPr>
                      <w:rFonts w:ascii="仿宋_GB2312" w:hAnsi="仿宋_GB2312" w:cs="仿宋_GB2312" w:eastAsia="仿宋_GB2312"/>
                      <w:sz w:val="19"/>
                      <w:color w:val="000000"/>
                    </w:rPr>
                    <w:t>，建立通借通还的服务体系；</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完成与</w:t>
                  </w:r>
                  <w:r>
                    <w:rPr>
                      <w:rFonts w:ascii="仿宋_GB2312" w:hAnsi="仿宋_GB2312" w:cs="仿宋_GB2312" w:eastAsia="仿宋_GB2312"/>
                      <w:sz w:val="19"/>
                      <w:color w:val="000000"/>
                    </w:rPr>
                    <w:t>分馆</w:t>
                  </w:r>
                  <w:r>
                    <w:rPr>
                      <w:rFonts w:ascii="仿宋_GB2312" w:hAnsi="仿宋_GB2312" w:cs="仿宋_GB2312" w:eastAsia="仿宋_GB2312"/>
                      <w:sz w:val="19"/>
                      <w:color w:val="000000"/>
                    </w:rPr>
                    <w:t>（</w:t>
                  </w:r>
                  <w:r>
                    <w:rPr>
                      <w:rFonts w:ascii="仿宋_GB2312" w:hAnsi="仿宋_GB2312" w:cs="仿宋_GB2312" w:eastAsia="仿宋_GB2312"/>
                      <w:sz w:val="19"/>
                      <w:color w:val="000000"/>
                    </w:rPr>
                    <w:t>服务点</w:t>
                  </w:r>
                  <w:r>
                    <w:rPr>
                      <w:rFonts w:ascii="仿宋_GB2312" w:hAnsi="仿宋_GB2312" w:cs="仿宋_GB2312" w:eastAsia="仿宋_GB2312"/>
                      <w:sz w:val="19"/>
                      <w:color w:val="000000"/>
                    </w:rPr>
                    <w:t>）</w:t>
                  </w:r>
                  <w:r>
                    <w:rPr>
                      <w:rFonts w:ascii="仿宋_GB2312" w:hAnsi="仿宋_GB2312" w:cs="仿宋_GB2312" w:eastAsia="仿宋_GB2312"/>
                      <w:sz w:val="19"/>
                      <w:color w:val="000000"/>
                    </w:rPr>
                    <w:t>图书的运输、搬运、更换，</w:t>
                  </w:r>
                  <w:r>
                    <w:rPr>
                      <w:rFonts w:ascii="仿宋_GB2312" w:hAnsi="仿宋_GB2312" w:cs="仿宋_GB2312" w:eastAsia="仿宋_GB2312"/>
                      <w:sz w:val="19"/>
                      <w:color w:val="000000"/>
                    </w:rPr>
                    <w:t>每年至少</w:t>
                  </w:r>
                  <w:r>
                    <w:rPr>
                      <w:rFonts w:ascii="仿宋_GB2312" w:hAnsi="仿宋_GB2312" w:cs="仿宋_GB2312" w:eastAsia="仿宋_GB2312"/>
                      <w:sz w:val="19"/>
                      <w:color w:val="000000"/>
                    </w:rPr>
                    <w:t>1</w:t>
                  </w:r>
                  <w:r>
                    <w:rPr>
                      <w:rFonts w:ascii="仿宋_GB2312" w:hAnsi="仿宋_GB2312" w:cs="仿宋_GB2312" w:eastAsia="仿宋_GB2312"/>
                      <w:sz w:val="19"/>
                      <w:color w:val="000000"/>
                    </w:rPr>
                    <w:t>次</w:t>
                  </w:r>
                  <w:r>
                    <w:rPr>
                      <w:rFonts w:ascii="仿宋_GB2312" w:hAnsi="仿宋_GB2312" w:cs="仿宋_GB2312" w:eastAsia="仿宋_GB2312"/>
                      <w:sz w:val="19"/>
                      <w:color w:val="000000"/>
                    </w:rPr>
                    <w:t>；协助分馆开展活动</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组织全区图书馆系统人员培训</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2</w:t>
                  </w:r>
                  <w:r>
                    <w:rPr>
                      <w:rFonts w:ascii="仿宋_GB2312" w:hAnsi="仿宋_GB2312" w:cs="仿宋_GB2312" w:eastAsia="仿宋_GB2312"/>
                      <w:sz w:val="19"/>
                      <w:color w:val="000000"/>
                    </w:rPr>
                    <w:t>次。深入基层辅导</w:t>
                  </w:r>
                  <w:r>
                    <w:rPr>
                      <w:rFonts w:ascii="仿宋_GB2312" w:hAnsi="仿宋_GB2312" w:cs="仿宋_GB2312" w:eastAsia="仿宋_GB2312"/>
                      <w:sz w:val="19"/>
                      <w:color w:val="000000"/>
                    </w:rPr>
                    <w:t>培训</w:t>
                  </w: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场</w:t>
                  </w:r>
                  <w:r>
                    <w:rPr>
                      <w:rFonts w:ascii="仿宋_GB2312" w:hAnsi="仿宋_GB2312" w:cs="仿宋_GB2312" w:eastAsia="仿宋_GB2312"/>
                      <w:sz w:val="19"/>
                      <w:color w:val="000000"/>
                    </w:rPr>
                    <w:t>次</w:t>
                  </w:r>
                  <w:r>
                    <w:rPr>
                      <w:rFonts w:ascii="仿宋_GB2312" w:hAnsi="仿宋_GB2312" w:cs="仿宋_GB2312" w:eastAsia="仿宋_GB2312"/>
                      <w:sz w:val="19"/>
                      <w:color w:val="000000"/>
                    </w:rPr>
                    <w:t>，</w:t>
                  </w:r>
                  <w:r>
                    <w:rPr>
                      <w:rFonts w:ascii="仿宋_GB2312" w:hAnsi="仿宋_GB2312" w:cs="仿宋_GB2312" w:eastAsia="仿宋_GB2312"/>
                      <w:sz w:val="19"/>
                      <w:color w:val="000000"/>
                    </w:rPr>
                    <w:t>人次</w:t>
                  </w:r>
                  <w:r>
                    <w:rPr>
                      <w:rFonts w:ascii="仿宋_GB2312" w:hAnsi="仿宋_GB2312" w:cs="仿宋_GB2312" w:eastAsia="仿宋_GB2312"/>
                      <w:sz w:val="19"/>
                      <w:color w:val="000000"/>
                    </w:rPr>
                    <w:t>≥</w:t>
                  </w:r>
                  <w:r>
                    <w:rPr>
                      <w:rFonts w:ascii="仿宋_GB2312" w:hAnsi="仿宋_GB2312" w:cs="仿宋_GB2312" w:eastAsia="仿宋_GB2312"/>
                      <w:sz w:val="19"/>
                      <w:color w:val="000000"/>
                    </w:rPr>
                    <w:t>350</w:t>
                  </w:r>
                  <w:r>
                    <w:rPr>
                      <w:rFonts w:ascii="仿宋_GB2312" w:hAnsi="仿宋_GB2312" w:cs="仿宋_GB2312" w:eastAsia="仿宋_GB2312"/>
                      <w:sz w:val="19"/>
                      <w:color w:val="000000"/>
                    </w:rPr>
                    <w:t>人；</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书刊</w:t>
                  </w:r>
                  <w:r>
                    <w:rPr>
                      <w:rFonts w:ascii="仿宋_GB2312" w:hAnsi="仿宋_GB2312" w:cs="仿宋_GB2312" w:eastAsia="仿宋_GB2312"/>
                      <w:sz w:val="19"/>
                      <w:color w:val="000000"/>
                    </w:rPr>
                    <w:t>管理、</w:t>
                  </w:r>
                  <w:r>
                    <w:rPr>
                      <w:rFonts w:ascii="仿宋_GB2312" w:hAnsi="仿宋_GB2312" w:cs="仿宋_GB2312" w:eastAsia="仿宋_GB2312"/>
                      <w:sz w:val="19"/>
                      <w:color w:val="000000"/>
                    </w:rPr>
                    <w:t>整理与排架</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做好文献交接登记工作，文献及时上架，无积压现象。</w:t>
                  </w:r>
                  <w:r>
                    <w:rPr>
                      <w:rFonts w:ascii="仿宋_GB2312" w:hAnsi="仿宋_GB2312" w:cs="仿宋_GB2312" w:eastAsia="仿宋_GB2312"/>
                      <w:sz w:val="19"/>
                      <w:color w:val="000000"/>
                    </w:rPr>
                    <w:t>完成书刊上架、下架、排架、整理等；图书按照中图法进行分类加工，数据加工符合西安市公共图书馆联合编目要求，书标、馆藏章、芯片符合标准。制定图书编目细则和分类细则，文献编目符合行业标准，保证编目数据规范一致；制定排架工作制度和标准；排架整齐、有序、规范；排架正确率达</w:t>
                  </w:r>
                  <w:r>
                    <w:rPr>
                      <w:rFonts w:ascii="仿宋_GB2312" w:hAnsi="仿宋_GB2312" w:cs="仿宋_GB2312" w:eastAsia="仿宋_GB2312"/>
                      <w:sz w:val="19"/>
                      <w:color w:val="000000"/>
                    </w:rPr>
                    <w:t>90%</w:t>
                  </w:r>
                  <w:r>
                    <w:rPr>
                      <w:rFonts w:ascii="仿宋_GB2312" w:hAnsi="仿宋_GB2312" w:cs="仿宋_GB2312" w:eastAsia="仿宋_GB2312"/>
                      <w:sz w:val="19"/>
                      <w:color w:val="000000"/>
                    </w:rPr>
                    <w:t>以上；书目加工规范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报刊上架</w:t>
                  </w:r>
                  <w:r>
                    <w:rPr>
                      <w:rFonts w:ascii="仿宋_GB2312" w:hAnsi="仿宋_GB2312" w:cs="仿宋_GB2312" w:eastAsia="仿宋_GB2312"/>
                      <w:sz w:val="19"/>
                      <w:color w:val="000000"/>
                    </w:rPr>
                    <w:t>及时。</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书刊剔旧及装订</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制定剔旧工作制度和标准，落实剔旧工作。</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完成报纸期刊</w:t>
                  </w:r>
                  <w:r>
                    <w:rPr>
                      <w:rFonts w:ascii="仿宋_GB2312" w:hAnsi="仿宋_GB2312" w:cs="仿宋_GB2312" w:eastAsia="仿宋_GB2312"/>
                      <w:sz w:val="19"/>
                      <w:color w:val="000000"/>
                    </w:rPr>
                    <w:t>征订</w:t>
                  </w:r>
                  <w:r>
                    <w:rPr>
                      <w:rFonts w:ascii="仿宋_GB2312" w:hAnsi="仿宋_GB2312" w:cs="仿宋_GB2312" w:eastAsia="仿宋_GB2312"/>
                      <w:sz w:val="19"/>
                      <w:color w:val="000000"/>
                    </w:rPr>
                    <w:t>（</w:t>
                  </w:r>
                  <w:r>
                    <w:rPr>
                      <w:rFonts w:ascii="仿宋_GB2312" w:hAnsi="仿宋_GB2312" w:cs="仿宋_GB2312" w:eastAsia="仿宋_GB2312"/>
                      <w:sz w:val="19"/>
                      <w:color w:val="000000"/>
                    </w:rPr>
                    <w:t>不少于</w:t>
                  </w:r>
                  <w:r>
                    <w:rPr>
                      <w:rFonts w:ascii="仿宋_GB2312" w:hAnsi="仿宋_GB2312" w:cs="仿宋_GB2312" w:eastAsia="仿宋_GB2312"/>
                      <w:sz w:val="19"/>
                      <w:color w:val="000000"/>
                    </w:rPr>
                    <w:t>100</w:t>
                  </w:r>
                  <w:r>
                    <w:rPr>
                      <w:rFonts w:ascii="仿宋_GB2312" w:hAnsi="仿宋_GB2312" w:cs="仿宋_GB2312" w:eastAsia="仿宋_GB2312"/>
                      <w:sz w:val="19"/>
                      <w:color w:val="000000"/>
                    </w:rPr>
                    <w:t>种</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报纸期刊装订服务。</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志愿者管理</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志愿者管理制度规范化；组建志愿者团队，并在志愿者平台注册；规范开展志愿者服务，平均每人服务时间不低于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小时；志愿者活动不低于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场。</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运营团队</w:t>
                  </w:r>
                  <w:r>
                    <w:rPr>
                      <w:rFonts w:ascii="仿宋_GB2312" w:hAnsi="仿宋_GB2312" w:cs="仿宋_GB2312" w:eastAsia="仿宋_GB2312"/>
                      <w:sz w:val="19"/>
                      <w:color w:val="000000"/>
                    </w:rPr>
                    <w:t>人员配置</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满足图书馆管理</w:t>
                  </w:r>
                  <w:r>
                    <w:rPr>
                      <w:rFonts w:ascii="仿宋_GB2312" w:hAnsi="仿宋_GB2312" w:cs="仿宋_GB2312" w:eastAsia="仿宋_GB2312"/>
                      <w:sz w:val="19"/>
                      <w:color w:val="000000"/>
                    </w:rPr>
                    <w:t>、</w:t>
                  </w:r>
                  <w:r>
                    <w:rPr>
                      <w:rFonts w:ascii="仿宋_GB2312" w:hAnsi="仿宋_GB2312" w:cs="仿宋_GB2312" w:eastAsia="仿宋_GB2312"/>
                      <w:sz w:val="19"/>
                      <w:color w:val="000000"/>
                    </w:rPr>
                    <w:t>服务需求</w:t>
                  </w:r>
                  <w:r>
                    <w:rPr>
                      <w:rFonts w:ascii="仿宋_GB2312" w:hAnsi="仿宋_GB2312" w:cs="仿宋_GB2312" w:eastAsia="仿宋_GB2312"/>
                      <w:sz w:val="19"/>
                      <w:color w:val="000000"/>
                    </w:rPr>
                    <w:t>。</w:t>
                  </w:r>
                  <w:r>
                    <w:rPr>
                      <w:rFonts w:ascii="仿宋_GB2312" w:hAnsi="仿宋_GB2312" w:cs="仿宋_GB2312" w:eastAsia="仿宋_GB2312"/>
                      <w:sz w:val="19"/>
                      <w:color w:val="000000"/>
                    </w:rPr>
                    <w:t>合理配置</w:t>
                  </w:r>
                  <w:r>
                    <w:rPr>
                      <w:rFonts w:ascii="仿宋_GB2312" w:hAnsi="仿宋_GB2312" w:cs="仿宋_GB2312" w:eastAsia="仿宋_GB2312"/>
                      <w:sz w:val="19"/>
                      <w:color w:val="000000"/>
                    </w:rPr>
                    <w:t>运营团队</w:t>
                  </w:r>
                  <w:r>
                    <w:rPr>
                      <w:rFonts w:ascii="仿宋_GB2312" w:hAnsi="仿宋_GB2312" w:cs="仿宋_GB2312" w:eastAsia="仿宋_GB2312"/>
                      <w:sz w:val="19"/>
                      <w:color w:val="000000"/>
                    </w:rPr>
                    <w:t>人员不少于</w:t>
                  </w:r>
                  <w:r>
                    <w:rPr>
                      <w:rFonts w:ascii="仿宋_GB2312" w:hAnsi="仿宋_GB2312" w:cs="仿宋_GB2312" w:eastAsia="仿宋_GB2312"/>
                      <w:sz w:val="19"/>
                      <w:color w:val="000000"/>
                    </w:rPr>
                    <w:t>8</w:t>
                  </w:r>
                  <w:r>
                    <w:rPr>
                      <w:rFonts w:ascii="仿宋_GB2312" w:hAnsi="仿宋_GB2312" w:cs="仿宋_GB2312" w:eastAsia="仿宋_GB2312"/>
                      <w:sz w:val="19"/>
                      <w:color w:val="000000"/>
                    </w:rPr>
                    <w:t>人</w:t>
                  </w:r>
                  <w:r>
                    <w:rPr>
                      <w:rFonts w:ascii="仿宋_GB2312" w:hAnsi="仿宋_GB2312" w:cs="仿宋_GB2312" w:eastAsia="仿宋_GB2312"/>
                      <w:sz w:val="19"/>
                      <w:color w:val="000000"/>
                    </w:rPr>
                    <w:t>（</w:t>
                  </w:r>
                  <w:r>
                    <w:rPr>
                      <w:rFonts w:ascii="仿宋_GB2312" w:hAnsi="仿宋_GB2312" w:cs="仿宋_GB2312" w:eastAsia="仿宋_GB2312"/>
                      <w:sz w:val="19"/>
                      <w:color w:val="000000"/>
                    </w:rPr>
                    <w:t>含项目负责人</w:t>
                  </w:r>
                  <w:r>
                    <w:rPr>
                      <w:rFonts w:ascii="仿宋_GB2312" w:hAnsi="仿宋_GB2312" w:cs="仿宋_GB2312" w:eastAsia="仿宋_GB2312"/>
                      <w:sz w:val="19"/>
                      <w:color w:val="000000"/>
                    </w:rPr>
                    <w:t>1</w:t>
                  </w:r>
                  <w:r>
                    <w:rPr>
                      <w:rFonts w:ascii="仿宋_GB2312" w:hAnsi="仿宋_GB2312" w:cs="仿宋_GB2312" w:eastAsia="仿宋_GB2312"/>
                      <w:sz w:val="19"/>
                      <w:color w:val="000000"/>
                    </w:rPr>
                    <w:t>人</w:t>
                  </w:r>
                  <w:r>
                    <w:rPr>
                      <w:rFonts w:ascii="仿宋_GB2312" w:hAnsi="仿宋_GB2312" w:cs="仿宋_GB2312" w:eastAsia="仿宋_GB2312"/>
                      <w:sz w:val="19"/>
                      <w:color w:val="000000"/>
                    </w:rPr>
                    <w:t>）</w:t>
                  </w:r>
                  <w:r>
                    <w:rPr>
                      <w:rFonts w:ascii="仿宋_GB2312" w:hAnsi="仿宋_GB2312" w:cs="仿宋_GB2312" w:eastAsia="仿宋_GB2312"/>
                      <w:sz w:val="19"/>
                      <w:color w:val="000000"/>
                    </w:rPr>
                    <w:t>，其中大学本科及以上学历员工占总人数</w:t>
                  </w:r>
                  <w:r>
                    <w:rPr>
                      <w:rFonts w:ascii="仿宋_GB2312" w:hAnsi="仿宋_GB2312" w:cs="仿宋_GB2312" w:eastAsia="仿宋_GB2312"/>
                      <w:sz w:val="19"/>
                      <w:color w:val="000000"/>
                    </w:rPr>
                    <w:t>80%</w:t>
                  </w:r>
                  <w:r>
                    <w:rPr>
                      <w:rFonts w:ascii="仿宋_GB2312" w:hAnsi="仿宋_GB2312" w:cs="仿宋_GB2312" w:eastAsia="仿宋_GB2312"/>
                      <w:sz w:val="19"/>
                      <w:color w:val="000000"/>
                    </w:rPr>
                    <w:t>以上。人员不得随意更换调配，需争得甲方同意方可。</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员工教育培训</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制定人员入职离职报备制度、岗位管理制度、考核与分配激励制度等；</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对馆员进行教育培训，每年组织专业培训时间不少于</w:t>
                  </w:r>
                  <w:r>
                    <w:rPr>
                      <w:rFonts w:ascii="仿宋_GB2312" w:hAnsi="仿宋_GB2312" w:cs="仿宋_GB2312" w:eastAsia="仿宋_GB2312"/>
                      <w:sz w:val="19"/>
                      <w:color w:val="000000"/>
                    </w:rPr>
                    <w:t>15</w:t>
                  </w:r>
                  <w:r>
                    <w:rPr>
                      <w:rFonts w:ascii="仿宋_GB2312" w:hAnsi="仿宋_GB2312" w:cs="仿宋_GB2312" w:eastAsia="仿宋_GB2312"/>
                      <w:sz w:val="19"/>
                      <w:color w:val="000000"/>
                    </w:rPr>
                    <w:t>天</w:t>
                  </w:r>
                  <w:r>
                    <w:rPr>
                      <w:rFonts w:ascii="仿宋_GB2312" w:hAnsi="仿宋_GB2312" w:cs="仿宋_GB2312" w:eastAsia="仿宋_GB2312"/>
                      <w:sz w:val="19"/>
                      <w:color w:val="000000"/>
                    </w:rPr>
                    <w:t>；</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业务研究</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加强图书馆业务研究的管理，建立业务研究激励制度；</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积极参加馆外学术交流和业务研讨活动；</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在刊物</w:t>
                  </w:r>
                  <w:r>
                    <w:rPr>
                      <w:rFonts w:ascii="仿宋_GB2312" w:hAnsi="仿宋_GB2312" w:cs="仿宋_GB2312" w:eastAsia="仿宋_GB2312"/>
                      <w:sz w:val="19"/>
                      <w:color w:val="000000"/>
                    </w:rPr>
                    <w:t>（</w:t>
                  </w:r>
                  <w:r>
                    <w:rPr>
                      <w:rFonts w:ascii="仿宋_GB2312" w:hAnsi="仿宋_GB2312" w:cs="仿宋_GB2312" w:eastAsia="仿宋_GB2312"/>
                      <w:sz w:val="19"/>
                      <w:color w:val="000000"/>
                    </w:rPr>
                    <w:t>含内刊）</w:t>
                  </w:r>
                  <w:r>
                    <w:rPr>
                      <w:rFonts w:ascii="仿宋_GB2312" w:hAnsi="仿宋_GB2312" w:cs="仿宋_GB2312" w:eastAsia="仿宋_GB2312"/>
                      <w:sz w:val="19"/>
                      <w:color w:val="000000"/>
                    </w:rPr>
                    <w:t>发表论文</w:t>
                  </w:r>
                  <w:r>
                    <w:rPr>
                      <w:rFonts w:ascii="仿宋_GB2312" w:hAnsi="仿宋_GB2312" w:cs="仿宋_GB2312" w:eastAsia="仿宋_GB2312"/>
                      <w:sz w:val="19"/>
                      <w:color w:val="000000"/>
                    </w:rPr>
                    <w:t>或文章</w:t>
                  </w:r>
                  <w:r>
                    <w:rPr>
                      <w:rFonts w:ascii="仿宋_GB2312" w:hAnsi="仿宋_GB2312" w:cs="仿宋_GB2312" w:eastAsia="仿宋_GB2312"/>
                      <w:sz w:val="19"/>
                      <w:color w:val="000000"/>
                    </w:rPr>
                    <w:t>数量</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1</w:t>
                  </w:r>
                  <w:r>
                    <w:rPr>
                      <w:rFonts w:ascii="仿宋_GB2312" w:hAnsi="仿宋_GB2312" w:cs="仿宋_GB2312" w:eastAsia="仿宋_GB2312"/>
                      <w:sz w:val="19"/>
                      <w:color w:val="000000"/>
                    </w:rPr>
                    <w:t>篇</w:t>
                  </w:r>
                  <w:r>
                    <w:rPr>
                      <w:rFonts w:ascii="仿宋_GB2312" w:hAnsi="仿宋_GB2312" w:cs="仿宋_GB2312" w:eastAsia="仿宋_GB2312"/>
                      <w:sz w:val="19"/>
                      <w:color w:val="000000"/>
                    </w:rPr>
                    <w:t>，</w:t>
                  </w:r>
                  <w:r>
                    <w:rPr>
                      <w:rFonts w:ascii="仿宋_GB2312" w:hAnsi="仿宋_GB2312" w:cs="仿宋_GB2312" w:eastAsia="仿宋_GB2312"/>
                      <w:sz w:val="19"/>
                      <w:color w:val="000000"/>
                    </w:rPr>
                    <w:t>申报创新案例</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国有资产管理</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按照国有资产管理制度</w:t>
                  </w:r>
                  <w:r>
                    <w:rPr>
                      <w:rFonts w:ascii="仿宋_GB2312" w:hAnsi="仿宋_GB2312" w:cs="仿宋_GB2312" w:eastAsia="仿宋_GB2312"/>
                      <w:sz w:val="19"/>
                      <w:color w:val="000000"/>
                    </w:rPr>
                    <w:t>及</w:t>
                  </w:r>
                  <w:r>
                    <w:rPr>
                      <w:rFonts w:ascii="仿宋_GB2312" w:hAnsi="仿宋_GB2312" w:cs="仿宋_GB2312" w:eastAsia="仿宋_GB2312"/>
                      <w:sz w:val="19"/>
                      <w:color w:val="000000"/>
                    </w:rPr>
                    <w:t>管理办法</w:t>
                  </w:r>
                  <w:r>
                    <w:rPr>
                      <w:rFonts w:ascii="仿宋_GB2312" w:hAnsi="仿宋_GB2312" w:cs="仿宋_GB2312" w:eastAsia="仿宋_GB2312"/>
                      <w:sz w:val="19"/>
                      <w:color w:val="000000"/>
                    </w:rPr>
                    <w:t>，</w:t>
                  </w:r>
                  <w:r>
                    <w:rPr>
                      <w:rFonts w:ascii="仿宋_GB2312" w:hAnsi="仿宋_GB2312" w:cs="仿宋_GB2312" w:eastAsia="仿宋_GB2312"/>
                      <w:sz w:val="19"/>
                      <w:color w:val="000000"/>
                    </w:rPr>
                    <w:t>对馆内</w:t>
                  </w:r>
                  <w:r>
                    <w:rPr>
                      <w:rFonts w:ascii="仿宋_GB2312" w:hAnsi="仿宋_GB2312" w:cs="仿宋_GB2312" w:eastAsia="仿宋_GB2312"/>
                      <w:sz w:val="19"/>
                      <w:color w:val="000000"/>
                    </w:rPr>
                    <w:t>阅览桌椅、书架、智能化设备、图书期刊、办公设备等</w:t>
                  </w:r>
                  <w:r>
                    <w:rPr>
                      <w:rFonts w:ascii="仿宋_GB2312" w:hAnsi="仿宋_GB2312" w:cs="仿宋_GB2312" w:eastAsia="仿宋_GB2312"/>
                      <w:sz w:val="19"/>
                      <w:color w:val="000000"/>
                    </w:rPr>
                    <w:t>资产进行日常管理和维护，</w:t>
                  </w:r>
                  <w:r>
                    <w:rPr>
                      <w:rFonts w:ascii="仿宋_GB2312" w:hAnsi="仿宋_GB2312" w:cs="仿宋_GB2312" w:eastAsia="仿宋_GB2312"/>
                      <w:sz w:val="19"/>
                      <w:color w:val="000000"/>
                    </w:rPr>
                    <w:t>每年</w:t>
                  </w:r>
                  <w:r>
                    <w:rPr>
                      <w:rFonts w:ascii="仿宋_GB2312" w:hAnsi="仿宋_GB2312" w:cs="仿宋_GB2312" w:eastAsia="仿宋_GB2312"/>
                      <w:sz w:val="19"/>
                      <w:color w:val="000000"/>
                    </w:rPr>
                    <w:t>对</w:t>
                  </w:r>
                  <w:r>
                    <w:rPr>
                      <w:rFonts w:ascii="仿宋_GB2312" w:hAnsi="仿宋_GB2312" w:cs="仿宋_GB2312" w:eastAsia="仿宋_GB2312"/>
                      <w:sz w:val="19"/>
                      <w:color w:val="000000"/>
                    </w:rPr>
                    <w:t>固定资产盘点</w:t>
                  </w:r>
                  <w:r>
                    <w:rPr>
                      <w:rFonts w:ascii="仿宋_GB2312" w:hAnsi="仿宋_GB2312" w:cs="仿宋_GB2312" w:eastAsia="仿宋_GB2312"/>
                      <w:sz w:val="19"/>
                      <w:color w:val="000000"/>
                    </w:rPr>
                    <w:t>1</w:t>
                  </w:r>
                  <w:r>
                    <w:rPr>
                      <w:rFonts w:ascii="仿宋_GB2312" w:hAnsi="仿宋_GB2312" w:cs="仿宋_GB2312" w:eastAsia="仿宋_GB2312"/>
                      <w:sz w:val="19"/>
                      <w:color w:val="000000"/>
                    </w:rPr>
                    <w:t>次。</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档案</w:t>
                  </w:r>
                  <w:r>
                    <w:rPr>
                      <w:rFonts w:ascii="仿宋_GB2312" w:hAnsi="仿宋_GB2312" w:cs="仿宋_GB2312" w:eastAsia="仿宋_GB2312"/>
                      <w:sz w:val="19"/>
                      <w:color w:val="000000"/>
                    </w:rPr>
                    <w:t>及日常</w:t>
                  </w:r>
                  <w:r>
                    <w:rPr>
                      <w:rFonts w:ascii="仿宋_GB2312" w:hAnsi="仿宋_GB2312" w:cs="仿宋_GB2312" w:eastAsia="仿宋_GB2312"/>
                      <w:sz w:val="19"/>
                      <w:color w:val="000000"/>
                    </w:rPr>
                    <w:t>管理</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综合档案管理（文书、设备、声像、图像、实物等）。</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各项工作日志齐全。</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包含办公所需使用物品等</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安全管理</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制定消防、防恐、防疫、防汛及网络安全</w:t>
                  </w:r>
                  <w:r>
                    <w:rPr>
                      <w:rFonts w:ascii="仿宋_GB2312" w:hAnsi="仿宋_GB2312" w:cs="仿宋_GB2312" w:eastAsia="仿宋_GB2312"/>
                      <w:sz w:val="19"/>
                      <w:color w:val="000000"/>
                    </w:rPr>
                    <w:t>等</w:t>
                  </w:r>
                  <w:r>
                    <w:rPr>
                      <w:rFonts w:ascii="仿宋_GB2312" w:hAnsi="仿宋_GB2312" w:cs="仿宋_GB2312" w:eastAsia="仿宋_GB2312"/>
                      <w:sz w:val="19"/>
                      <w:color w:val="000000"/>
                    </w:rPr>
                    <w:t>应急预案，责任落实到人，并组织至少</w:t>
                  </w:r>
                  <w:r>
                    <w:rPr>
                      <w:rFonts w:ascii="仿宋_GB2312" w:hAnsi="仿宋_GB2312" w:cs="仿宋_GB2312" w:eastAsia="仿宋_GB2312"/>
                      <w:sz w:val="19"/>
                      <w:color w:val="000000"/>
                    </w:rPr>
                    <w:t>2</w:t>
                  </w:r>
                  <w:r>
                    <w:rPr>
                      <w:rFonts w:ascii="仿宋_GB2312" w:hAnsi="仿宋_GB2312" w:cs="仿宋_GB2312" w:eastAsia="仿宋_GB2312"/>
                      <w:sz w:val="19"/>
                      <w:color w:val="000000"/>
                    </w:rPr>
                    <w:t>次演练。</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定期开展巡查整改工作，并做好日常巡检和处理隐患的工作日志。</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消防设施设备摆放位置醒目，设施配备齐全、完好无损，可随时起用，组织开展消防法规及消防知识的宣传教育，明确各空间防火责任人；消防疏散通道畅通；保证无火灾安全隐患。</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建立图书馆安全保障机制，妥善处理突发事件，保障空间财产设备及维护馆内借阅秩序。</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环境</w:t>
                  </w:r>
                  <w:r>
                    <w:rPr>
                      <w:rFonts w:ascii="仿宋_GB2312" w:hAnsi="仿宋_GB2312" w:cs="仿宋_GB2312" w:eastAsia="仿宋_GB2312"/>
                      <w:sz w:val="19"/>
                      <w:color w:val="000000"/>
                    </w:rPr>
                    <w:t>卫生</w:t>
                  </w:r>
                  <w:r>
                    <w:rPr>
                      <w:rFonts w:ascii="仿宋_GB2312" w:hAnsi="仿宋_GB2312" w:cs="仿宋_GB2312" w:eastAsia="仿宋_GB2312"/>
                      <w:sz w:val="19"/>
                      <w:color w:val="000000"/>
                    </w:rPr>
                    <w:t>管理</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合理配备馆内卫生管理员不少于</w:t>
                  </w:r>
                  <w:r>
                    <w:rPr>
                      <w:rFonts w:ascii="仿宋_GB2312" w:hAnsi="仿宋_GB2312" w:cs="仿宋_GB2312" w:eastAsia="仿宋_GB2312"/>
                      <w:sz w:val="19"/>
                      <w:color w:val="000000"/>
                    </w:rPr>
                    <w:t>2</w:t>
                  </w:r>
                  <w:r>
                    <w:rPr>
                      <w:rFonts w:ascii="仿宋_GB2312" w:hAnsi="仿宋_GB2312" w:cs="仿宋_GB2312" w:eastAsia="仿宋_GB2312"/>
                      <w:sz w:val="19"/>
                      <w:color w:val="000000"/>
                    </w:rPr>
                    <w:t>名，保持图书馆</w:t>
                  </w:r>
                  <w:r>
                    <w:rPr>
                      <w:rFonts w:ascii="仿宋_GB2312" w:hAnsi="仿宋_GB2312" w:cs="仿宋_GB2312" w:eastAsia="仿宋_GB2312"/>
                      <w:sz w:val="19"/>
                      <w:color w:val="000000"/>
                    </w:rPr>
                    <w:t>整洁、美观</w:t>
                  </w:r>
                  <w:r>
                    <w:rPr>
                      <w:rFonts w:ascii="仿宋_GB2312" w:hAnsi="仿宋_GB2312" w:cs="仿宋_GB2312" w:eastAsia="仿宋_GB2312"/>
                      <w:sz w:val="19"/>
                      <w:color w:val="000000"/>
                    </w:rPr>
                    <w:t>，</w:t>
                  </w:r>
                  <w:r>
                    <w:rPr>
                      <w:rFonts w:ascii="仿宋_GB2312" w:hAnsi="仿宋_GB2312" w:cs="仿宋_GB2312" w:eastAsia="仿宋_GB2312"/>
                      <w:sz w:val="19"/>
                      <w:color w:val="000000"/>
                    </w:rPr>
                    <w:t>维护图书馆整体</w:t>
                  </w:r>
                  <w:r>
                    <w:rPr>
                      <w:rFonts w:ascii="仿宋_GB2312" w:hAnsi="仿宋_GB2312" w:cs="仿宋_GB2312" w:eastAsia="仿宋_GB2312"/>
                      <w:sz w:val="19"/>
                      <w:color w:val="000000"/>
                    </w:rPr>
                    <w:t>环境</w:t>
                  </w:r>
                  <w:r>
                    <w:rPr>
                      <w:rFonts w:ascii="仿宋_GB2312" w:hAnsi="仿宋_GB2312" w:cs="仿宋_GB2312" w:eastAsia="仿宋_GB2312"/>
                      <w:sz w:val="19"/>
                      <w:color w:val="000000"/>
                    </w:rPr>
                    <w:t>，</w:t>
                  </w:r>
                  <w:r>
                    <w:rPr>
                      <w:rFonts w:ascii="仿宋_GB2312" w:hAnsi="仿宋_GB2312" w:cs="仿宋_GB2312" w:eastAsia="仿宋_GB2312"/>
                      <w:sz w:val="19"/>
                      <w:color w:val="000000"/>
                    </w:rPr>
                    <w:t>确保卫生标准符合规定。</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业务统计与上报</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负责业务统计分析并形成报告，负责读者证管理。</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按月上报基本服务数据</w:t>
                  </w:r>
                  <w:r>
                    <w:rPr>
                      <w:rFonts w:ascii="仿宋_GB2312" w:hAnsi="仿宋_GB2312" w:cs="仿宋_GB2312" w:eastAsia="仿宋_GB2312"/>
                      <w:sz w:val="19"/>
                      <w:color w:val="000000"/>
                    </w:rPr>
                    <w:t>（</w:t>
                  </w:r>
                  <w:r>
                    <w:rPr>
                      <w:rFonts w:ascii="仿宋_GB2312" w:hAnsi="仿宋_GB2312" w:cs="仿宋_GB2312" w:eastAsia="仿宋_GB2312"/>
                      <w:sz w:val="19"/>
                      <w:color w:val="000000"/>
                    </w:rPr>
                    <w:t>到馆读者人数、外借册次、活动次数、参与人次等</w:t>
                  </w:r>
                  <w:r>
                    <w:rPr>
                      <w:rFonts w:ascii="仿宋_GB2312" w:hAnsi="仿宋_GB2312" w:cs="仿宋_GB2312" w:eastAsia="仿宋_GB2312"/>
                      <w:sz w:val="19"/>
                      <w:color w:val="000000"/>
                    </w:rPr>
                    <w:t>）</w:t>
                  </w:r>
                  <w:r>
                    <w:rPr>
                      <w:rFonts w:ascii="仿宋_GB2312" w:hAnsi="仿宋_GB2312" w:cs="仿宋_GB2312" w:eastAsia="仿宋_GB2312"/>
                      <w:sz w:val="19"/>
                      <w:color w:val="000000"/>
                    </w:rPr>
                    <w:t>。建立月、季、年计划</w:t>
                  </w:r>
                  <w:r>
                    <w:rPr>
                      <w:rFonts w:ascii="仿宋_GB2312" w:hAnsi="仿宋_GB2312" w:cs="仿宋_GB2312" w:eastAsia="仿宋_GB2312"/>
                      <w:sz w:val="19"/>
                      <w:color w:val="000000"/>
                    </w:rPr>
                    <w:t>、</w:t>
                  </w:r>
                  <w:r>
                    <w:rPr>
                      <w:rFonts w:ascii="仿宋_GB2312" w:hAnsi="仿宋_GB2312" w:cs="仿宋_GB2312" w:eastAsia="仿宋_GB2312"/>
                      <w:sz w:val="19"/>
                      <w:color w:val="000000"/>
                    </w:rPr>
                    <w:t>总结上报制度。</w:t>
                  </w:r>
                  <w:r>
                    <w:rPr>
                      <w:rFonts w:ascii="仿宋_GB2312" w:hAnsi="仿宋_GB2312" w:cs="仿宋_GB2312" w:eastAsia="仿宋_GB2312"/>
                      <w:sz w:val="19"/>
                      <w:color w:val="000000"/>
                    </w:rPr>
                    <w:t>年报每年编制一次。</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按时上报各类报表及资料。</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服务设备维护</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负责对图书馆设施设备运行情况进行巡检，及时处理故障，保障图书馆智能设备、软硬件系统、服务设施正常运行。更换故障硬件与设备的维护，一般故障</w:t>
                  </w:r>
                  <w:r>
                    <w:rPr>
                      <w:rFonts w:ascii="仿宋_GB2312" w:hAnsi="仿宋_GB2312" w:cs="仿宋_GB2312" w:eastAsia="仿宋_GB2312"/>
                      <w:sz w:val="19"/>
                      <w:color w:val="000000"/>
                    </w:rPr>
                    <w:t>1</w:t>
                  </w:r>
                  <w:r>
                    <w:rPr>
                      <w:rFonts w:ascii="仿宋_GB2312" w:hAnsi="仿宋_GB2312" w:cs="仿宋_GB2312" w:eastAsia="仿宋_GB2312"/>
                      <w:sz w:val="19"/>
                      <w:color w:val="000000"/>
                    </w:rPr>
                    <w:t>周内完成，最长时间不能超</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用户意见收集、处理与评价</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建立读者意见的收集、反馈机制和效能评价体系。</w:t>
                  </w:r>
                </w:p>
                <w:p>
                  <w:pPr>
                    <w:pStyle w:val="null3"/>
                    <w:jc w:val="left"/>
                  </w:pPr>
                  <w:r>
                    <w:rPr>
                      <w:rFonts w:ascii="仿宋_GB2312" w:hAnsi="仿宋_GB2312" w:cs="仿宋_GB2312" w:eastAsia="仿宋_GB2312"/>
                      <w:sz w:val="19"/>
                      <w:color w:val="000000"/>
                    </w:rPr>
                    <w:t>2.2</w:t>
                  </w:r>
                  <w:r>
                    <w:rPr>
                      <w:rFonts w:ascii="仿宋_GB2312" w:hAnsi="仿宋_GB2312" w:cs="仿宋_GB2312" w:eastAsia="仿宋_GB2312"/>
                      <w:sz w:val="19"/>
                      <w:color w:val="000000"/>
                    </w:rPr>
                    <w:t>个工作日内完成意见和便民热线、投诉等答复。</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用户满意率</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建立完整的读者满意率调查体系（馆内、馆外、网络等多元方式）；年度读者满意度不低于</w:t>
                  </w:r>
                  <w:r>
                    <w:rPr>
                      <w:rFonts w:ascii="仿宋_GB2312" w:hAnsi="仿宋_GB2312" w:cs="仿宋_GB2312" w:eastAsia="仿宋_GB2312"/>
                      <w:sz w:val="19"/>
                      <w:color w:val="000000"/>
                    </w:rPr>
                    <w:t>90</w:t>
                  </w:r>
                  <w:r>
                    <w:rPr>
                      <w:rFonts w:ascii="仿宋_GB2312" w:hAnsi="仿宋_GB2312" w:cs="仿宋_GB2312" w:eastAsia="仿宋_GB2312"/>
                      <w:sz w:val="19"/>
                      <w:color w:val="000000"/>
                    </w:rPr>
                    <w:t>%,</w:t>
                  </w:r>
                  <w:r>
                    <w:rPr>
                      <w:rFonts w:ascii="仿宋_GB2312" w:hAnsi="仿宋_GB2312" w:cs="仿宋_GB2312" w:eastAsia="仿宋_GB2312"/>
                      <w:sz w:val="19"/>
                      <w:color w:val="000000"/>
                    </w:rPr>
                    <w:t>读者调查表发放数量不低于</w:t>
                  </w:r>
                  <w:r>
                    <w:rPr>
                      <w:rFonts w:ascii="仿宋_GB2312" w:hAnsi="仿宋_GB2312" w:cs="仿宋_GB2312" w:eastAsia="仿宋_GB2312"/>
                      <w:sz w:val="19"/>
                      <w:color w:val="000000"/>
                    </w:rPr>
                    <w:t>300</w:t>
                  </w:r>
                  <w:r>
                    <w:rPr>
                      <w:rFonts w:ascii="仿宋_GB2312" w:hAnsi="仿宋_GB2312" w:cs="仿宋_GB2312" w:eastAsia="仿宋_GB2312"/>
                      <w:sz w:val="19"/>
                      <w:color w:val="000000"/>
                    </w:rPr>
                    <w:t>份，回收率不低于</w:t>
                  </w:r>
                  <w:r>
                    <w:rPr>
                      <w:rFonts w:ascii="仿宋_GB2312" w:hAnsi="仿宋_GB2312" w:cs="仿宋_GB2312" w:eastAsia="仿宋_GB2312"/>
                      <w:sz w:val="19"/>
                      <w:color w:val="000000"/>
                    </w:rPr>
                    <w:t>80%</w:t>
                  </w:r>
                  <w:r>
                    <w:rPr>
                      <w:rFonts w:ascii="仿宋_GB2312" w:hAnsi="仿宋_GB2312" w:cs="仿宋_GB2312" w:eastAsia="仿宋_GB2312"/>
                      <w:sz w:val="19"/>
                      <w:color w:val="000000"/>
                    </w:rPr>
                    <w:t>。</w:t>
                  </w:r>
                </w:p>
              </w:tc>
            </w:tr>
            <w:tr>
              <w:tc>
                <w:tcPr>
                  <w:tcW w:type="dxa" w:w="11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业务创新</w:t>
                  </w: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创新项目</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在图书馆建设、管理、服务等领域探索实施的具有行业影响力的创新性举措，不低于</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图书馆服务与旅游服务相融合项目不低于</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p>
              </w:tc>
            </w:tr>
            <w:tr>
              <w:tc>
                <w:tcPr>
                  <w:tcW w:type="dxa" w:w="11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荣誉</w:t>
                  </w: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表彰奖励</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争取各级各类表彰奖励数不低</w:t>
                  </w:r>
                  <w:r>
                    <w:rPr>
                      <w:rFonts w:ascii="仿宋_GB2312" w:hAnsi="仿宋_GB2312" w:cs="仿宋_GB2312" w:eastAsia="仿宋_GB2312"/>
                      <w:sz w:val="19"/>
                      <w:color w:val="000000"/>
                    </w:rPr>
                    <w:t>于</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w:t>
                  </w:r>
                  <w:r>
                    <w:rPr>
                      <w:rFonts w:ascii="仿宋_GB2312" w:hAnsi="仿宋_GB2312" w:cs="仿宋_GB2312" w:eastAsia="仿宋_GB2312"/>
                      <w:sz w:val="19"/>
                      <w:color w:val="000000"/>
                    </w:rPr>
                    <w:t>；</w:t>
                  </w:r>
                </w:p>
              </w:tc>
            </w:tr>
            <w:tr>
              <w:tc>
                <w:tcPr>
                  <w:tcW w:type="dxa" w:w="11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责任事故</w:t>
                  </w:r>
                </w:p>
                <w:p>
                  <w:pPr>
                    <w:pStyle w:val="null3"/>
                    <w:jc w:val="center"/>
                  </w:p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安全生产</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落实安全生产工作责任制，严防发生重大安全事故</w:t>
                  </w:r>
                </w:p>
              </w:tc>
            </w:tr>
            <w:tr>
              <w:tc>
                <w:tcPr>
                  <w:tcW w:type="dxa" w:w="11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color w:val="000000"/>
                    </w:rPr>
                    <w:t>意识形态</w:t>
                  </w:r>
                </w:p>
              </w:tc>
              <w:tc>
                <w:tcPr>
                  <w:tcW w:type="dxa" w:w="14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9"/>
                      <w:color w:val="000000"/>
                    </w:rPr>
                    <w:t>落实意识形态工作责任制，严防发生严重政治事故</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自双方合同签订之日起1年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1、验收标准：按竞争性磋商采购文件、响应文件等技术指标进行逐项验收。各项指标均应符合验收标准及要求。 2、验收合格后，填写验收单，双方签字生效。 3、验收依据： （1）合同文本； （2）响应文件及竞争性磋商采购文件；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合同签订后且供应商已开具全额发票时</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服务至第四季度的第一个月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服务期满由碑林区图书馆对运营服务供应商进行考核（具体考核内容以采购人要求为准），达到目标任务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1.成交供应商在领取成交通知书时提供响应文件纸质版一正一副（电子版U盘一份）。 2.成交供应商应在成交通知书发出之日起25日内与采购人签订采购合同。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须具有独立承担民事责任能力的法人、其他组织或自然人。企业法人须提供有效的营业执照，事业法人须提供有效的事业单位法人证书，其他组织须提供合法且有效的证明材料，自然人须提供合法且有效的身份证明材料。</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法定代表人或法定代表人授权委托书</w:t>
            </w:r>
          </w:p>
        </w:tc>
        <w:tc>
          <w:tcPr>
            <w:tcW w:type="dxa" w:w="3322"/>
          </w:tcPr>
          <w:p>
            <w:pPr>
              <w:pStyle w:val="null3"/>
            </w:pPr>
            <w:r>
              <w:rPr>
                <w:rFonts w:ascii="仿宋_GB2312" w:hAnsi="仿宋_GB2312" w:cs="仿宋_GB2312" w:eastAsia="仿宋_GB2312"/>
              </w:rPr>
              <w:t>法定代表人参加竞争性磋商活动的，须提供本人身份证的复印件；法定代表人授权他人参加竞争性磋商活动的，须提供法定代表人授权委托书及被授权代表身份证的复印件。</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具备履行合同所必需的设备和专业技术能力的证明材料：供应商根据项目需求提供证明材料或者承诺。</w:t>
            </w:r>
          </w:p>
        </w:tc>
        <w:tc>
          <w:tcPr>
            <w:tcW w:type="dxa" w:w="3322"/>
          </w:tcPr>
          <w:p>
            <w:pPr>
              <w:pStyle w:val="null3"/>
            </w:pPr>
            <w:r>
              <w:rPr>
                <w:rFonts w:ascii="仿宋_GB2312" w:hAnsi="仿宋_GB2312" w:cs="仿宋_GB2312" w:eastAsia="仿宋_GB2312"/>
              </w:rPr>
              <w:t>提供承诺书。</w:t>
            </w:r>
          </w:p>
        </w:tc>
        <w:tc>
          <w:tcPr>
            <w:tcW w:type="dxa" w:w="1661"/>
          </w:tcPr>
          <w:p>
            <w:pPr>
              <w:pStyle w:val="null3"/>
            </w:pPr>
            <w:r>
              <w:rPr>
                <w:rFonts w:ascii="仿宋_GB2312" w:hAnsi="仿宋_GB2312" w:cs="仿宋_GB2312" w:eastAsia="仿宋_GB2312"/>
              </w:rPr>
              <w:t>响应文件封面 供应商应提交的资格证明材料.docx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供应商须出具参加政府采购活动前3年内在经营活动中没有重大违法记录的书面声明；同时供应商须在响应文件递交截止日前未被列入失信被执行人、重大税收违法案件当事人名单、政府采购严重违法失信行为记录名单（处罚期限届满的除外，上述要求时限内的信用中国网或中国执行信息公开网或中国政府采购网的查询网页截图由代理机构开标现场查询）。</w:t>
            </w:r>
          </w:p>
        </w:tc>
        <w:tc>
          <w:tcPr>
            <w:tcW w:type="dxa" w:w="1661"/>
          </w:tcPr>
          <w:p>
            <w:pPr>
              <w:pStyle w:val="null3"/>
            </w:pPr>
            <w:r>
              <w:rPr>
                <w:rFonts w:ascii="仿宋_GB2312" w:hAnsi="仿宋_GB2312" w:cs="仿宋_GB2312" w:eastAsia="仿宋_GB2312"/>
              </w:rPr>
              <w:t>响应文件封面 供应商应提交的资格证明材料.docx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整体运营拟定方案.docx 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商务应答表.docx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整体运营拟定方案—基础服务保障方案</w:t>
            </w:r>
          </w:p>
        </w:tc>
        <w:tc>
          <w:tcPr>
            <w:tcW w:type="dxa" w:w="2492"/>
          </w:tcPr>
          <w:p>
            <w:pPr>
              <w:pStyle w:val="null3"/>
            </w:pPr>
            <w:r>
              <w:rPr>
                <w:rFonts w:ascii="仿宋_GB2312" w:hAnsi="仿宋_GB2312" w:cs="仿宋_GB2312" w:eastAsia="仿宋_GB2312"/>
              </w:rPr>
              <w:t>供应商根据服务内容及服务标准要求，制定基础服务的保障方案。 方案完整、合理、可行性强、完全满足项目需求，赋15分； 方案基本完整、合理、有一定的可行性、能满足项目基本要求，赋12分； 方案不够完整、合理、可行性一般，但基本能满足项目要求，赋8分； 有方案但不完整，有缺项，可行性一般，较难满足项目建设要求，赋5分； 方案不完整，内容有缺项，可行性较差，不能满足项目建设需求，赋1分； 未提供或服务方案完全脱离项目实际的不得分。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整体运营拟定方案—数字资源建设与新媒体宣传推广服务方案</w:t>
            </w:r>
          </w:p>
        </w:tc>
        <w:tc>
          <w:tcPr>
            <w:tcW w:type="dxa" w:w="2492"/>
          </w:tcPr>
          <w:p>
            <w:pPr>
              <w:pStyle w:val="null3"/>
            </w:pPr>
            <w:r>
              <w:rPr>
                <w:rFonts w:ascii="仿宋_GB2312" w:hAnsi="仿宋_GB2312" w:cs="仿宋_GB2312" w:eastAsia="仿宋_GB2312"/>
              </w:rPr>
              <w:t>供应商根据服务内容及服务标准要求，制定对应的实施服务方案。 方案完整、合理、可行性强、完全满足项目需求，赋15分； 方案基本完整、合理、有一定的可行性、能满足项目基本要求，赋11分； 方案不够完整、合理、可行性一般，但基本能满足项目要求，赋8分； 有方案但不完整，有缺项，可行性一般，较难满足项目建设要求，赋5分； 方案不完整，内容有缺项，可行性较差，不能满足项目建设需求，赋1分； 未提供或服务方案完全脱离项目实际的不得分。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整体运营拟定方案—管理服务方案</w:t>
            </w:r>
          </w:p>
        </w:tc>
        <w:tc>
          <w:tcPr>
            <w:tcW w:type="dxa" w:w="2492"/>
          </w:tcPr>
          <w:p>
            <w:pPr>
              <w:pStyle w:val="null3"/>
            </w:pPr>
            <w:r>
              <w:rPr>
                <w:rFonts w:ascii="仿宋_GB2312" w:hAnsi="仿宋_GB2312" w:cs="仿宋_GB2312" w:eastAsia="仿宋_GB2312"/>
              </w:rPr>
              <w:t>供应商根据服务内容及服务标准要求，制定对应的服务方案及管理制度。 服务方案及管理制度完整、合理、可行性强、完全满足项目需求，赋15分； 服务方案及管理制度基本完整、合理、有一定的可行性、能满足项目基本要求，赋12分； 服务方案及管理制度不够完整、合理、可行性一般，但基本能满足项目要求，赋8分； 有服务方案及管理制度，但不完整，有缺项，可行性一般，较难满足项目建设要求，赋4分； 服务方案及管理制度不完整，内容有缺项，可行性较差，不能满足项目建设需求，赋1分； 未提供或服务方案完全脱离项目实际的不得分。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整体运营拟定方案—团队建设及培训考核方案</w:t>
            </w:r>
          </w:p>
        </w:tc>
        <w:tc>
          <w:tcPr>
            <w:tcW w:type="dxa" w:w="2492"/>
          </w:tcPr>
          <w:p>
            <w:pPr>
              <w:pStyle w:val="null3"/>
            </w:pPr>
            <w:r>
              <w:rPr>
                <w:rFonts w:ascii="仿宋_GB2312" w:hAnsi="仿宋_GB2312" w:cs="仿宋_GB2312" w:eastAsia="仿宋_GB2312"/>
              </w:rPr>
              <w:t>供应商根据服务内容及服务标准要求，组建团队，制定培训考核方案。 团队配备合理，培训考核方案完整、合理、可行性强、完全满足项目需求，赋15分； 团队配备合理，方案基本完整、合理、有一定的可行性、能满足项目基本要求，赋11分； 团队配备基本合理，方案不够完整、合理、可行性一般，但基本能满足项目要求，赋6分； 团队配备不合理，方案不完整，内容有缺项，可行性较差，不能满足项目建设需求，赋3分； 未提供或方案完全脱离项目实际的不得分。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整体运营拟定方案—项目创新及争取荣誉措施</w:t>
            </w:r>
          </w:p>
        </w:tc>
        <w:tc>
          <w:tcPr>
            <w:tcW w:type="dxa" w:w="2492"/>
          </w:tcPr>
          <w:p>
            <w:pPr>
              <w:pStyle w:val="null3"/>
            </w:pPr>
            <w:r>
              <w:rPr>
                <w:rFonts w:ascii="仿宋_GB2312" w:hAnsi="仿宋_GB2312" w:cs="仿宋_GB2312" w:eastAsia="仿宋_GB2312"/>
              </w:rPr>
              <w:t>供应商根据服务内容及服务标准要求，项目创新、争取荣誉的措施。 措施完整、合理、可行性强、完全满足项目需求，赋12分； 措施基本完整、合理、有一定的可行性、能满足项目基本要求，赋9分； 措施不够完整、合理、可行性一般，但基本能满足项目要求，赋4分； 措施单一，内容有缺项，可行性较差，不能满足项目建设需求，赋1分； 未提供或方案完全脱离项目实际的不得分。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整体运营拟定方案—安全、意识形态保障方案及突发事件处理方案</w:t>
            </w:r>
          </w:p>
        </w:tc>
        <w:tc>
          <w:tcPr>
            <w:tcW w:type="dxa" w:w="2492"/>
          </w:tcPr>
          <w:p>
            <w:pPr>
              <w:pStyle w:val="null3"/>
            </w:pPr>
            <w:r>
              <w:rPr>
                <w:rFonts w:ascii="仿宋_GB2312" w:hAnsi="仿宋_GB2312" w:cs="仿宋_GB2312" w:eastAsia="仿宋_GB2312"/>
              </w:rPr>
              <w:t>供应商根据运营情况及实际要求，有明确的安全、意识形态保障方案及突发事件处理方案（如火灾、断电、设备故障等等），在出现问题后有具体可行的补救措施，能够确保活动正常进行。 方案详尽具体，有针对性，可实施性强，赋10分； 方案完整，基本合理，具有一定的可实施性，赋6分； 方案不完整，合理性差，可实施性差，赋3分； 未提供或方案完全脱离项目实际的不得分。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整体运营拟定方案—服务承诺及合理化建议</w:t>
            </w:r>
          </w:p>
        </w:tc>
        <w:tc>
          <w:tcPr>
            <w:tcW w:type="dxa" w:w="2492"/>
          </w:tcPr>
          <w:p>
            <w:pPr>
              <w:pStyle w:val="null3"/>
            </w:pPr>
            <w:r>
              <w:rPr>
                <w:rFonts w:ascii="仿宋_GB2312" w:hAnsi="仿宋_GB2312" w:cs="仿宋_GB2312" w:eastAsia="仿宋_GB2312"/>
              </w:rPr>
              <w:t>供应商针对本项目的服务承诺（包含但不限于针对本项目的各项服务质量目标、保障措施及服务人员入场计划等内容）及其他合理化建议及意见进行评审： 承诺完善、合理、可实施性强，赋5分； 承诺简单，内容空泛，赋3分；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供应商概况.docx</w:t>
            </w:r>
          </w:p>
          <w:p>
            <w:pPr>
              <w:pStyle w:val="null3"/>
            </w:pPr>
            <w:r>
              <w:rPr>
                <w:rFonts w:ascii="仿宋_GB2312" w:hAnsi="仿宋_GB2312" w:cs="仿宋_GB2312" w:eastAsia="仿宋_GB2312"/>
              </w:rPr>
              <w:t>整体运营拟定方案.docx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具有2022年1月1日以来类似业绩（以合同复印件或中标通知书加盖公章为依据）。每提供一个业绩得1分，满分3分。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整体运营拟定方案.docx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详见附件：整体运营拟定方案.docx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