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版本号：SXLX25-02-023Z(F)（二次）20250429001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2025年残疾人家庭医生签约服务(二次)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SXLX25-02-023Z(F)（二次）</w:t>
      </w:r>
      <w:r>
        <w:br/>
      </w:r>
      <w:r>
        <w:br/>
      </w:r>
      <w:r>
        <w:br/>
      </w:r>
    </w:p>
    <w:p>
      <w:pPr>
        <w:pStyle w:val="null3"/>
        <w:jc w:val="center"/>
        <w:outlineLvl w:val="2"/>
      </w:pPr>
      <w:r>
        <w:rPr>
          <w:rFonts w:ascii="仿宋_GB2312" w:hAnsi="仿宋_GB2312" w:cs="仿宋_GB2312" w:eastAsia="仿宋_GB2312"/>
          <w:sz w:val="28"/>
          <w:b/>
        </w:rPr>
        <w:t>西安市碑林区残疾人联合会（本级）</w:t>
      </w:r>
    </w:p>
    <w:p>
      <w:pPr>
        <w:pStyle w:val="null3"/>
        <w:jc w:val="center"/>
        <w:outlineLvl w:val="2"/>
      </w:pPr>
      <w:r>
        <w:rPr>
          <w:rFonts w:ascii="仿宋_GB2312" w:hAnsi="仿宋_GB2312" w:cs="仿宋_GB2312" w:eastAsia="仿宋_GB2312"/>
          <w:sz w:val="28"/>
          <w:b/>
        </w:rPr>
        <w:t>陕西隆信项目管理有限公司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2025年04月29日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陕西隆信项目管理有限公司</w:t>
      </w:r>
      <w:r>
        <w:rPr>
          <w:rFonts w:ascii="仿宋_GB2312" w:hAnsi="仿宋_GB2312" w:cs="仿宋_GB2312" w:eastAsia="仿宋_GB2312"/>
        </w:rPr>
        <w:t>（以下简称“代理机构”）受</w:t>
      </w:r>
      <w:r>
        <w:rPr>
          <w:rFonts w:ascii="仿宋_GB2312" w:hAnsi="仿宋_GB2312" w:cs="仿宋_GB2312" w:eastAsia="仿宋_GB2312"/>
        </w:rPr>
        <w:t>西安市碑林区残疾人联合会（本级）</w:t>
      </w:r>
      <w:r>
        <w:rPr>
          <w:rFonts w:ascii="仿宋_GB2312" w:hAnsi="仿宋_GB2312" w:cs="仿宋_GB2312" w:eastAsia="仿宋_GB2312"/>
        </w:rPr>
        <w:t>委托，拟对</w:t>
      </w:r>
      <w:r>
        <w:rPr>
          <w:rFonts w:ascii="仿宋_GB2312" w:hAnsi="仿宋_GB2312" w:cs="仿宋_GB2312" w:eastAsia="仿宋_GB2312"/>
        </w:rPr>
        <w:t>2025年残疾人家庭医生签约服务(二次)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SXLX25-02-023Z(F)（二次）</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2025年残疾人家庭医生签约服务(二次)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通过家庭医生与残疾人签约，为他们提供相应的基本医疗服务、公共卫生服务、健康管理服务、基本康复服务及入户精准康复服务等，提高残疾人的生活、学习和工作质量。</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1、特定资格要求：供应商须具备《医疗机构执业许可证》。</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西安市碑林区残疾人联合会（本级）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西安市碑林区环城东路南段23号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刘晶</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029-83211910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陕西隆信项目管理有限公司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陕西省西安市雁塔区雁翔路111号赛格·中京坊6幢1单元2层10201室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王真、王小琼、任甜</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029-88489979-8208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西安市碑林区财政局政府采购管理科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杨志刚</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029-89625302</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采购代理服务费依据《国家计委关于印发招标代理服务收费管理暂行办法的通知》（计价格〔2002〕1980号）、国家发改委办公厅颁发的《关于招标代理服务收费有关问题的通知》（发改办价格〔2003〕857号），以及《国家发展改革委关于进一步放开建设项目专业服务价格的通知》（发改价格〔2015〕299号）规定，本项目采购代理服务费不足捌仟元按捌仟元收取，由成交人向采购代理机构支付，具体收费金额将在成交公告中公布。 注：此服务费应计入磋商报价中，但不需要单独开列。</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西安市碑林区残疾人联合会（本级）</w:t>
      </w:r>
      <w:r>
        <w:rPr>
          <w:rFonts w:ascii="仿宋_GB2312" w:hAnsi="仿宋_GB2312" w:cs="仿宋_GB2312" w:eastAsia="仿宋_GB2312"/>
        </w:rPr>
        <w:t>和</w:t>
      </w:r>
      <w:r>
        <w:rPr>
          <w:rFonts w:ascii="仿宋_GB2312" w:hAnsi="仿宋_GB2312" w:cs="仿宋_GB2312" w:eastAsia="仿宋_GB2312"/>
        </w:rPr>
        <w:t>陕西隆信项目管理有限公司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西安市碑林区残疾人联合会（本级）</w:t>
      </w:r>
      <w:r>
        <w:rPr>
          <w:rFonts w:ascii="仿宋_GB2312" w:hAnsi="仿宋_GB2312" w:cs="仿宋_GB2312" w:eastAsia="仿宋_GB2312"/>
        </w:rPr>
        <w:t>负责解释。除上述磋商文件内容，其他内容由</w:t>
      </w:r>
      <w:r>
        <w:rPr>
          <w:rFonts w:ascii="仿宋_GB2312" w:hAnsi="仿宋_GB2312" w:cs="仿宋_GB2312" w:eastAsia="仿宋_GB2312"/>
        </w:rPr>
        <w:t>陕西隆信项目管理有限公司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西安市碑林区残疾人联合会（本级）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陕西隆信项目管理有限公司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60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现行的国家标准或国家行政部门颁布的法律法规、规章制度等，是项目验收的重要依据，采购人有权根据有关规范、规定及项目要求对服务方进行检查或考核，服务方须无条件的接受采购人的各类考核或检查；若验收不通过或服务质量不符合采购要求，服务方应在一定期限以采购人要求的标准进行整改或进一步完善，并再次进行考核或检查，若服务方在接受检查整改后最终仍未按要求提供符合要求的服务，采购人有权按违约予以撤项，由此产生的一切责任和费用均由服务方承担。</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陕西隆信项目管理有限公司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陕西隆信项目管理有限公司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陕西隆信项目管理有限公司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联系人：王真、王小琼、任甜</w:t>
      </w:r>
    </w:p>
    <w:p>
      <w:pPr>
        <w:pStyle w:val="null3"/>
      </w:pPr>
      <w:r>
        <w:rPr>
          <w:rFonts w:ascii="仿宋_GB2312" w:hAnsi="仿宋_GB2312" w:cs="仿宋_GB2312" w:eastAsia="仿宋_GB2312"/>
        </w:rPr>
        <w:t>联系电话：029-88489979-8208</w:t>
      </w:r>
    </w:p>
    <w:p>
      <w:pPr>
        <w:pStyle w:val="null3"/>
      </w:pPr>
      <w:r>
        <w:rPr>
          <w:rFonts w:ascii="仿宋_GB2312" w:hAnsi="仿宋_GB2312" w:cs="仿宋_GB2312" w:eastAsia="仿宋_GB2312"/>
        </w:rPr>
        <w:t>地址：陕西省西安市雁塔区雁翔路111号赛格·中京坊6幢1单元2层10201室招标二部</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通过家庭医生与残疾人签约，为他们提供相应的基本医疗服务、公共卫生服务、健康管理服务、基本康复服务及入户精准康复服务等，提高残疾人的生活、学习和工作质量。</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300,000.00</w:t>
      </w:r>
    </w:p>
    <w:p>
      <w:pPr>
        <w:pStyle w:val="null3"/>
      </w:pPr>
      <w:r>
        <w:rPr>
          <w:rFonts w:ascii="仿宋_GB2312" w:hAnsi="仿宋_GB2312" w:cs="仿宋_GB2312" w:eastAsia="仿宋_GB2312"/>
        </w:rPr>
        <w:t>采购包最高限价（元）: 300,000.00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除精神残疾人之外的其他各类残疾人家庭医生签约服务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300,000.00</w:t>
            </w:r>
          </w:p>
        </w:tc>
        <w:tc>
          <w:tcPr>
            <w:tcW w:type="dxa" w:w="831"/>
          </w:tcPr>
          <w:p>
            <w:pPr>
              <w:pStyle w:val="null3"/>
            </w:pPr>
            <w:r>
              <w:rPr>
                <w:rFonts w:ascii="仿宋_GB2312" w:hAnsi="仿宋_GB2312" w:cs="仿宋_GB2312" w:eastAsia="仿宋_GB2312"/>
              </w:rPr>
              <w:t>年</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标的名称：除精神残疾人之外的其他各类残疾人家庭医生签约服务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一、项目概况</w:t>
            </w:r>
          </w:p>
          <w:p>
            <w:pPr>
              <w:pStyle w:val="null3"/>
              <w:ind w:firstLine="404"/>
              <w:jc w:val="left"/>
            </w:pPr>
            <w:r>
              <w:rPr>
                <w:rFonts w:ascii="仿宋_GB2312" w:hAnsi="仿宋_GB2312" w:cs="仿宋_GB2312" w:eastAsia="仿宋_GB2312"/>
                <w:sz w:val="20"/>
                <w:color w:val="000000"/>
              </w:rPr>
              <w:t>1.通过家庭医生与残疾人签约，为他们提供相应的基本医疗服务、公共卫生服务、健康管理服务、基本康复服务及入户精准康复服务等，提高残疾人的生活、学习和工作质量。</w:t>
            </w:r>
          </w:p>
          <w:p>
            <w:pPr>
              <w:pStyle w:val="null3"/>
              <w:ind w:firstLine="404"/>
              <w:jc w:val="left"/>
            </w:pPr>
            <w:r>
              <w:rPr>
                <w:rFonts w:ascii="仿宋_GB2312" w:hAnsi="仿宋_GB2312" w:cs="仿宋_GB2312" w:eastAsia="仿宋_GB2312"/>
                <w:sz w:val="20"/>
                <w:color w:val="000000"/>
              </w:rPr>
              <w:t>2.本采购包所属行业：其他未列明行业。（从业人员300人以下的为中小微型企业。其中，从业人员100人及以上的为中型企业；从业人员10人及以上的为小型企业；从业人员10人以下的为微型企业。）</w:t>
            </w:r>
          </w:p>
          <w:p>
            <w:pPr>
              <w:pStyle w:val="null3"/>
              <w:jc w:val="left"/>
            </w:pPr>
            <w:r>
              <w:rPr>
                <w:rFonts w:ascii="仿宋_GB2312" w:hAnsi="仿宋_GB2312" w:cs="仿宋_GB2312" w:eastAsia="仿宋_GB2312"/>
                <w:sz w:val="20"/>
                <w:color w:val="000000"/>
              </w:rPr>
              <w:t>二、总体要求</w:t>
            </w:r>
          </w:p>
          <w:p>
            <w:pPr>
              <w:pStyle w:val="null3"/>
              <w:ind w:firstLine="400"/>
              <w:jc w:val="left"/>
            </w:pPr>
            <w:r>
              <w:rPr>
                <w:rFonts w:ascii="仿宋_GB2312" w:hAnsi="仿宋_GB2312" w:cs="仿宋_GB2312" w:eastAsia="仿宋_GB2312"/>
                <w:sz w:val="20"/>
                <w:color w:val="000000"/>
              </w:rPr>
              <w:t>1.以满足残疾人医疗卫生服务和康复需求为导向，以碑林全区残疾人基本服务状况和需求专项调查统计数据为基础，依托康复服务专业力量，组建残疾人家庭医生签约服务团队。与残疾人签约，通过筛查评估，为有需求的各类残疾人提供</w:t>
            </w:r>
            <w:r>
              <w:rPr>
                <w:rFonts w:ascii="仿宋_GB2312" w:hAnsi="仿宋_GB2312" w:cs="仿宋_GB2312" w:eastAsia="仿宋_GB2312"/>
                <w:sz w:val="20"/>
                <w:color w:val="000000"/>
              </w:rPr>
              <w:t>精准康复服务。</w:t>
            </w:r>
          </w:p>
          <w:p>
            <w:pPr>
              <w:pStyle w:val="null3"/>
              <w:ind w:firstLine="400"/>
              <w:jc w:val="left"/>
            </w:pPr>
            <w:r>
              <w:rPr>
                <w:rFonts w:ascii="仿宋_GB2312" w:hAnsi="仿宋_GB2312" w:cs="仿宋_GB2312" w:eastAsia="仿宋_GB2312"/>
                <w:sz w:val="20"/>
                <w:color w:val="000000"/>
              </w:rPr>
              <w:t>2.采购的残疾人家庭医生签约服务机构，须接受采购人的业务管理，考评监督，并由采购人依据国家确定费用标准及考核办法进行量化考核。考核结果作为拨付经费的依据。</w:t>
            </w:r>
          </w:p>
          <w:p>
            <w:pPr>
              <w:pStyle w:val="null3"/>
              <w:jc w:val="left"/>
            </w:pPr>
            <w:r>
              <w:rPr>
                <w:rFonts w:ascii="仿宋_GB2312" w:hAnsi="仿宋_GB2312" w:cs="仿宋_GB2312" w:eastAsia="仿宋_GB2312"/>
                <w:sz w:val="20"/>
                <w:color w:val="000000"/>
              </w:rPr>
              <w:t>三、服务内容与要求</w:t>
            </w:r>
          </w:p>
          <w:p>
            <w:pPr>
              <w:pStyle w:val="null3"/>
              <w:jc w:val="center"/>
            </w:pPr>
            <w:r>
              <w:rPr>
                <w:rFonts w:ascii="仿宋_GB2312" w:hAnsi="仿宋_GB2312" w:cs="仿宋_GB2312" w:eastAsia="仿宋_GB2312"/>
                <w:sz w:val="20"/>
                <w:b/>
                <w:color w:val="000000"/>
              </w:rPr>
              <w:t>第一包：除精神残疾人之外的其他各类残疾人家庭医生签约服务</w:t>
            </w:r>
          </w:p>
          <w:p>
            <w:pPr>
              <w:pStyle w:val="null3"/>
              <w:ind w:firstLine="400"/>
              <w:jc w:val="both"/>
            </w:pPr>
            <w:r>
              <w:rPr>
                <w:rFonts w:ascii="仿宋_GB2312" w:hAnsi="仿宋_GB2312" w:cs="仿宋_GB2312" w:eastAsia="仿宋_GB2312"/>
                <w:sz w:val="20"/>
                <w:color w:val="000000"/>
              </w:rPr>
              <w:t>1.</w:t>
            </w:r>
            <w:r>
              <w:rPr>
                <w:rFonts w:ascii="仿宋_GB2312" w:hAnsi="仿宋_GB2312" w:cs="仿宋_GB2312" w:eastAsia="仿宋_GB2312"/>
                <w:sz w:val="20"/>
                <w:color w:val="000000"/>
              </w:rPr>
              <w:t>以重度残疾人和低保、低收入残疾人为重点，聚焦</w:t>
            </w:r>
            <w:r>
              <w:rPr>
                <w:rFonts w:ascii="仿宋_GB2312" w:hAnsi="仿宋_GB2312" w:cs="仿宋_GB2312" w:eastAsia="仿宋_GB2312"/>
                <w:sz w:val="20"/>
                <w:color w:val="000000"/>
              </w:rPr>
              <w:t>“三瘫一截”（脑瘫、偏瘫、截瘫和截肢）和重度残疾人，通过入户签约服务模式，筛查出有精准入户康复服务需求的残疾人。针对不同残疾类别，</w:t>
            </w:r>
            <w:r>
              <w:rPr>
                <w:rFonts w:ascii="仿宋_GB2312" w:hAnsi="仿宋_GB2312" w:cs="仿宋_GB2312" w:eastAsia="仿宋_GB2312"/>
                <w:sz w:val="20"/>
                <w:color w:val="000000"/>
              </w:rPr>
              <w:t>根据附件</w:t>
            </w:r>
            <w:r>
              <w:rPr>
                <w:rFonts w:ascii="仿宋_GB2312" w:hAnsi="仿宋_GB2312" w:cs="仿宋_GB2312" w:eastAsia="仿宋_GB2312"/>
                <w:sz w:val="20"/>
                <w:color w:val="000000"/>
              </w:rPr>
              <w:t>1</w:t>
            </w:r>
            <w:r>
              <w:rPr>
                <w:rFonts w:ascii="仿宋_GB2312" w:hAnsi="仿宋_GB2312" w:cs="仿宋_GB2312" w:eastAsia="仿宋_GB2312"/>
                <w:sz w:val="20"/>
                <w:color w:val="000000"/>
              </w:rPr>
              <w:t>自行</w:t>
            </w:r>
            <w:r>
              <w:rPr>
                <w:rFonts w:ascii="仿宋_GB2312" w:hAnsi="仿宋_GB2312" w:cs="仿宋_GB2312" w:eastAsia="仿宋_GB2312"/>
                <w:sz w:val="20"/>
                <w:color w:val="000000"/>
              </w:rPr>
              <w:t>完善</w:t>
            </w:r>
            <w:r>
              <w:rPr>
                <w:rFonts w:ascii="仿宋_GB2312" w:hAnsi="仿宋_GB2312" w:cs="仿宋_GB2312" w:eastAsia="仿宋_GB2312"/>
                <w:sz w:val="20"/>
                <w:color w:val="000000"/>
              </w:rPr>
              <w:t>“精准入户服务包”服务内容，并开展入户康复服务工作。每人每年至少完成3次“精准入户服务包”里的入户康复服务内容。每次入户服务不少于服务包里的3项内容，每次入户服务时间不少于1小时。每人每次固定80元工作经费。至少完成精准康复服务3750人次。入户服务残疾人名单经街道、残联盖章审核后方可提供入户服务，每次入户服务需提供电子版照片、入户服务记录表、精准康复服务表单及残疾人签字纸质版记录等以备甲方查验。最终根据实际服务人数结算费用。精准入户服务包固定费用：3750×80=300000元</w:t>
            </w:r>
            <w:r>
              <w:rPr>
                <w:rFonts w:ascii="仿宋_GB2312" w:hAnsi="仿宋_GB2312" w:cs="仿宋_GB2312" w:eastAsia="仿宋_GB2312"/>
                <w:sz w:val="20"/>
                <w:color w:val="000000"/>
              </w:rPr>
              <w:t>。</w:t>
            </w:r>
          </w:p>
          <w:p>
            <w:pPr>
              <w:pStyle w:val="null3"/>
              <w:ind w:firstLine="400"/>
              <w:jc w:val="left"/>
            </w:pPr>
            <w:r>
              <w:rPr>
                <w:rFonts w:ascii="仿宋_GB2312" w:hAnsi="仿宋_GB2312" w:cs="仿宋_GB2312" w:eastAsia="仿宋_GB2312"/>
                <w:sz w:val="20"/>
                <w:color w:val="000000"/>
              </w:rPr>
              <w:t>2.供应商须按以下要求完成“精准入户服务包”里的相关服务内容，并制定详细实施方案，包括但不限于组织签约服务团队、开展签约服务工作业务培训、如何与各街道进行对接，如何组织残疾人、如何开展服务、如何确保服务效果等内容。供应商须自拟“精准入户服务包”服务内容。</w:t>
            </w:r>
          </w:p>
          <w:p>
            <w:pPr>
              <w:pStyle w:val="null3"/>
              <w:ind w:firstLine="400"/>
              <w:jc w:val="left"/>
            </w:pPr>
            <w:r>
              <w:rPr>
                <w:rFonts w:ascii="仿宋_GB2312" w:hAnsi="仿宋_GB2312" w:cs="仿宋_GB2312" w:eastAsia="仿宋_GB2312"/>
                <w:sz w:val="20"/>
                <w:color w:val="000000"/>
              </w:rPr>
              <w:t>3.签约服务团队参照《陕西省残疾人精准康复家庭医生签约服务目录（试行）》，根据签约团队实际服务能力，提供与服务能力和水平相适应的服务项目；或为视力、听力、智力和肢体残疾人及残疾儿童少年提供上门访视、家庭护理、康复、用药、训练指导；提供康复知识宣传、适应性训练、辅助器具适配、支持性服务、康复转介等服务。</w:t>
            </w:r>
          </w:p>
          <w:p>
            <w:pPr>
              <w:pStyle w:val="null3"/>
              <w:ind w:firstLine="400"/>
              <w:jc w:val="left"/>
            </w:pPr>
            <w:r>
              <w:rPr>
                <w:rFonts w:ascii="仿宋_GB2312" w:hAnsi="仿宋_GB2312" w:cs="仿宋_GB2312" w:eastAsia="仿宋_GB2312"/>
                <w:sz w:val="22"/>
                <w:b/>
                <w:color w:val="000000"/>
              </w:rPr>
              <w:t>附件</w:t>
            </w:r>
            <w:r>
              <w:rPr>
                <w:rFonts w:ascii="仿宋_GB2312" w:hAnsi="仿宋_GB2312" w:cs="仿宋_GB2312" w:eastAsia="仿宋_GB2312"/>
                <w:sz w:val="22"/>
                <w:b/>
                <w:color w:val="000000"/>
              </w:rPr>
              <w:t>1</w:t>
            </w:r>
            <w:r>
              <w:rPr>
                <w:rFonts w:ascii="仿宋_GB2312" w:hAnsi="仿宋_GB2312" w:cs="仿宋_GB2312" w:eastAsia="仿宋_GB2312"/>
                <w:sz w:val="32"/>
                <w:b/>
                <w:color w:val="000000"/>
              </w:rPr>
              <w:t xml:space="preserve">         </w:t>
            </w:r>
            <w:r>
              <w:rPr>
                <w:rFonts w:ascii="仿宋_GB2312" w:hAnsi="仿宋_GB2312" w:cs="仿宋_GB2312" w:eastAsia="仿宋_GB2312"/>
                <w:sz w:val="32"/>
                <w:b/>
                <w:color w:val="000000"/>
              </w:rPr>
              <w:t>精准康复服务包</w:t>
            </w:r>
          </w:p>
          <w:tbl>
            <w:tblPr>
              <w:tblInd w:type="dxa" w:w="120"/>
              <w:tblBorders>
                <w:top w:val="none" w:color="000000" w:sz="4"/>
                <w:left w:val="none" w:color="000000" w:sz="4"/>
                <w:bottom w:val="none" w:color="000000" w:sz="4"/>
                <w:right w:val="none" w:color="000000" w:sz="4"/>
                <w:insideH w:val="none"/>
                <w:insideV w:val="none"/>
              </w:tblBorders>
            </w:tblPr>
            <w:tblGrid>
              <w:gridCol w:w="143"/>
              <w:gridCol w:w="536"/>
              <w:gridCol w:w="716"/>
              <w:gridCol w:w="475"/>
              <w:gridCol w:w="683"/>
            </w:tblGrid>
            <w:tr>
              <w:tc>
                <w:tcPr>
                  <w:tcW w:type="dxa" w:w="1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序号</w:t>
                  </w:r>
                </w:p>
              </w:tc>
              <w:tc>
                <w:tcPr>
                  <w:tcW w:type="dxa" w:w="53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项目名称</w:t>
                  </w:r>
                </w:p>
              </w:tc>
              <w:tc>
                <w:tcPr>
                  <w:tcW w:type="dxa" w:w="71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服务效果</w:t>
                  </w:r>
                </w:p>
              </w:tc>
              <w:tc>
                <w:tcPr>
                  <w:tcW w:type="dxa" w:w="47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服务时长</w:t>
                  </w:r>
                </w:p>
              </w:tc>
              <w:tc>
                <w:tcPr>
                  <w:tcW w:type="dxa" w:w="68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适合人群</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1</w:t>
                  </w:r>
                </w:p>
              </w:tc>
              <w:tc>
                <w:tcPr>
                  <w:tcW w:type="dxa" w:w="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6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2</w:t>
                  </w:r>
                </w:p>
              </w:tc>
              <w:tc>
                <w:tcPr>
                  <w:tcW w:type="dxa" w:w="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6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bl>
          <w:p>
            <w:pPr>
              <w:pStyle w:val="null3"/>
              <w:jc w:val="left"/>
            </w:pPr>
            <w:r>
              <w:rPr>
                <w:rFonts w:ascii="仿宋_GB2312" w:hAnsi="仿宋_GB2312" w:cs="仿宋_GB2312" w:eastAsia="仿宋_GB2312"/>
                <w:sz w:val="20"/>
                <w:color w:val="000000"/>
              </w:rPr>
              <w:t>4.供应商各轮次单人单次报价都应为80元/每人/每次。精准入户服务包各轮次总报价都应为300000元。</w:t>
            </w:r>
          </w:p>
          <w:p>
            <w:pPr>
              <w:pStyle w:val="null3"/>
              <w:ind w:firstLine="400"/>
              <w:jc w:val="left"/>
            </w:pPr>
            <w:r>
              <w:rPr>
                <w:rFonts w:ascii="仿宋_GB2312" w:hAnsi="仿宋_GB2312" w:cs="仿宋_GB2312" w:eastAsia="仿宋_GB2312"/>
                <w:sz w:val="20"/>
                <w:color w:val="000000"/>
              </w:rPr>
              <w:t>最终根据实际服务人数及次数据实结算费用，即结算费用</w:t>
            </w:r>
            <w:r>
              <w:rPr>
                <w:rFonts w:ascii="仿宋_GB2312" w:hAnsi="仿宋_GB2312" w:cs="仿宋_GB2312" w:eastAsia="仿宋_GB2312"/>
                <w:sz w:val="20"/>
                <w:color w:val="000000"/>
              </w:rPr>
              <w:t>=全年总服务人数×每人每年服务次数×单人单次报价。</w:t>
            </w:r>
          </w:p>
          <w:p>
            <w:pPr>
              <w:pStyle w:val="null3"/>
              <w:jc w:val="left"/>
            </w:pPr>
            <w:r>
              <w:rPr>
                <w:rFonts w:ascii="仿宋_GB2312" w:hAnsi="仿宋_GB2312" w:cs="仿宋_GB2312" w:eastAsia="仿宋_GB2312"/>
                <w:sz w:val="20"/>
                <w:color w:val="000000"/>
              </w:rPr>
              <w:t>四、商务要求</w:t>
            </w:r>
          </w:p>
          <w:p>
            <w:pPr>
              <w:pStyle w:val="null3"/>
              <w:jc w:val="left"/>
            </w:pPr>
            <w:r>
              <w:rPr>
                <w:rFonts w:ascii="仿宋_GB2312" w:hAnsi="仿宋_GB2312" w:cs="仿宋_GB2312" w:eastAsia="仿宋_GB2312"/>
                <w:sz w:val="20"/>
                <w:color w:val="000000"/>
              </w:rPr>
              <w:t>服务质量要求：符合现行的国家标准或国家行政部门颁布的法律法规、规章制度等及采购人考核要求。</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服务方按项目服务要求及特点，自行组织实施与管理，建立以负责人为核心的履行合同所必需人员团队，保证项目顺利实施。详见第六章磋商办法6.4.2评分标准中人员配置要求。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供应商须根据本项目服务特点及需求提供相关的服务器材、设备。服务器材、设备配置充分、科学、合理，保证项目顺利实施。</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自合同签订之日起至年末。</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现行的国家标准或国家行政部门颁布的法律法规、规章制度等，是项目验收的重要依据，采购人有权根据有关规范、规定及项目要求对服务方进行检查或考核，服务方须无条件的接受采购人的各类考核或检查；若验收不通过或服务质量不符合采购要求，服务方应在一定期限以采购人要求的标准进行整改或进一步完善，并再次进行考核或检查，若服务方在接受检查整改后最终仍未按要求提供符合要求的服务，采购人有权按违约予以撤项，由此产生的一切责任和费用均由服务方承担。</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最终根据实际服务人数及次数据实结算费用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剩余资金结项后一次性付清</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一、供应商的磋商报价是供应商响应磋商项目要求的全部工作内容的价格体现，包括供应商完成本项目所需的直接费、间接费、利润、税金及其它相关的一切费用；包括但不限于：人工费、服务费、仪器设备使用费、管理费、验收费、采购代理服务费、利润和税金等全部费用；在提供服务的过程中的任何遗漏，均由成交人免费提供，采购人将不再支付任何费用。 二、磋商有效期：1.出现特殊情况需要延长磋商有效期的，采购代理机构或采购人可于磋商有效期满之前，以书面形式通知所有供应商延长磋商有效期。2.在磋商有效期内，供应商撤销响应文件的，应承担磋商文件和法律规定的责任。3.成交人的磋商有效期自动延长至合同终止为止。 三、合格供应商少于3家的处理：1.评审过程中，若出现合格供应商只有2家时，符合《政府采购竞争性磋商采购方式管理暂行办法》第3条第4项情形的，或者本项目为政府购买服务指导性目录中的，可以继续进行；只有1家时，采购人应依法重新组织采购活动。2.评审过程中，除符合第1条条款规定情形外，若出现合格供应商少于3家时，采购人应依法重新组织采购活动。 四、分公司独立参与磋商时，不能使用总公司的资质或业绩；总公司单独参与磋商时，除总公司所投产品为分公司生产的产品外，不能使用分公司的资质或业绩。总公司授权分公司或分支机构参与磋商，可以使用总公司的资质或业绩。 五、恶意质疑、投诉的法律后果：1.对捏造事实、提供虚假材料进行质疑、投诉的行为将予以严肃处理： 《政府采购质疑和投诉办法》（财政部令第94号）规定，投诉人在全国范围内十二个月内三次以上投诉查无实据的，由财政部门列入不良行为记录名单。对于捏造事实、或提供虚假材料、或以非法手段取得证明材料（证据来源的合法性存在明显疑问，投诉人无法证明其取得方式合法的，视为以非法手段取得证明材料）进行投诉的，属于虚假、恶意投诉，由财政部门列入不良行为记录名单，并禁止其一至三年内参加政府采购活动。2.对捏造事实诬告陷害他人、诽谤他人的法律适用：（1）《中华人民共和国刑法》第243条【诬告陷害罪】捏造事实诬告陷害他人，意图使他人受到刑事追究，情节严重的，处三年以下有期徒刑、拘役或者管制；造成严重后果的，处三年以上十年以下有期徒刑。（2）《中华人民共和国刑法》第246条【侮辱罪、诽谤罪】以暴力或者其他方法公然侮辱他人或者捏造事实诽谤他人，情节严重的，处三年以下有期徒刑、拘役、管制或者剥夺政治权利。 六、参与本项目采购的供应商应通过陕西省政府采购综合管理平台的项目电子化交易系统在线实施响应、磋商、报价等操作，磋商响应时无需供应商现场提供纸质响应文件，但在中标（成交）后中标（成交）人在领取中标（成交）通知书时需提供纸质响应文件2套、U盘一份（需包括系统生成的全部已签章响应文件（PDF格式）用于备案，纸质响应文件应确保与项目电子化交易系统中的电子响应文件保持一致，不允许修改和补充。中标（成交）通知书领取地址：陕西省西安市雁塔区雁翔路111号赛格·中京坊6幢1单元2层10201室。</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供应商需在项目电子化交易系统中按要求填写《响应函》完成承诺并进行电子签章，并按采购文件中的附件“资格证明文件”格式要求提供相关证明资料。 具体要求： （1）供应商的营业执照等证明文件，自然人的身份证明；（2）法定代表人（单位负责人）参加磋商的，提供本人身份证复印件；法定代表人（单位负责人）授权他人参加磋商的，提供法定代表人（单位负责人）委托授权书并出示被授权代表的身份证复印件；（3）税收缴纳证明；（4）社会保障资金缴纳证明；（5）具备履行合同所必需的设备和专业技术能力的证明。（6）参加本次磋商前3年内，在经营活动中没有重大违法记录的书面声明；（7）供应商不得被列入“信用中国”网站（https://www.creditchina.gov.cn/）“失信被执行人”（页面跳转至“中国执行信息公开网”http://zxgk.court.gov.cn/shixin/）、“重大税收违法失信主体”；不得处于中国政府采购网（http://www.ccgp.gov.cn/)“政府采购严重违法失信行为记录名单”中的禁止参加政府采购活动期间（以评审现场查询结果为准）。 注：1、根据《中华人民共和国政府采购法》第二十三条规定，采购人应依法对供应商的资格进行审查。经采购人授权，资格审查工作可由资格审查小组完成。 2、资格审查小组，由经采购人授权的采购人代表和采购代理机构工作人员3人及以上单数组成，采购代理机构项目经理担任资格审查小组组长。 3、资格审查小组成立后，全体小组成员应当在签到表中签到。</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2023或2024年度经审计的财务会计报告，或其提交响应文件截止时间前3个月内银行出具的资信证明（附存款账户信息）。（以上形式的资料提供任何一种即可）。供应商需在项目电子化交易系统中按采购文件中的附件“资格证明文件”格式要求上传相关证明资料并进行电子签章。 具体要求： （1）供应商是企业法人的，应提供2023或2024年全年度经审计的财务报告，包括“四表一注”即《资产负债表》《利润表》《现金流量表》《所有者权益变动表》及其附注，或者提交响应文件截止时间前3个月内其基本账户开户银行出具的资信证明（附基本存款账户信息）； （2）执行《小企业会计准则》的小微企业的，应提供2023或2024年全年度经审计的财务报告，至少包括《资产负债表》《利润表》《现金流量表》及其附注，或者提交响应文件截止时间前3个月内其基本账户开户银行出具的资信证明（附基本存款账户信息）； （3）供应商是事业单位法人的，不需提供财务会计报告或资信证明； （4）部分其他组织和自然人，提供提交响应文件截止时间前3个月内银行出具的资信证明（附账户信息）； （5）供应商是民办非企业单位的，应提供2023或2024全年度经审计的财务报告，至少包括《资产负债表》《业务活动表》《现金流量表》及其附注，或者提交响应文件截止时间前3个月内银行出具的资信证明（附基本存款账户信息）； （6）供应商成立不到1年（至提交响应文件截止时间）的，提供成立后任意时段的资产负债表，或提交响应文件截止时间前3个月内其基本账户开户银行出具的资信证明（附基本存款账户信息）。 注：1.财务报告不齐全的为不合格；2.法人性质的资信证明未由基本开户银行出具，或未在规定时间内开具的，视为不合格。</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 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特定资格要求</w:t>
            </w:r>
          </w:p>
        </w:tc>
        <w:tc>
          <w:tcPr>
            <w:tcW w:type="dxa" w:w="3322"/>
          </w:tcPr>
          <w:p>
            <w:pPr>
              <w:pStyle w:val="null3"/>
            </w:pPr>
            <w:r>
              <w:rPr>
                <w:rFonts w:ascii="仿宋_GB2312" w:hAnsi="仿宋_GB2312" w:cs="仿宋_GB2312" w:eastAsia="仿宋_GB2312"/>
              </w:rPr>
              <w:t>供应商须具备《医疗机构执业许可证》。</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商务技术文件.docx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符合采购文件中有关签署、盖章要求 （注：不得因个别遗漏或瑕疵等签署或盖章问题限制和影响供应商响应）</w:t>
            </w:r>
          </w:p>
        </w:tc>
        <w:tc>
          <w:tcPr>
            <w:tcW w:type="dxa" w:w="1661"/>
          </w:tcPr>
          <w:p>
            <w:pPr>
              <w:pStyle w:val="null3"/>
            </w:pPr>
            <w:r>
              <w:rPr>
                <w:rFonts w:ascii="仿宋_GB2312" w:hAnsi="仿宋_GB2312" w:cs="仿宋_GB2312" w:eastAsia="仿宋_GB2312"/>
              </w:rPr>
              <w:t>响应文件封面 商务技术文件.docx 中小企业声明函 残疾人福利性单位声明函 标的清单 报价表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响应文件格式</w:t>
            </w:r>
          </w:p>
        </w:tc>
        <w:tc>
          <w:tcPr>
            <w:tcW w:type="dxa" w:w="3322"/>
          </w:tcPr>
          <w:p>
            <w:pPr>
              <w:pStyle w:val="null3"/>
            </w:pPr>
            <w:r>
              <w:rPr>
                <w:rFonts w:ascii="仿宋_GB2312" w:hAnsi="仿宋_GB2312" w:cs="仿宋_GB2312" w:eastAsia="仿宋_GB2312"/>
              </w:rPr>
              <w:t>符合“响应文件格式”要求。 （注：不得因文件排序、页码、名称统一等非实质性的格式、形式问题限制和影响供应商响应）</w:t>
            </w:r>
          </w:p>
        </w:tc>
        <w:tc>
          <w:tcPr>
            <w:tcW w:type="dxa" w:w="1661"/>
          </w:tcPr>
          <w:p>
            <w:pPr>
              <w:pStyle w:val="null3"/>
            </w:pPr>
            <w:r>
              <w:rPr>
                <w:rFonts w:ascii="仿宋_GB2312" w:hAnsi="仿宋_GB2312" w:cs="仿宋_GB2312" w:eastAsia="仿宋_GB2312"/>
              </w:rPr>
              <w:t>响应文件封面 中小企业声明函 残疾人福利性单位声明函 商务技术文件.docx 标的清单 报价表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只能有一个有效报价，不得提交选择性报价，且报价须符合采购文件要求。</w:t>
            </w:r>
          </w:p>
        </w:tc>
        <w:tc>
          <w:tcPr>
            <w:tcW w:type="dxa" w:w="1661"/>
          </w:tcPr>
          <w:p>
            <w:pPr>
              <w:pStyle w:val="null3"/>
            </w:pPr>
            <w:r>
              <w:rPr>
                <w:rFonts w:ascii="仿宋_GB2312" w:hAnsi="仿宋_GB2312" w:cs="仿宋_GB2312" w:eastAsia="仿宋_GB2312"/>
              </w:rPr>
              <w:t>商务技术文件.docx 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不存在恶意串通的情形</w:t>
            </w:r>
          </w:p>
        </w:tc>
        <w:tc>
          <w:tcPr>
            <w:tcW w:type="dxa" w:w="3322"/>
          </w:tcPr>
          <w:p>
            <w:pPr>
              <w:pStyle w:val="null3"/>
            </w:pPr>
            <w:r>
              <w:rPr>
                <w:rFonts w:ascii="仿宋_GB2312" w:hAnsi="仿宋_GB2312" w:cs="仿宋_GB2312" w:eastAsia="仿宋_GB2312"/>
              </w:rPr>
              <w:t>不存在以下情形：（1）不同供应商的响应文件由同一单位或者个人编制；（2）不同供应商委托同一单位或者个人办理磋商事宜；（3）不同供应商的响应文件载明的项目管理成员或者联系人员为同一人；（4）不同供应商的响应文件异常一致或者响应报价呈规律性差异。</w:t>
            </w:r>
          </w:p>
        </w:tc>
        <w:tc>
          <w:tcPr>
            <w:tcW w:type="dxa" w:w="1661"/>
          </w:tcPr>
          <w:p>
            <w:pPr>
              <w:pStyle w:val="null3"/>
            </w:pPr>
            <w:r>
              <w:rPr>
                <w:rFonts w:ascii="仿宋_GB2312" w:hAnsi="仿宋_GB2312" w:cs="仿宋_GB2312" w:eastAsia="仿宋_GB2312"/>
              </w:rPr>
              <w:t>商务技术文件.docx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服务期限、服务地点</w:t>
            </w:r>
          </w:p>
        </w:tc>
        <w:tc>
          <w:tcPr>
            <w:tcW w:type="dxa" w:w="3322"/>
          </w:tcPr>
          <w:p>
            <w:pPr>
              <w:pStyle w:val="null3"/>
            </w:pPr>
            <w:r>
              <w:rPr>
                <w:rFonts w:ascii="仿宋_GB2312" w:hAnsi="仿宋_GB2312" w:cs="仿宋_GB2312" w:eastAsia="仿宋_GB2312"/>
              </w:rPr>
              <w:t>符合磋商文件中的规定</w:t>
            </w:r>
          </w:p>
        </w:tc>
        <w:tc>
          <w:tcPr>
            <w:tcW w:type="dxa" w:w="1661"/>
          </w:tcPr>
          <w:p>
            <w:pPr>
              <w:pStyle w:val="null3"/>
            </w:pPr>
            <w:r>
              <w:rPr>
                <w:rFonts w:ascii="仿宋_GB2312" w:hAnsi="仿宋_GB2312" w:cs="仿宋_GB2312" w:eastAsia="仿宋_GB2312"/>
              </w:rPr>
              <w:t>商务技术文件.docx 标的清单 报价表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符合磋商文件中规定的有效期限</w:t>
            </w:r>
          </w:p>
        </w:tc>
        <w:tc>
          <w:tcPr>
            <w:tcW w:type="dxa" w:w="1661"/>
          </w:tcPr>
          <w:p>
            <w:pPr>
              <w:pStyle w:val="null3"/>
            </w:pPr>
            <w:r>
              <w:rPr>
                <w:rFonts w:ascii="仿宋_GB2312" w:hAnsi="仿宋_GB2312" w:cs="仿宋_GB2312" w:eastAsia="仿宋_GB2312"/>
              </w:rPr>
              <w:t>商务技术文件.docx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详细评审100.00分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开展签约服务工作业务培训</w:t>
            </w:r>
          </w:p>
        </w:tc>
        <w:tc>
          <w:tcPr>
            <w:tcW w:type="dxa" w:w="2492"/>
          </w:tcPr>
          <w:p>
            <w:pPr>
              <w:pStyle w:val="null3"/>
            </w:pPr>
            <w:r>
              <w:rPr>
                <w:rFonts w:ascii="仿宋_GB2312" w:hAnsi="仿宋_GB2312" w:cs="仿宋_GB2312" w:eastAsia="仿宋_GB2312"/>
              </w:rPr>
              <w:t>一、评审内容 供应商须根据本项目服务特点及需求组织开展签约服务工作业务培训。内容包含：①培训目的②培训对象③培训内容④培训方法。 二、评审标准 1.完整性：内容全面，对评审内容中的各项要求有详细描述； 2.可实施性：切合本项目实际情况，培训方案清晰、合理； 3.针对性：能够紧扣本项目实际情况，内容科学合理。 三、赋分依据（满分12分） ①培训目的：每完全满足一个评审标准得1分，满分3分；不满足评审标准或未提供计0分； ②培训对象：每完全满足一个评审标准得1分，满分3分；不满足评审标准或未提供计0分； ③培训内容：每完全满足一个评审标准得1分，满分3分；不满足评审标准或未提供计0分； ④培训方法：每完全满足一个评审标准得1分，满分3分；不满足评审标准或未提供计0分。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与各街道进行对接</w:t>
            </w:r>
          </w:p>
        </w:tc>
        <w:tc>
          <w:tcPr>
            <w:tcW w:type="dxa" w:w="2492"/>
          </w:tcPr>
          <w:p>
            <w:pPr>
              <w:pStyle w:val="null3"/>
            </w:pPr>
            <w:r>
              <w:rPr>
                <w:rFonts w:ascii="仿宋_GB2312" w:hAnsi="仿宋_GB2312" w:cs="仿宋_GB2312" w:eastAsia="仿宋_GB2312"/>
              </w:rPr>
              <w:t>一、评审内容 供应商须根据本项目服务特点及需求制定与各街道进行对接实施方案。内容包含：①对接目的②对接人员安排③对接内容及流程。 二、评审标准 1.完整性：内容全面，对评审内容中的各项要求有详细描述； 2.可实施性：切合本项目实际情况，方案清晰、合理； 3.针对性：能够紧扣本项目实际情况，内容科学合理。 三、赋分依据（满分9分） ①对接目的：每完全满足一个评审标准得1分，满分3分；不满足评审标准或未提供计0分； ②对接人员安排：每完全满足一个评审标准得1分，满分3分；不满足评审标准或未提供计0分； ③对接内容及流程：每完全满足一个评审标准得1分，满分3分；不满足评审标准或未提供计0分。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服务对象档案管理等规章 制度</w:t>
            </w:r>
          </w:p>
        </w:tc>
        <w:tc>
          <w:tcPr>
            <w:tcW w:type="dxa" w:w="2492"/>
          </w:tcPr>
          <w:p>
            <w:pPr>
              <w:pStyle w:val="null3"/>
            </w:pPr>
            <w:r>
              <w:rPr>
                <w:rFonts w:ascii="仿宋_GB2312" w:hAnsi="仿宋_GB2312" w:cs="仿宋_GB2312" w:eastAsia="仿宋_GB2312"/>
              </w:rPr>
              <w:t>一、评审内容 供应商须根据本项目服务特点及需求提供服务对象档案管理等规章制度。内容包含：①服务对象信息档案②服务内容与标准档案③服务成果管理档案④服务费用结算档案。 二、评审标准 1.完整性：内容全面，对评审内容中的各项要求有详细描述； 2.可实施性：切合本项目实际情况，方案清晰、合理； 3.针对性：能够紧扣本项目实际情况，内容科学合理。 三、赋分依据（满分12分） ①服务对象信息档案：每完全满足一个评审标准得1分，满分3分；不满足评审标准或未提供计0分； ②服务内容与标准档案：每完全满足一个评审标准得1分，满分3分；不满足评审标准或未提供计0分； ③服务成果管理档案：每完全满足一个评审标准得1分，满分3分；不满足评审标准或未提供计0分； ④服务费用结算档案：每完全满足一个评审标准得1分，满分3分；不满足评审标准或未提供计0分。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服务质量保障措施</w:t>
            </w:r>
          </w:p>
        </w:tc>
        <w:tc>
          <w:tcPr>
            <w:tcW w:type="dxa" w:w="2492"/>
          </w:tcPr>
          <w:p>
            <w:pPr>
              <w:pStyle w:val="null3"/>
            </w:pPr>
            <w:r>
              <w:rPr>
                <w:rFonts w:ascii="仿宋_GB2312" w:hAnsi="仿宋_GB2312" w:cs="仿宋_GB2312" w:eastAsia="仿宋_GB2312"/>
              </w:rPr>
              <w:t>一、评审内容 供应商服务内容须满足本项目服务需求，并提供服务质量保障措施。内容包含：①加强组织领导②严格项目管理③规范服务标准④开展绩效评估。 二、评审标准 1.完整性：内容全面，对评审内容中的各项要求有详细描述； 2.可实施性：切合本项目实际情况，方案清晰、合理； 3.针对性：能够紧扣本项目实际情况，内容科学合理。 三、赋分依据（满分12分） ①加强组织领导：每完全满足一个评审标准得1分，满分3分；不满足评审标准或未提供计0分； ②严格项目管理：每完全满足一个评审标准得1分，满分3分；不满足评审标准或未提供计0分； ③规范服务标准：每完全满足一个评审标准得1分，满分3分；不满足评审标准或未提供计0分； ④开展绩效评估：每完全满足一个评审标准得1分，满分3分；不满足评审标准或未提供计0分。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突发应急处理方案</w:t>
            </w:r>
          </w:p>
        </w:tc>
        <w:tc>
          <w:tcPr>
            <w:tcW w:type="dxa" w:w="2492"/>
          </w:tcPr>
          <w:p>
            <w:pPr>
              <w:pStyle w:val="null3"/>
            </w:pPr>
            <w:r>
              <w:rPr>
                <w:rFonts w:ascii="仿宋_GB2312" w:hAnsi="仿宋_GB2312" w:cs="仿宋_GB2312" w:eastAsia="仿宋_GB2312"/>
              </w:rPr>
              <w:t>一、评审内容 由于服务对象的特殊性，供应商针对在服务过程中服务对象身体健康出现突发应急事件，应具有健全应急预案。内容包含：①应急预案目标②应急预案适用范围③应急响应程序④应急组织机构及职责。 二、评审标准 1.完整性：内容全面，对评审内容中的各项要求有详细描述； 2.可实施性：切合本项目实际情况，方案清晰、合理； 3.针对性：能够紧扣本项目实际情况，内容科学合理。 三、赋分依据（满分12分） ①应急预案目标：每完全满足一个评审标准得1分，满分3分；不满足评审标准或未提供计0分； ②应急预案适用范围：每完全满足一个评审标准得1分，满分3分；不满足评审标准或未提供计0分； ③应急响应程序：每完全满足一个评审标准得1分，满分3分；不满足评审标准或未提供计0分； ④应急组织机构及职责：每完全满足一个评审标准得1分，满分3分；不满足评审标准或未提供计0分。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人员配备01</w:t>
            </w:r>
          </w:p>
        </w:tc>
        <w:tc>
          <w:tcPr>
            <w:tcW w:type="dxa" w:w="2492"/>
          </w:tcPr>
          <w:p>
            <w:pPr>
              <w:pStyle w:val="null3"/>
            </w:pPr>
            <w:r>
              <w:rPr>
                <w:rFonts w:ascii="仿宋_GB2312" w:hAnsi="仿宋_GB2312" w:cs="仿宋_GB2312" w:eastAsia="仿宋_GB2312"/>
              </w:rPr>
              <w:t>一、评审内容 供应商拟派本项目人员。内容包含：①人员组织架构②人员分工安排③人员岗位设置情况。 二、评审标准 1.完整性：内容全面，对评审内容中的各项要求有详细描述； 2.可实施性：切合本项目实际情况，方案清晰、合理； 3.针对性：能够紧扣本项目实际情况，内容科学合理。 三、赋分依据（满分9分） ①人员组织架构：每完全满足一个评审标准得1分，满分3分；不满足评审标准或未提供计0分； ②人员分工安排：每完全满足一个评审标准得1分，满分3分；不满足评审标准或未提供计0分； ③人员岗位设置情况：每完全满足一个评审标准得1分，满分3分；不满足评审标准或未提供计0分。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人员配备02</w:t>
            </w:r>
          </w:p>
        </w:tc>
        <w:tc>
          <w:tcPr>
            <w:tcW w:type="dxa" w:w="2492"/>
          </w:tcPr>
          <w:p>
            <w:pPr>
              <w:pStyle w:val="null3"/>
            </w:pPr>
            <w:r>
              <w:rPr>
                <w:rFonts w:ascii="仿宋_GB2312" w:hAnsi="仿宋_GB2312" w:cs="仿宋_GB2312" w:eastAsia="仿宋_GB2312"/>
              </w:rPr>
              <w:t>针对本项目提供的专业技术人员需至少配备：①医生：1名及以上自有或顾问医生（医生须具备康复治疗类专业，提供相关执业证书，顾问医生须提供顾问协议），②康复治疗师：1名及以上的康复治疗师；③专业护理人员：1名及以上的专业护理人员（持有康复治疗技术，或护理资格证书）。 注：（1）满足以上所有内容得6分，不满足得0分。（2）每增加1名（医生或康复治疗师或专业护理人员）加2分，最高加6分。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服务器材、设备配备情况</w:t>
            </w:r>
          </w:p>
        </w:tc>
        <w:tc>
          <w:tcPr>
            <w:tcW w:type="dxa" w:w="2492"/>
          </w:tcPr>
          <w:p>
            <w:pPr>
              <w:pStyle w:val="null3"/>
            </w:pPr>
            <w:r>
              <w:rPr>
                <w:rFonts w:ascii="仿宋_GB2312" w:hAnsi="仿宋_GB2312" w:cs="仿宋_GB2312" w:eastAsia="仿宋_GB2312"/>
              </w:rPr>
              <w:t>供应商须根据本项目服务特点及需求提供相关的服务器材、设备。服务器材、设备配置充分、科学、合理计10分；服务器材、设备配置基本充分、基本科学、合理计8分；服务器材、设备配置不够充分、不够科学、合理计4分；未提供或提供的内容完全脱离本项目实际计0分。 注：评审因素中“充分、科学、合理”是指内容不缺项、完整、不缺少关键点，专门针对本项目或适用本项目特性、未套用其他项目内容；对同一问题前后表述一致且不存在逻辑漏洞、科学原理或常识错误。</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根据供应商对本项目理解程度提出有利于采购人或项目实施的合理化建议。合理化建议全面具体、针对性强、科学可行的得6分；合理化建议较为具体、针对性较好、细节有待完善、基本可行的得4分；合理化建议不全面、内容笼统、针对性差的得2分；未提供或完全脱离项目实际得0分。 注：评审因素中“充分、科学、合理”是指内容不缺项、完整、不缺少关键点，专门针对本项目或适用本项目特性、未套用其他项目内容；对同一问题前后表述一致且不存在逻辑漏洞、科学原理或常识错误。</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提供供应商2021年1月1日（以合同签订时间为准）至今同类项目业绩合同，每份得2分，满分6分。（提供合同复印件并加盖公章）</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商务技术文件.docx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详见附件：商务技术文件.docx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