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B2F7D">
      <w:pPr>
        <w:pStyle w:val="6"/>
        <w:jc w:val="center"/>
        <w:outlineLvl w:val="1"/>
      </w:pPr>
      <w:r>
        <w:rPr>
          <w:b/>
          <w:sz w:val="36"/>
        </w:rPr>
        <w:t>拟签订采购合同文本</w:t>
      </w:r>
    </w:p>
    <w:p w14:paraId="45A864EC">
      <w:pPr>
        <w:spacing w:line="249" w:lineRule="auto"/>
        <w:rPr>
          <w:rFonts w:ascii="Arial"/>
          <w:sz w:val="21"/>
        </w:rPr>
      </w:pPr>
      <w:r>
        <w:t xml:space="preserve"> </w:t>
      </w:r>
    </w:p>
    <w:p w14:paraId="6798A1B3">
      <w:pPr>
        <w:spacing w:line="249" w:lineRule="auto"/>
        <w:rPr>
          <w:rFonts w:ascii="Arial"/>
          <w:sz w:val="21"/>
        </w:rPr>
      </w:pPr>
    </w:p>
    <w:p w14:paraId="3E3E354A">
      <w:pPr>
        <w:spacing w:line="249" w:lineRule="auto"/>
        <w:rPr>
          <w:rFonts w:ascii="Arial"/>
          <w:sz w:val="21"/>
        </w:rPr>
      </w:pPr>
    </w:p>
    <w:p w14:paraId="2D05D98B">
      <w:pPr>
        <w:spacing w:line="249" w:lineRule="auto"/>
        <w:rPr>
          <w:rFonts w:ascii="Arial"/>
          <w:sz w:val="21"/>
        </w:rPr>
      </w:pPr>
    </w:p>
    <w:p w14:paraId="7A265BAE">
      <w:pPr>
        <w:spacing w:line="249" w:lineRule="auto"/>
        <w:rPr>
          <w:rFonts w:ascii="Arial"/>
          <w:sz w:val="21"/>
        </w:rPr>
      </w:pPr>
    </w:p>
    <w:p w14:paraId="683F886B">
      <w:pPr>
        <w:spacing w:line="249" w:lineRule="auto"/>
        <w:rPr>
          <w:rFonts w:ascii="Arial"/>
          <w:sz w:val="21"/>
        </w:rPr>
      </w:pPr>
    </w:p>
    <w:p w14:paraId="7472960C">
      <w:pPr>
        <w:spacing w:line="249" w:lineRule="auto"/>
        <w:rPr>
          <w:rFonts w:ascii="Arial"/>
          <w:sz w:val="21"/>
        </w:rPr>
      </w:pPr>
    </w:p>
    <w:p w14:paraId="2D55AA3A">
      <w:pPr>
        <w:spacing w:line="249" w:lineRule="auto"/>
        <w:rPr>
          <w:rFonts w:ascii="Arial"/>
          <w:sz w:val="21"/>
        </w:rPr>
      </w:pPr>
    </w:p>
    <w:p w14:paraId="3E3AE913">
      <w:pPr>
        <w:spacing w:line="249" w:lineRule="auto"/>
        <w:rPr>
          <w:rFonts w:ascii="Arial"/>
          <w:sz w:val="21"/>
        </w:rPr>
      </w:pPr>
    </w:p>
    <w:p w14:paraId="2D184298">
      <w:pPr>
        <w:pStyle w:val="2"/>
        <w:keepNext w:val="0"/>
        <w:keepLines w:val="0"/>
        <w:pageBreakBefore w:val="0"/>
        <w:widowControl w:val="0"/>
        <w:kinsoku/>
        <w:wordWrap/>
        <w:overflowPunct/>
        <w:topLinePunct w:val="0"/>
        <w:autoSpaceDE/>
        <w:autoSpaceDN/>
        <w:bidi w:val="0"/>
        <w:adjustRightInd/>
        <w:snapToGrid/>
        <w:spacing w:before="268" w:line="226" w:lineRule="auto"/>
        <w:ind w:left="0"/>
        <w:jc w:val="center"/>
        <w:textAlignment w:val="auto"/>
        <w:rPr>
          <w:sz w:val="40"/>
          <w:szCs w:val="40"/>
          <w:u w:val="none" w:color="auto"/>
        </w:rPr>
      </w:pPr>
      <w:bookmarkStart w:id="0" w:name="bookmark95"/>
      <w:bookmarkEnd w:id="0"/>
      <w:bookmarkStart w:id="1" w:name="bookmark96"/>
      <w:bookmarkEnd w:id="1"/>
      <w:bookmarkStart w:id="2" w:name="bookmark94"/>
      <w:bookmarkEnd w:id="2"/>
      <w:r>
        <w:rPr>
          <w:rFonts w:hint="eastAsia"/>
          <w:b/>
          <w:bCs/>
          <w:spacing w:val="2"/>
          <w:sz w:val="40"/>
          <w:szCs w:val="40"/>
          <w:u w:val="none" w:color="auto"/>
          <w:lang w:eastAsia="zh-CN"/>
        </w:rPr>
        <w:t>2025年食品安全监督抽检（</w:t>
      </w:r>
      <w:r>
        <w:rPr>
          <w:rFonts w:hint="eastAsia"/>
          <w:b/>
          <w:bCs/>
          <w:spacing w:val="2"/>
          <w:sz w:val="40"/>
          <w:szCs w:val="40"/>
          <w:u w:val="none" w:color="auto"/>
          <w:lang w:val="en-US" w:eastAsia="zh-CN"/>
        </w:rPr>
        <w:t>二次</w:t>
      </w:r>
      <w:r>
        <w:rPr>
          <w:rFonts w:hint="eastAsia"/>
          <w:b/>
          <w:bCs/>
          <w:spacing w:val="2"/>
          <w:sz w:val="40"/>
          <w:szCs w:val="40"/>
          <w:u w:val="none" w:color="auto"/>
          <w:lang w:eastAsia="zh-CN"/>
        </w:rPr>
        <w:t>）</w:t>
      </w:r>
    </w:p>
    <w:p w14:paraId="565D6146">
      <w:pPr>
        <w:spacing w:line="249" w:lineRule="auto"/>
        <w:jc w:val="center"/>
        <w:rPr>
          <w:rFonts w:hint="eastAsia" w:ascii="Arial"/>
          <w:sz w:val="24"/>
          <w:szCs w:val="32"/>
          <w:u w:val="none"/>
          <w:lang w:val="en-US" w:eastAsia="zh-CN"/>
        </w:rPr>
      </w:pPr>
    </w:p>
    <w:p w14:paraId="79F84631">
      <w:pPr>
        <w:spacing w:line="249" w:lineRule="auto"/>
        <w:jc w:val="center"/>
        <w:rPr>
          <w:rFonts w:ascii="Arial"/>
          <w:sz w:val="21"/>
        </w:rPr>
      </w:pPr>
      <w:r>
        <w:rPr>
          <w:rFonts w:hint="eastAsia" w:ascii="Arial"/>
          <w:b/>
          <w:bCs/>
          <w:sz w:val="40"/>
          <w:szCs w:val="48"/>
          <w:u w:val="none"/>
          <w:lang w:val="en-US" w:eastAsia="zh-CN"/>
        </w:rPr>
        <w:t>（</w:t>
      </w:r>
      <w:r>
        <w:rPr>
          <w:rFonts w:hint="eastAsia" w:ascii="Arial"/>
          <w:b/>
          <w:bCs/>
          <w:sz w:val="40"/>
          <w:szCs w:val="48"/>
          <w:u w:val="single"/>
          <w:lang w:val="en-US" w:eastAsia="zh-CN"/>
        </w:rPr>
        <w:t xml:space="preserve">     </w:t>
      </w:r>
      <w:r>
        <w:rPr>
          <w:rFonts w:hint="eastAsia" w:ascii="Arial"/>
          <w:b/>
          <w:bCs/>
          <w:sz w:val="40"/>
          <w:szCs w:val="48"/>
          <w:lang w:val="en-US" w:eastAsia="zh-CN"/>
        </w:rPr>
        <w:t>包）</w:t>
      </w:r>
    </w:p>
    <w:p w14:paraId="2FDC5733">
      <w:pPr>
        <w:spacing w:line="249" w:lineRule="auto"/>
        <w:rPr>
          <w:rFonts w:ascii="Arial"/>
          <w:sz w:val="21"/>
        </w:rPr>
      </w:pPr>
    </w:p>
    <w:p w14:paraId="36F43F25">
      <w:pPr>
        <w:spacing w:line="249" w:lineRule="auto"/>
        <w:rPr>
          <w:rFonts w:ascii="Arial"/>
          <w:sz w:val="21"/>
        </w:rPr>
      </w:pPr>
    </w:p>
    <w:p w14:paraId="6CDCF25B">
      <w:pPr>
        <w:spacing w:line="249" w:lineRule="auto"/>
        <w:rPr>
          <w:rFonts w:ascii="Arial"/>
          <w:sz w:val="21"/>
        </w:rPr>
      </w:pPr>
    </w:p>
    <w:p w14:paraId="4899BC34">
      <w:pPr>
        <w:spacing w:line="249" w:lineRule="auto"/>
        <w:rPr>
          <w:rFonts w:ascii="Arial"/>
          <w:sz w:val="21"/>
        </w:rPr>
      </w:pPr>
    </w:p>
    <w:p w14:paraId="0FADD383">
      <w:pPr>
        <w:spacing w:line="249" w:lineRule="auto"/>
        <w:rPr>
          <w:rFonts w:ascii="Arial"/>
          <w:sz w:val="21"/>
        </w:rPr>
      </w:pPr>
    </w:p>
    <w:p w14:paraId="4E2BBFC8">
      <w:pPr>
        <w:spacing w:line="249" w:lineRule="auto"/>
        <w:rPr>
          <w:rFonts w:ascii="Arial"/>
          <w:sz w:val="21"/>
        </w:rPr>
      </w:pPr>
    </w:p>
    <w:p w14:paraId="4BBD78D1">
      <w:pPr>
        <w:spacing w:line="249" w:lineRule="auto"/>
        <w:rPr>
          <w:rFonts w:ascii="Arial"/>
          <w:sz w:val="21"/>
        </w:rPr>
      </w:pPr>
    </w:p>
    <w:p w14:paraId="54D53F8B">
      <w:pPr>
        <w:spacing w:line="249" w:lineRule="auto"/>
        <w:rPr>
          <w:rFonts w:ascii="Arial"/>
          <w:sz w:val="21"/>
        </w:rPr>
      </w:pPr>
    </w:p>
    <w:p w14:paraId="51ED0C6E">
      <w:pPr>
        <w:spacing w:line="249" w:lineRule="auto"/>
        <w:rPr>
          <w:rFonts w:ascii="Arial"/>
          <w:sz w:val="21"/>
        </w:rPr>
      </w:pPr>
    </w:p>
    <w:p w14:paraId="520D4983">
      <w:pPr>
        <w:spacing w:line="249" w:lineRule="auto"/>
        <w:rPr>
          <w:rFonts w:ascii="Arial"/>
          <w:sz w:val="21"/>
        </w:rPr>
      </w:pPr>
    </w:p>
    <w:p w14:paraId="0D0BAE2C">
      <w:pPr>
        <w:spacing w:line="249" w:lineRule="auto"/>
        <w:rPr>
          <w:rFonts w:ascii="Arial"/>
          <w:sz w:val="21"/>
        </w:rPr>
      </w:pPr>
    </w:p>
    <w:p w14:paraId="50F605D2">
      <w:pPr>
        <w:spacing w:line="249" w:lineRule="auto"/>
        <w:rPr>
          <w:rFonts w:ascii="Arial"/>
          <w:sz w:val="21"/>
        </w:rPr>
      </w:pPr>
    </w:p>
    <w:p w14:paraId="7455A9D9">
      <w:pPr>
        <w:spacing w:line="249" w:lineRule="auto"/>
        <w:rPr>
          <w:rFonts w:ascii="Arial"/>
          <w:sz w:val="21"/>
        </w:rPr>
      </w:pPr>
    </w:p>
    <w:p w14:paraId="345B19F7">
      <w:pPr>
        <w:spacing w:line="249" w:lineRule="auto"/>
        <w:rPr>
          <w:rFonts w:ascii="Arial"/>
          <w:sz w:val="21"/>
        </w:rPr>
      </w:pPr>
    </w:p>
    <w:p w14:paraId="7D4E4A5E">
      <w:pPr>
        <w:spacing w:line="250" w:lineRule="auto"/>
        <w:rPr>
          <w:rFonts w:ascii="Arial"/>
          <w:sz w:val="21"/>
        </w:rPr>
      </w:pPr>
    </w:p>
    <w:p w14:paraId="42D54CA3">
      <w:pPr>
        <w:spacing w:line="250" w:lineRule="auto"/>
        <w:rPr>
          <w:rFonts w:ascii="Arial"/>
          <w:sz w:val="21"/>
        </w:rPr>
      </w:pPr>
    </w:p>
    <w:p w14:paraId="0C4CADFA">
      <w:pPr>
        <w:spacing w:line="250" w:lineRule="auto"/>
        <w:rPr>
          <w:rFonts w:ascii="Arial"/>
          <w:sz w:val="21"/>
        </w:rPr>
      </w:pPr>
    </w:p>
    <w:p w14:paraId="7F428B68">
      <w:pPr>
        <w:pStyle w:val="2"/>
        <w:spacing w:before="114" w:line="485" w:lineRule="auto"/>
        <w:ind w:left="516" w:right="1141" w:firstLine="1"/>
        <w:jc w:val="center"/>
        <w:rPr>
          <w:spacing w:val="1"/>
          <w:sz w:val="28"/>
          <w:szCs w:val="28"/>
        </w:rPr>
      </w:pPr>
      <w:r>
        <w:rPr>
          <w:b/>
          <w:bCs/>
          <w:spacing w:val="1"/>
          <w:sz w:val="28"/>
          <w:szCs w:val="28"/>
        </w:rPr>
        <w:t>采购人（甲方</w:t>
      </w:r>
      <w:r>
        <w:rPr>
          <w:b/>
          <w:bCs/>
          <w:spacing w:val="16"/>
          <w:sz w:val="28"/>
          <w:szCs w:val="28"/>
        </w:rPr>
        <w:t>）：</w:t>
      </w:r>
      <w:r>
        <w:rPr>
          <w:rFonts w:hint="eastAsia"/>
          <w:b/>
          <w:bCs/>
          <w:spacing w:val="1"/>
          <w:sz w:val="28"/>
          <w:szCs w:val="28"/>
          <w:u w:val="single" w:color="auto"/>
          <w:lang w:eastAsia="zh-CN"/>
        </w:rPr>
        <w:t>西安市碑林区市场监督管理局</w:t>
      </w:r>
    </w:p>
    <w:p w14:paraId="2EC2A696">
      <w:pPr>
        <w:pStyle w:val="2"/>
        <w:spacing w:before="114" w:line="485" w:lineRule="auto"/>
        <w:ind w:left="516" w:right="1141" w:firstLine="843" w:firstLineChars="300"/>
        <w:rPr>
          <w:spacing w:val="18"/>
          <w:sz w:val="28"/>
          <w:szCs w:val="28"/>
        </w:rPr>
      </w:pPr>
      <w:r>
        <w:rPr>
          <w:b/>
          <w:bCs/>
          <w:sz w:val="28"/>
          <w:szCs w:val="28"/>
        </w:rPr>
        <w:t>供应商（乙方</w:t>
      </w:r>
      <w:r>
        <w:rPr>
          <w:b/>
          <w:bCs/>
          <w:spacing w:val="1"/>
          <w:sz w:val="28"/>
          <w:szCs w:val="28"/>
        </w:rPr>
        <w:t>）：</w:t>
      </w:r>
      <w:r>
        <w:rPr>
          <w:spacing w:val="1"/>
          <w:sz w:val="28"/>
          <w:szCs w:val="28"/>
          <w:u w:val="single" w:color="auto"/>
        </w:rPr>
        <w:t xml:space="preserve">                          </w:t>
      </w:r>
      <w:r>
        <w:rPr>
          <w:spacing w:val="18"/>
          <w:sz w:val="28"/>
          <w:szCs w:val="28"/>
        </w:rPr>
        <w:t xml:space="preserve"> </w:t>
      </w:r>
    </w:p>
    <w:p w14:paraId="3A712CBB">
      <w:pPr>
        <w:pStyle w:val="2"/>
        <w:spacing w:before="114" w:line="485" w:lineRule="auto"/>
        <w:ind w:left="516" w:right="1141" w:firstLine="843" w:firstLineChars="300"/>
        <w:rPr>
          <w:rFonts w:ascii="Times New Roman"/>
          <w:b/>
          <w:bCs/>
          <w:sz w:val="28"/>
          <w:szCs w:val="28"/>
        </w:rPr>
      </w:pPr>
      <w:r>
        <w:rPr>
          <w:rFonts w:ascii="Times New Roman"/>
          <w:b/>
          <w:bCs/>
          <w:sz w:val="28"/>
          <w:szCs w:val="28"/>
        </w:rPr>
        <w:t>签</w:t>
      </w:r>
      <w:r>
        <w:rPr>
          <w:rFonts w:hint="eastAsia" w:ascii="Times New Roman"/>
          <w:b/>
          <w:bCs/>
          <w:sz w:val="28"/>
          <w:szCs w:val="28"/>
          <w:lang w:val="en-US" w:eastAsia="zh-CN"/>
        </w:rPr>
        <w:t xml:space="preserve"> </w:t>
      </w:r>
      <w:r>
        <w:rPr>
          <w:rFonts w:ascii="Times New Roman"/>
          <w:b/>
          <w:bCs/>
          <w:sz w:val="28"/>
          <w:szCs w:val="28"/>
        </w:rPr>
        <w:t>订</w:t>
      </w:r>
      <w:r>
        <w:rPr>
          <w:rFonts w:hint="eastAsia" w:ascii="Times New Roman"/>
          <w:b/>
          <w:bCs/>
          <w:sz w:val="28"/>
          <w:szCs w:val="28"/>
          <w:lang w:val="en-US" w:eastAsia="zh-CN"/>
        </w:rPr>
        <w:t xml:space="preserve"> </w:t>
      </w:r>
      <w:r>
        <w:rPr>
          <w:rFonts w:ascii="Times New Roman"/>
          <w:b/>
          <w:bCs/>
          <w:sz w:val="28"/>
          <w:szCs w:val="28"/>
        </w:rPr>
        <w:t>日</w:t>
      </w:r>
      <w:r>
        <w:rPr>
          <w:rFonts w:hint="eastAsia" w:ascii="Times New Roman"/>
          <w:b/>
          <w:bCs/>
          <w:sz w:val="28"/>
          <w:szCs w:val="28"/>
          <w:lang w:val="en-US" w:eastAsia="zh-CN"/>
        </w:rPr>
        <w:t xml:space="preserve"> </w:t>
      </w:r>
      <w:r>
        <w:rPr>
          <w:rFonts w:ascii="Times New Roman"/>
          <w:b/>
          <w:bCs/>
          <w:sz w:val="28"/>
          <w:szCs w:val="28"/>
        </w:rPr>
        <w:t>期</w:t>
      </w:r>
      <w:r>
        <w:rPr>
          <w:rFonts w:hint="eastAsia" w:ascii="Times New Roman"/>
          <w:b/>
          <w:bCs/>
          <w:sz w:val="28"/>
          <w:szCs w:val="28"/>
          <w:lang w:eastAsia="zh-CN"/>
        </w:rPr>
        <w:t>：</w:t>
      </w:r>
      <w:r>
        <w:rPr>
          <w:sz w:val="28"/>
          <w:szCs w:val="28"/>
          <w:u w:val="single" w:color="auto"/>
        </w:rPr>
        <w:t xml:space="preserve">                       </w:t>
      </w:r>
      <w:r>
        <w:rPr>
          <w:rFonts w:hint="eastAsia"/>
          <w:sz w:val="28"/>
          <w:szCs w:val="28"/>
          <w:u w:val="single" w:color="auto"/>
          <w:lang w:val="en-US" w:eastAsia="zh-CN"/>
        </w:rPr>
        <w:t xml:space="preserve"> </w:t>
      </w:r>
      <w:r>
        <w:rPr>
          <w:sz w:val="28"/>
          <w:szCs w:val="28"/>
          <w:u w:val="single" w:color="auto"/>
        </w:rPr>
        <w:t xml:space="preserve">    </w:t>
      </w:r>
      <w:r>
        <w:rPr>
          <w:rFonts w:ascii="Times New Roman"/>
          <w:b/>
          <w:bCs/>
          <w:sz w:val="28"/>
          <w:szCs w:val="28"/>
        </w:rPr>
        <w:t xml:space="preserve">  </w:t>
      </w:r>
    </w:p>
    <w:p w14:paraId="1808C7C1">
      <w:pPr>
        <w:pStyle w:val="2"/>
        <w:spacing w:before="114" w:line="485" w:lineRule="auto"/>
        <w:ind w:left="516" w:right="1141" w:firstLine="884" w:firstLineChars="400"/>
        <w:rPr>
          <w:sz w:val="28"/>
          <w:szCs w:val="28"/>
        </w:rPr>
      </w:pPr>
      <w:r>
        <w:rPr>
          <w:b/>
          <w:bCs/>
          <w:spacing w:val="-30"/>
          <w:sz w:val="28"/>
          <w:szCs w:val="28"/>
        </w:rPr>
        <w:t>签</w:t>
      </w:r>
      <w:r>
        <w:rPr>
          <w:spacing w:val="26"/>
          <w:sz w:val="28"/>
          <w:szCs w:val="28"/>
        </w:rPr>
        <w:t xml:space="preserve"> </w:t>
      </w:r>
      <w:r>
        <w:rPr>
          <w:b/>
          <w:bCs/>
          <w:spacing w:val="-30"/>
          <w:sz w:val="28"/>
          <w:szCs w:val="28"/>
        </w:rPr>
        <w:t>订</w:t>
      </w:r>
      <w:r>
        <w:rPr>
          <w:spacing w:val="25"/>
          <w:sz w:val="28"/>
          <w:szCs w:val="28"/>
        </w:rPr>
        <w:t xml:space="preserve"> </w:t>
      </w:r>
      <w:r>
        <w:rPr>
          <w:b/>
          <w:bCs/>
          <w:spacing w:val="-30"/>
          <w:sz w:val="28"/>
          <w:szCs w:val="28"/>
        </w:rPr>
        <w:t>地</w:t>
      </w:r>
      <w:r>
        <w:rPr>
          <w:spacing w:val="42"/>
          <w:sz w:val="28"/>
          <w:szCs w:val="28"/>
        </w:rPr>
        <w:t xml:space="preserve"> </w:t>
      </w:r>
      <w:r>
        <w:rPr>
          <w:b/>
          <w:bCs/>
          <w:spacing w:val="-30"/>
          <w:sz w:val="28"/>
          <w:szCs w:val="28"/>
        </w:rPr>
        <w:t>点</w:t>
      </w:r>
      <w:r>
        <w:rPr>
          <w:spacing w:val="-127"/>
          <w:sz w:val="28"/>
          <w:szCs w:val="28"/>
        </w:rPr>
        <w:t xml:space="preserve"> </w:t>
      </w:r>
      <w:r>
        <w:rPr>
          <w:rFonts w:hint="eastAsia"/>
          <w:b/>
          <w:bCs/>
          <w:spacing w:val="-30"/>
          <w:sz w:val="28"/>
          <w:szCs w:val="28"/>
          <w:lang w:eastAsia="zh-CN"/>
        </w:rPr>
        <w:t>：</w:t>
      </w:r>
      <w:r>
        <w:rPr>
          <w:sz w:val="28"/>
          <w:szCs w:val="28"/>
          <w:u w:val="single" w:color="auto"/>
        </w:rPr>
        <w:t xml:space="preserve">                         </w:t>
      </w:r>
      <w:r>
        <w:rPr>
          <w:rFonts w:hint="eastAsia"/>
          <w:sz w:val="28"/>
          <w:szCs w:val="28"/>
          <w:u w:val="single" w:color="auto"/>
          <w:lang w:val="en-US" w:eastAsia="zh-CN"/>
        </w:rPr>
        <w:t xml:space="preserve"> </w:t>
      </w:r>
      <w:r>
        <w:rPr>
          <w:sz w:val="28"/>
          <w:szCs w:val="28"/>
          <w:u w:val="single" w:color="auto"/>
        </w:rPr>
        <w:t xml:space="preserve">   </w:t>
      </w:r>
    </w:p>
    <w:p w14:paraId="4B34FB11">
      <w:pPr>
        <w:spacing w:line="485" w:lineRule="auto"/>
        <w:rPr>
          <w:sz w:val="28"/>
          <w:szCs w:val="28"/>
        </w:rPr>
        <w:sectPr>
          <w:footerReference r:id="rId3" w:type="default"/>
          <w:pgSz w:w="11906" w:h="16839"/>
          <w:pgMar w:top="1147" w:right="1349" w:bottom="1194" w:left="1417" w:header="860" w:footer="980" w:gutter="0"/>
          <w:pgNumType w:fmt="decimal" w:start="1"/>
          <w:cols w:space="720" w:num="1"/>
        </w:sectPr>
      </w:pPr>
    </w:p>
    <w:p w14:paraId="79DF37FF">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52" w:firstLineChars="200"/>
        <w:textAlignment w:val="auto"/>
        <w:rPr>
          <w:spacing w:val="9"/>
          <w:sz w:val="24"/>
          <w:szCs w:val="24"/>
        </w:rPr>
      </w:pPr>
      <w:r>
        <w:rPr>
          <w:spacing w:val="-7"/>
          <w:sz w:val="24"/>
          <w:szCs w:val="24"/>
        </w:rPr>
        <w:t>采购人（甲方</w:t>
      </w:r>
      <w:r>
        <w:rPr>
          <w:spacing w:val="-6"/>
          <w:sz w:val="24"/>
          <w:szCs w:val="24"/>
        </w:rPr>
        <w:t>）：</w:t>
      </w:r>
      <w:r>
        <w:rPr>
          <w:spacing w:val="1"/>
          <w:sz w:val="24"/>
          <w:szCs w:val="24"/>
          <w:u w:val="single" w:color="auto"/>
        </w:rPr>
        <w:t xml:space="preserve">                                             </w:t>
      </w:r>
      <w:r>
        <w:rPr>
          <w:spacing w:val="9"/>
          <w:sz w:val="24"/>
          <w:szCs w:val="24"/>
        </w:rPr>
        <w:t xml:space="preserve"> </w:t>
      </w:r>
    </w:p>
    <w:p w14:paraId="5D159A8F">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56" w:firstLineChars="200"/>
        <w:textAlignment w:val="auto"/>
        <w:rPr>
          <w:sz w:val="24"/>
          <w:szCs w:val="24"/>
        </w:rPr>
      </w:pPr>
      <w:r>
        <w:rPr>
          <w:rFonts w:hint="eastAsia"/>
          <w:spacing w:val="-6"/>
          <w:sz w:val="24"/>
          <w:szCs w:val="24"/>
          <w:lang w:eastAsia="zh-CN"/>
        </w:rPr>
        <w:t>供应商</w:t>
      </w:r>
      <w:r>
        <w:rPr>
          <w:spacing w:val="-6"/>
          <w:sz w:val="24"/>
          <w:szCs w:val="24"/>
        </w:rPr>
        <w:t>（乙方）：</w:t>
      </w:r>
      <w:r>
        <w:rPr>
          <w:sz w:val="24"/>
          <w:szCs w:val="24"/>
          <w:u w:val="single" w:color="auto"/>
        </w:rPr>
        <w:t xml:space="preserve">                                            </w:t>
      </w:r>
    </w:p>
    <w:p w14:paraId="0EA74B66">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pacing w:val="-5"/>
          <w:sz w:val="24"/>
          <w:szCs w:val="24"/>
        </w:rPr>
      </w:pPr>
      <w:r>
        <w:rPr>
          <w:rFonts w:hint="eastAsia" w:ascii="宋体" w:hAnsi="宋体" w:eastAsia="宋体" w:cs="宋体"/>
          <w:color w:val="auto"/>
          <w:sz w:val="24"/>
          <w:szCs w:val="24"/>
          <w:highlight w:val="none"/>
        </w:rPr>
        <w:t>根据《中华人民共和国政府采购法》及实施条例、《中华人民共和国民法典》和甲方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采购项目（采购项目编号：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等有关规定，为确保甲方采购项目的顺利实施，甲、乙双方在平等自愿原则下签订本合同，并共同遵守如下条款：</w:t>
      </w:r>
    </w:p>
    <w:p w14:paraId="593DC5F4">
      <w:pPr>
        <w:pStyle w:val="2"/>
        <w:spacing w:before="40" w:line="222" w:lineRule="auto"/>
        <w:ind w:left="34"/>
        <w:rPr>
          <w:sz w:val="24"/>
          <w:szCs w:val="24"/>
        </w:rPr>
      </w:pPr>
      <w:r>
        <w:rPr>
          <w:b/>
          <w:bCs/>
          <w:spacing w:val="-10"/>
          <w:sz w:val="24"/>
          <w:szCs w:val="24"/>
        </w:rPr>
        <w:t>第一条</w:t>
      </w:r>
      <w:r>
        <w:rPr>
          <w:spacing w:val="-10"/>
          <w:sz w:val="24"/>
          <w:szCs w:val="24"/>
        </w:rPr>
        <w:t xml:space="preserve"> </w:t>
      </w:r>
      <w:r>
        <w:rPr>
          <w:b/>
          <w:bCs/>
          <w:spacing w:val="-10"/>
          <w:sz w:val="24"/>
          <w:szCs w:val="24"/>
        </w:rPr>
        <w:t>服务内容</w:t>
      </w:r>
    </w:p>
    <w:p w14:paraId="0C4DBFE9">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spacing w:val="-3"/>
          <w:sz w:val="24"/>
          <w:szCs w:val="24"/>
        </w:rPr>
      </w:pPr>
      <w:r>
        <w:rPr>
          <w:rFonts w:hint="eastAsia"/>
          <w:spacing w:val="-5"/>
          <w:sz w:val="24"/>
          <w:szCs w:val="24"/>
          <w:lang w:val="en-US" w:eastAsia="zh-CN"/>
        </w:rPr>
        <w:t>1、</w:t>
      </w:r>
      <w:r>
        <w:rPr>
          <w:spacing w:val="-5"/>
          <w:sz w:val="24"/>
          <w:szCs w:val="24"/>
        </w:rPr>
        <w:t>按照甲方要求，依据相关法律法规提供</w:t>
      </w:r>
      <w:r>
        <w:rPr>
          <w:rFonts w:hint="eastAsia"/>
          <w:spacing w:val="-5"/>
          <w:sz w:val="24"/>
          <w:szCs w:val="24"/>
          <w:lang w:eastAsia="zh-CN"/>
        </w:rPr>
        <w:t>食品安全监督抽检</w:t>
      </w:r>
      <w:r>
        <w:rPr>
          <w:spacing w:val="-5"/>
          <w:sz w:val="24"/>
          <w:szCs w:val="24"/>
        </w:rPr>
        <w:t>，出具有效的检验</w:t>
      </w:r>
      <w:r>
        <w:rPr>
          <w:spacing w:val="-3"/>
          <w:sz w:val="24"/>
          <w:szCs w:val="24"/>
        </w:rPr>
        <w:t>报告，并对报告真实性负责。</w:t>
      </w:r>
    </w:p>
    <w:p w14:paraId="54C7BC54">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8" w:firstLineChars="200"/>
        <w:textAlignment w:val="auto"/>
        <w:rPr>
          <w:rFonts w:hint="eastAsia"/>
          <w:spacing w:val="-3"/>
          <w:sz w:val="24"/>
          <w:szCs w:val="24"/>
          <w:u w:val="single"/>
          <w:lang w:val="en-US" w:eastAsia="zh-CN"/>
        </w:rPr>
      </w:pPr>
      <w:r>
        <w:rPr>
          <w:rFonts w:hint="eastAsia"/>
          <w:spacing w:val="-3"/>
          <w:sz w:val="24"/>
          <w:szCs w:val="24"/>
          <w:lang w:val="en-US" w:eastAsia="zh-CN"/>
        </w:rPr>
        <w:t>2、服务范围：</w:t>
      </w:r>
      <w:r>
        <w:rPr>
          <w:rFonts w:hint="eastAsia"/>
          <w:spacing w:val="-3"/>
          <w:sz w:val="24"/>
          <w:szCs w:val="24"/>
          <w:u w:val="single"/>
          <w:lang w:val="en-US" w:eastAsia="zh-CN"/>
        </w:rPr>
        <w:t xml:space="preserve">                        </w:t>
      </w:r>
    </w:p>
    <w:p w14:paraId="32E17BA4">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8" w:firstLineChars="200"/>
        <w:textAlignment w:val="auto"/>
        <w:rPr>
          <w:rFonts w:hint="default"/>
          <w:spacing w:val="-3"/>
          <w:sz w:val="24"/>
          <w:szCs w:val="24"/>
          <w:u w:val="single"/>
          <w:lang w:val="en-US" w:eastAsia="zh-CN"/>
        </w:rPr>
      </w:pPr>
      <w:r>
        <w:rPr>
          <w:rFonts w:hint="eastAsia" w:ascii="Times New Roman"/>
          <w:spacing w:val="-3"/>
          <w:sz w:val="24"/>
          <w:szCs w:val="24"/>
          <w:lang w:val="en-US" w:eastAsia="zh-CN"/>
        </w:rPr>
        <w:t>3、采购包预算金额：</w:t>
      </w:r>
      <w:r>
        <w:rPr>
          <w:rFonts w:hint="eastAsia" w:ascii="宋体" w:hAnsi="宋体" w:eastAsia="宋体" w:cs="宋体"/>
          <w:spacing w:val="-5"/>
          <w:sz w:val="24"/>
          <w:szCs w:val="24"/>
          <w:lang w:val="en-US" w:eastAsia="zh-CN"/>
        </w:rPr>
        <w:t>人民币（大写）</w:t>
      </w:r>
      <w:r>
        <w:rPr>
          <w:rFonts w:hint="eastAsia" w:ascii="宋体" w:hAnsi="宋体" w:eastAsia="宋体" w:cs="宋体"/>
          <w:spacing w:val="-5"/>
          <w:sz w:val="24"/>
          <w:szCs w:val="24"/>
          <w:u w:val="single"/>
          <w:lang w:val="en-US" w:eastAsia="zh-CN"/>
        </w:rPr>
        <w:t xml:space="preserve">        </w:t>
      </w:r>
      <w:r>
        <w:rPr>
          <w:rFonts w:hint="eastAsia" w:ascii="宋体" w:hAnsi="宋体" w:eastAsia="宋体" w:cs="宋体"/>
          <w:spacing w:val="-5"/>
          <w:sz w:val="24"/>
          <w:szCs w:val="24"/>
          <w:lang w:val="en-US" w:eastAsia="zh-CN"/>
        </w:rPr>
        <w:t>（￥</w:t>
      </w:r>
      <w:r>
        <w:rPr>
          <w:rFonts w:hint="eastAsia" w:ascii="宋体" w:hAnsi="宋体" w:eastAsia="宋体" w:cs="宋体"/>
          <w:spacing w:val="-5"/>
          <w:sz w:val="24"/>
          <w:szCs w:val="24"/>
          <w:u w:val="single"/>
          <w:lang w:val="en-US" w:eastAsia="zh-CN"/>
        </w:rPr>
        <w:t xml:space="preserve">      </w:t>
      </w:r>
      <w:r>
        <w:rPr>
          <w:rFonts w:hint="eastAsia" w:ascii="宋体" w:hAnsi="宋体" w:eastAsia="宋体" w:cs="宋体"/>
          <w:spacing w:val="-5"/>
          <w:sz w:val="24"/>
          <w:szCs w:val="24"/>
          <w:lang w:val="en-US" w:eastAsia="zh-CN"/>
        </w:rPr>
        <w:t>）</w:t>
      </w:r>
    </w:p>
    <w:p w14:paraId="70CF8467">
      <w:pPr>
        <w:pStyle w:val="2"/>
        <w:spacing w:before="39" w:line="222" w:lineRule="auto"/>
        <w:ind w:left="34"/>
        <w:rPr>
          <w:sz w:val="24"/>
          <w:szCs w:val="24"/>
        </w:rPr>
      </w:pPr>
      <w:r>
        <w:rPr>
          <w:b/>
          <w:bCs/>
          <w:spacing w:val="-10"/>
          <w:sz w:val="24"/>
          <w:szCs w:val="24"/>
        </w:rPr>
        <w:t>第二条</w:t>
      </w:r>
      <w:r>
        <w:rPr>
          <w:spacing w:val="-10"/>
          <w:sz w:val="24"/>
          <w:szCs w:val="24"/>
        </w:rPr>
        <w:t xml:space="preserve"> </w:t>
      </w:r>
      <w:r>
        <w:rPr>
          <w:b/>
          <w:bCs/>
          <w:spacing w:val="-10"/>
          <w:sz w:val="24"/>
          <w:szCs w:val="24"/>
        </w:rPr>
        <w:t>服务期</w:t>
      </w:r>
    </w:p>
    <w:p w14:paraId="1C1B8F71">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ascii="Times New Roman"/>
          <w:spacing w:val="-5"/>
          <w:sz w:val="24"/>
          <w:szCs w:val="24"/>
        </w:rPr>
      </w:pPr>
      <w:r>
        <w:rPr>
          <w:rFonts w:hint="eastAsia" w:ascii="Times New Roman"/>
          <w:spacing w:val="-5"/>
          <w:sz w:val="24"/>
          <w:szCs w:val="24"/>
          <w:lang w:val="en-US" w:eastAsia="zh-CN"/>
        </w:rPr>
        <w:t>服务期</w:t>
      </w:r>
      <w:r>
        <w:rPr>
          <w:rFonts w:ascii="Times New Roman"/>
          <w:spacing w:val="-5"/>
          <w:sz w:val="24"/>
          <w:szCs w:val="24"/>
        </w:rPr>
        <w:t>：</w:t>
      </w:r>
      <w:r>
        <w:rPr>
          <w:rFonts w:hint="eastAsia" w:ascii="Times New Roman"/>
          <w:spacing w:val="-5"/>
          <w:sz w:val="24"/>
          <w:szCs w:val="24"/>
          <w:u w:val="single"/>
          <w:lang w:val="en-US" w:eastAsia="zh-CN"/>
        </w:rPr>
        <w:t xml:space="preserve">                        </w:t>
      </w:r>
      <w:bookmarkStart w:id="3" w:name="_GoBack"/>
      <w:bookmarkEnd w:id="3"/>
      <w:r>
        <w:rPr>
          <w:rFonts w:hint="eastAsia" w:ascii="Times New Roman"/>
          <w:spacing w:val="-5"/>
          <w:sz w:val="24"/>
          <w:szCs w:val="24"/>
          <w:u w:val="single"/>
          <w:lang w:val="en-US" w:eastAsia="zh-CN"/>
        </w:rPr>
        <w:t xml:space="preserve"> </w:t>
      </w:r>
      <w:r>
        <w:rPr>
          <w:rFonts w:ascii="Times New Roman"/>
          <w:spacing w:val="-5"/>
          <w:sz w:val="24"/>
          <w:szCs w:val="24"/>
        </w:rPr>
        <w:t>。</w:t>
      </w:r>
    </w:p>
    <w:p w14:paraId="1D83F220">
      <w:pPr>
        <w:pStyle w:val="2"/>
        <w:spacing w:before="179" w:line="222" w:lineRule="auto"/>
        <w:ind w:left="34"/>
        <w:rPr>
          <w:sz w:val="24"/>
          <w:szCs w:val="24"/>
        </w:rPr>
      </w:pPr>
      <w:r>
        <w:rPr>
          <w:b/>
          <w:bCs/>
          <w:spacing w:val="-10"/>
          <w:sz w:val="24"/>
          <w:szCs w:val="24"/>
        </w:rPr>
        <w:t>第三条</w:t>
      </w:r>
      <w:r>
        <w:rPr>
          <w:spacing w:val="-10"/>
          <w:sz w:val="24"/>
          <w:szCs w:val="24"/>
        </w:rPr>
        <w:t xml:space="preserve"> </w:t>
      </w:r>
      <w:r>
        <w:rPr>
          <w:b/>
          <w:bCs/>
          <w:spacing w:val="-10"/>
          <w:sz w:val="24"/>
          <w:szCs w:val="24"/>
        </w:rPr>
        <w:t>服务地点</w:t>
      </w:r>
    </w:p>
    <w:p w14:paraId="08DCE3F7">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ascii="Times New Roman"/>
          <w:spacing w:val="-5"/>
          <w:sz w:val="24"/>
          <w:szCs w:val="24"/>
        </w:rPr>
      </w:pPr>
      <w:r>
        <w:rPr>
          <w:rFonts w:ascii="Times New Roman"/>
          <w:spacing w:val="-5"/>
          <w:sz w:val="24"/>
          <w:szCs w:val="24"/>
        </w:rPr>
        <w:t>采购人指定地点。</w:t>
      </w:r>
    </w:p>
    <w:p w14:paraId="1BE1409A">
      <w:pPr>
        <w:pStyle w:val="2"/>
        <w:spacing w:before="183" w:line="222" w:lineRule="auto"/>
        <w:ind w:left="34"/>
        <w:rPr>
          <w:sz w:val="24"/>
          <w:szCs w:val="24"/>
        </w:rPr>
      </w:pPr>
      <w:r>
        <w:rPr>
          <w:b/>
          <w:bCs/>
          <w:spacing w:val="-10"/>
          <w:sz w:val="24"/>
          <w:szCs w:val="24"/>
        </w:rPr>
        <w:t>第四条</w:t>
      </w:r>
      <w:r>
        <w:rPr>
          <w:spacing w:val="-10"/>
          <w:sz w:val="24"/>
          <w:szCs w:val="24"/>
        </w:rPr>
        <w:t xml:space="preserve"> </w:t>
      </w:r>
      <w:r>
        <w:rPr>
          <w:b/>
          <w:bCs/>
          <w:spacing w:val="-9"/>
          <w:sz w:val="24"/>
          <w:szCs w:val="24"/>
        </w:rPr>
        <w:t>合同价款及付款方式</w:t>
      </w:r>
    </w:p>
    <w:p w14:paraId="3B2801FE">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default" w:ascii="Times New Roman"/>
          <w:spacing w:val="-5"/>
          <w:sz w:val="24"/>
          <w:szCs w:val="24"/>
          <w:lang w:val="en-US" w:eastAsia="zh-CN"/>
        </w:rPr>
      </w:pPr>
      <w:r>
        <w:rPr>
          <w:rFonts w:hint="eastAsia"/>
          <w:spacing w:val="-5"/>
          <w:sz w:val="24"/>
          <w:szCs w:val="24"/>
          <w:lang w:val="en-US" w:eastAsia="zh-CN"/>
        </w:rPr>
        <w:t>（一）合同价款</w:t>
      </w:r>
    </w:p>
    <w:p w14:paraId="0272DD1D">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1.检测单价为人民币（大写）</w:t>
      </w:r>
      <w:r>
        <w:rPr>
          <w:rFonts w:hint="eastAsia" w:ascii="宋体" w:hAnsi="宋体" w:eastAsia="宋体" w:cs="宋体"/>
          <w:spacing w:val="-5"/>
          <w:sz w:val="24"/>
          <w:szCs w:val="24"/>
          <w:u w:val="single"/>
          <w:lang w:val="en-US" w:eastAsia="zh-CN"/>
        </w:rPr>
        <w:t xml:space="preserve">        </w:t>
      </w:r>
      <w:r>
        <w:rPr>
          <w:rFonts w:hint="eastAsia" w:ascii="宋体" w:hAnsi="宋体" w:eastAsia="宋体" w:cs="宋体"/>
          <w:spacing w:val="-5"/>
          <w:sz w:val="24"/>
          <w:szCs w:val="24"/>
          <w:lang w:val="en-US" w:eastAsia="zh-CN"/>
        </w:rPr>
        <w:t>（￥</w:t>
      </w:r>
      <w:r>
        <w:rPr>
          <w:rFonts w:hint="eastAsia" w:ascii="宋体" w:hAnsi="宋体" w:eastAsia="宋体" w:cs="宋体"/>
          <w:spacing w:val="-5"/>
          <w:sz w:val="24"/>
          <w:szCs w:val="24"/>
          <w:u w:val="single"/>
          <w:lang w:val="en-US" w:eastAsia="zh-CN"/>
        </w:rPr>
        <w:t xml:space="preserve">      </w:t>
      </w:r>
      <w:r>
        <w:rPr>
          <w:rFonts w:hint="eastAsia" w:ascii="宋体" w:hAnsi="宋体" w:eastAsia="宋体" w:cs="宋体"/>
          <w:spacing w:val="-5"/>
          <w:sz w:val="24"/>
          <w:szCs w:val="24"/>
          <w:lang w:val="en-US" w:eastAsia="zh-CN"/>
        </w:rPr>
        <w:t>）。</w:t>
      </w:r>
    </w:p>
    <w:p w14:paraId="35C3DA02">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2.合同总价款包括为完成本项目要求的全部服务内容的所有费用，甲方不再另行支付合同价以外的其他任何费用。</w:t>
      </w:r>
    </w:p>
    <w:p w14:paraId="0666F85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宋体" w:hAnsi="宋体" w:eastAsia="宋体" w:cs="宋体"/>
          <w:spacing w:val="-5"/>
          <w:sz w:val="24"/>
          <w:szCs w:val="24"/>
          <w:lang w:val="en-US" w:eastAsia="zh-CN"/>
        </w:rPr>
        <w:t>3.</w:t>
      </w:r>
      <w:r>
        <w:rPr>
          <w:rFonts w:hint="eastAsia" w:ascii="Times New Roman"/>
          <w:spacing w:val="-5"/>
          <w:sz w:val="24"/>
          <w:szCs w:val="24"/>
          <w:lang w:val="en-US" w:eastAsia="zh-CN"/>
        </w:rPr>
        <w:t>本合同执行期间服务检测单价一次性包死，不受市场价格变化因素的影响。</w:t>
      </w:r>
    </w:p>
    <w:p w14:paraId="1E1D9F2A">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宋体" w:hAnsi="宋体" w:eastAsia="宋体" w:cs="宋体"/>
          <w:spacing w:val="-5"/>
          <w:sz w:val="24"/>
          <w:szCs w:val="24"/>
          <w:lang w:val="en-US" w:eastAsia="zh-CN"/>
        </w:rPr>
        <w:t>4.</w:t>
      </w:r>
      <w:r>
        <w:rPr>
          <w:rFonts w:hint="eastAsia" w:ascii="Times New Roman"/>
          <w:spacing w:val="-5"/>
          <w:sz w:val="24"/>
          <w:szCs w:val="24"/>
          <w:lang w:val="en-US" w:eastAsia="zh-CN"/>
        </w:rPr>
        <w:t>结算方式：根据乙方完成工作量据实结算，合同执行的最终价款不得超过本采购包的采购预算。付款前乙方须向甲方出具合法有效的等额发票。</w:t>
      </w:r>
    </w:p>
    <w:p w14:paraId="68A36D8D">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default" w:ascii="Times New Roman"/>
          <w:spacing w:val="-5"/>
          <w:sz w:val="24"/>
          <w:szCs w:val="24"/>
          <w:lang w:val="en-US" w:eastAsia="zh-CN"/>
        </w:rPr>
      </w:pPr>
      <w:r>
        <w:rPr>
          <w:rFonts w:hint="eastAsia"/>
          <w:spacing w:val="-5"/>
          <w:sz w:val="24"/>
          <w:szCs w:val="24"/>
          <w:lang w:val="en-US" w:eastAsia="zh-CN"/>
        </w:rPr>
        <w:t>（二）付款方式</w:t>
      </w:r>
    </w:p>
    <w:p w14:paraId="02B49F8E">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spacing w:val="-10"/>
          <w:sz w:val="24"/>
          <w:szCs w:val="24"/>
        </w:rPr>
      </w:pPr>
      <w:r>
        <w:rPr>
          <w:rFonts w:hint="eastAsia" w:ascii="Times New Roman"/>
          <w:spacing w:val="-5"/>
          <w:sz w:val="24"/>
          <w:szCs w:val="24"/>
          <w:lang w:val="en-US" w:eastAsia="zh-CN"/>
        </w:rPr>
        <w:t>抽检工作完成后，甲方根据乙方完成工作量据实结算，乙方向甲方提出付款申请同时附完成项目检测报告，经甲方验收合格后10日内，支付</w:t>
      </w:r>
      <w:r>
        <w:rPr>
          <w:rFonts w:hint="eastAsia"/>
          <w:spacing w:val="-5"/>
          <w:sz w:val="24"/>
          <w:szCs w:val="24"/>
          <w:lang w:val="en-US" w:eastAsia="zh-CN"/>
        </w:rPr>
        <w:t>实际价款的100%</w:t>
      </w:r>
      <w:r>
        <w:rPr>
          <w:rFonts w:hint="eastAsia" w:ascii="Times New Roman"/>
          <w:spacing w:val="-5"/>
          <w:sz w:val="24"/>
          <w:szCs w:val="24"/>
          <w:lang w:val="en-US" w:eastAsia="zh-CN"/>
        </w:rPr>
        <w:t>。</w:t>
      </w:r>
    </w:p>
    <w:p w14:paraId="6E7DC04A">
      <w:pPr>
        <w:pStyle w:val="2"/>
        <w:spacing w:before="179" w:line="222" w:lineRule="auto"/>
        <w:ind w:left="34"/>
        <w:rPr>
          <w:sz w:val="24"/>
          <w:szCs w:val="24"/>
        </w:rPr>
      </w:pPr>
      <w:r>
        <w:rPr>
          <w:b/>
          <w:bCs/>
          <w:spacing w:val="-9"/>
          <w:sz w:val="24"/>
          <w:szCs w:val="24"/>
        </w:rPr>
        <w:t>第五条</w:t>
      </w:r>
      <w:r>
        <w:rPr>
          <w:spacing w:val="-9"/>
          <w:sz w:val="24"/>
          <w:szCs w:val="24"/>
        </w:rPr>
        <w:t xml:space="preserve"> </w:t>
      </w:r>
      <w:r>
        <w:rPr>
          <w:b/>
          <w:bCs/>
          <w:spacing w:val="-10"/>
          <w:sz w:val="24"/>
          <w:szCs w:val="24"/>
        </w:rPr>
        <w:t>双方责任</w:t>
      </w:r>
    </w:p>
    <w:p w14:paraId="67D4B7DA">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甲方的责任：</w:t>
      </w:r>
    </w:p>
    <w:p w14:paraId="1D87A97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1、甲方负责及时将检测费用支付给乙方，甲方在职权范围内对乙方的抽样工作给予相应协助。</w:t>
      </w:r>
    </w:p>
    <w:p w14:paraId="325AFE2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 xml:space="preserve">2、甲方负责相关检验数据、结果的通报工作。 </w:t>
      </w:r>
    </w:p>
    <w:p w14:paraId="621E4A20">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乙方的责任：</w:t>
      </w:r>
    </w:p>
    <w:p w14:paraId="454AA8F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1、能提供高效的抽样和检测服务，提供24小时服务，能接受抽样工作委托，有专门团队负责采样，并保证样品在当天（质保期短的，需要检测微生物项目等特殊样品需</w:t>
      </w:r>
      <w:r>
        <w:rPr>
          <w:rFonts w:hint="eastAsia" w:ascii="Times New Roman"/>
          <w:spacing w:val="-5"/>
          <w:sz w:val="24"/>
          <w:szCs w:val="24"/>
          <w:highlight w:val="none"/>
          <w:lang w:val="en-US" w:eastAsia="zh-CN"/>
        </w:rPr>
        <w:t>在4小时之内）送达实验室进行检验。</w:t>
      </w:r>
    </w:p>
    <w:p w14:paraId="3F420470">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2、乙方开展食品安全抽样、检测须依据《食品安全抽样检验管理办法》、《食品安全监督抽检实施细则》及有关工作文件规定的抽样方法、检测方法和判定依据进行抽样、检测和判定。</w:t>
      </w:r>
    </w:p>
    <w:p w14:paraId="50FBF861">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3、乙方对监督抽检的食品判定依据是被检食品的国家标准、行业标准、地方标准和国家有关规定，以及食品包装明示的企业标准或者质量承诺。没有相应强制性标准、食品包装明示的企业标准和质量承诺的，以相应的推荐性国家标准、行业标准作为质量判定依据。</w:t>
      </w:r>
    </w:p>
    <w:p w14:paraId="24992A2E">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4、乙方确保具备所承担的抽检检测任务涉及的食品以及检验项目的检验能力和相关资 质(非标准检验方法除外)，能够对检验结论进行准确判定。</w:t>
      </w:r>
    </w:p>
    <w:p w14:paraId="0AB73328">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5、乙方应严格按照西安市碑林区市场监督管理局年度食品安全抽检计划的要求，满足抽样品种、抽样场所、所抽样品环节抽样批次、检验项目等的要求，并负责数据的准确性、可靠性。</w:t>
      </w:r>
    </w:p>
    <w:p w14:paraId="3BF5775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6、检测数据应及时报送，报送内容应准确，信息齐全，并经过乙方专业人员审核无误后提交甲方。乙方每月月底把当</w:t>
      </w:r>
      <w:r>
        <w:rPr>
          <w:rFonts w:hint="eastAsia" w:ascii="Times New Roman"/>
          <w:spacing w:val="-5"/>
          <w:sz w:val="24"/>
          <w:szCs w:val="24"/>
          <w:highlight w:val="none"/>
          <w:lang w:val="en-US" w:eastAsia="zh-CN"/>
        </w:rPr>
        <w:t>月完成的检验数据明细发给甲方。如需上传数据的应及时录入抽样信息和检测信息，要求在完成该项工作后1个工作日内完成录入。如需提供阶段数据的质量分析</w:t>
      </w:r>
      <w:r>
        <w:rPr>
          <w:rFonts w:hint="eastAsia" w:ascii="Times New Roman"/>
          <w:spacing w:val="-5"/>
          <w:sz w:val="24"/>
          <w:szCs w:val="24"/>
          <w:lang w:val="en-US" w:eastAsia="zh-CN"/>
        </w:rPr>
        <w:t>报告，应及时提供给甲方，年底提供全年任务的质量分析报告。乙方不得擅自发布与抽检有关的任何数据。</w:t>
      </w:r>
    </w:p>
    <w:p w14:paraId="14A1C537">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7、乙方应安排专业人员对国抽系统内录入的抽检数据进行质量核查，核查率为100%。如因甲方对抽检数据质量核查时发现的问题反复出现的，或国家、省、市局对抽检数据质量核查时存在的问题被通报的，或因国抽系统错误数据影响甲方年度考核的，暂停抽检工作，待整改后视情况安排抽检工作；不合格抽检数据须严格审核无误后上传，如因审核不严，导致国抽系统内上传的抽检数据有误的，暂停抽检工作3个月，一年内出现两次不合格抽检数据上传有误的，当年内不再安排抽检工作。</w:t>
      </w:r>
    </w:p>
    <w:p w14:paraId="0DAF923A">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8、乙方在开展食品安全抽检时，应加大抽检工作的靶向性，提高问题发现率，且抽检问题发现率不低于抽检任务的3%。</w:t>
      </w:r>
    </w:p>
    <w:p w14:paraId="752C2CE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9、乙方抽取的样品需在15个工作日内出具检测报告：如确因特殊原因需要延长时限的，乙方需向甲方提交检测报告延长时限的情况说明，延长时限不得超过《食品安全抽样检验管理办法》规定的20 个工作日。餐饮自制食品、散装食品、食用农产品等短保质期食品，以及需要检测微生物项目的食品应优先检测：对于特殊、涉案的样品应立即送达实验室进行检测并及时出具检测报告。涉案样品需要配合司法机关调查、取证的应当积极配合。</w:t>
      </w:r>
    </w:p>
    <w:p w14:paraId="36CF25B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10、检测报告的报送：合格检测报告书在五个工作日内交给甲方壹份：不合格检测报告书给甲方贰份，并复印抽样单贰份，检测数据出来后两个工作日内把不合格报告书交给甲方。</w:t>
      </w:r>
    </w:p>
    <w:p w14:paraId="38CE73FD">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11、乙方出具虚假、错误检测数据和结论的，扣除相应的检测费用，由于虚假、错误检测数据和结论而给食品生产者和被抽检人造成损失的，或者在社会造成不良影响的，乙方应当赔偿在甲方指定媒体上澄清事实并承担相应的法律责任。</w:t>
      </w:r>
    </w:p>
    <w:p w14:paraId="3FCE1E0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12、乙方用于检测所购买的样品，归甲方所有，经破环性实验无法修复的样品，乙方应登记造册并进行无害化处理；乙方应将所检样品的备份样品交由甲方处理，或者甲方可以授权乙方按照有关规定对备份样品进行处理，并将样品处理情况报甲方备案。</w:t>
      </w:r>
    </w:p>
    <w:p w14:paraId="60F14244">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13、乙方或其雇员必须对受托检测样品的检验数据保密，数据仅提供给甲方，不得向任何第三方泄露。如乙方或其雇员向第三方人泄露检验数据的，或因乙方原因导致检验数据泄露的，甲方不支付乙方承检费用，造成甲方其他损失的仍应赔偿，并承担相应的法律责任。</w:t>
      </w:r>
    </w:p>
    <w:p w14:paraId="2783BE04">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14、乙方不得与食品生产经营单位开展有可能影响检验检测公正性的有偿服务活动。</w:t>
      </w:r>
    </w:p>
    <w:p w14:paraId="6B161A2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15、承检机构不得将检验任务外包或分包给其他检测机构检验。</w:t>
      </w:r>
    </w:p>
    <w:p w14:paraId="5DD953F1">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16、乙方对甲方提出的有关咨询问题负有及时解释的责任，并提供相关的报告分析等服务。</w:t>
      </w:r>
    </w:p>
    <w:p w14:paraId="117F0851">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17、乙方接受甲方对抽检检测工作质量的监督检查和考核。</w:t>
      </w:r>
    </w:p>
    <w:p w14:paraId="673B9518">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18、按照甲方要求时限完成各项抽检工作任务。</w:t>
      </w:r>
    </w:p>
    <w:p w14:paraId="3F4B62B3">
      <w:pPr>
        <w:pStyle w:val="2"/>
        <w:spacing w:before="178" w:line="222" w:lineRule="auto"/>
        <w:ind w:left="34"/>
        <w:rPr>
          <w:sz w:val="24"/>
          <w:szCs w:val="24"/>
        </w:rPr>
      </w:pPr>
      <w:r>
        <w:rPr>
          <w:b/>
          <w:bCs/>
          <w:spacing w:val="-10"/>
          <w:sz w:val="24"/>
          <w:szCs w:val="24"/>
        </w:rPr>
        <w:t>第六条</w:t>
      </w:r>
      <w:r>
        <w:rPr>
          <w:spacing w:val="-10"/>
          <w:sz w:val="24"/>
          <w:szCs w:val="24"/>
        </w:rPr>
        <w:t xml:space="preserve"> </w:t>
      </w:r>
      <w:r>
        <w:rPr>
          <w:b/>
          <w:bCs/>
          <w:spacing w:val="-10"/>
          <w:sz w:val="24"/>
          <w:szCs w:val="24"/>
        </w:rPr>
        <w:t>知识产权</w:t>
      </w:r>
    </w:p>
    <w:p w14:paraId="06D8F37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乙方应保证所提供的服务或其任何一部分均不会侵犯任何第三方的专利权、商标权或著作权，否则由乙方承担全部责任。</w:t>
      </w:r>
    </w:p>
    <w:p w14:paraId="67713593">
      <w:pPr>
        <w:pStyle w:val="2"/>
        <w:spacing w:before="40" w:line="222" w:lineRule="auto"/>
        <w:ind w:left="34"/>
        <w:rPr>
          <w:sz w:val="24"/>
          <w:szCs w:val="24"/>
        </w:rPr>
      </w:pPr>
      <w:r>
        <w:rPr>
          <w:b/>
          <w:bCs/>
          <w:spacing w:val="-10"/>
          <w:sz w:val="24"/>
          <w:szCs w:val="24"/>
        </w:rPr>
        <w:t>第七条</w:t>
      </w:r>
      <w:r>
        <w:rPr>
          <w:spacing w:val="-10"/>
          <w:sz w:val="24"/>
          <w:szCs w:val="24"/>
        </w:rPr>
        <w:t xml:space="preserve"> </w:t>
      </w:r>
      <w:r>
        <w:rPr>
          <w:b/>
          <w:bCs/>
          <w:spacing w:val="-10"/>
          <w:sz w:val="24"/>
          <w:szCs w:val="24"/>
        </w:rPr>
        <w:t>违约责任</w:t>
      </w:r>
    </w:p>
    <w:p w14:paraId="7CD2BC91">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1、检测机构出具虚假、错误检验数据和结论，或者超范围出具检测报告等违反食品安全抽检相关法律法规的情形，一经发现，立即取消合作资格。</w:t>
      </w:r>
    </w:p>
    <w:p w14:paraId="478BE69C">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2、如因乙方未全面履行合同义务或者发生违约，甲方有权单方无责解除本合同，依法向乙方进行经济索赔，并报请政府采购监督管理部门进行相应的行政处罚。甲方违约的，应当赔偿给乙方造成的直接经济损失。</w:t>
      </w:r>
    </w:p>
    <w:p w14:paraId="089DDF88">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招标方误期赔偿金，直至交货或提供服务结束为止，所有因延期而产生的费用由乙方承担。</w:t>
      </w:r>
    </w:p>
    <w:p w14:paraId="70F943A0">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4、下列情形甲方有权单方无责解除本合同，拒付任何费用并有权要求乙方赔偿甲方的直接和间接损失，且乙方应按照合同服务期总承检费用的20%支付违约金。</w:t>
      </w:r>
    </w:p>
    <w:p w14:paraId="403A81F9">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（一）乙方未按时完成抽样、检测、录入、数据分析报告等与抽检有关任务的；</w:t>
      </w:r>
    </w:p>
    <w:p w14:paraId="78BEF89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（二）乙方未按照本合同约定的操作规程开展抽样、检测工作；</w:t>
      </w:r>
    </w:p>
    <w:p w14:paraId="52671652">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（三）乙方或其雇员违反保密义务的，泄露检测数据或结论等与检测有关事项的；</w:t>
      </w:r>
    </w:p>
    <w:p w14:paraId="20278458">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（四）合同期间，乙方累计 2 次出现错误的检测数据或结论；</w:t>
      </w:r>
    </w:p>
    <w:p w14:paraId="6AAEDF49">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（五）乙方出现的违约行为，将导致甲方承担责任或给甲方造成不良社会影响的；</w:t>
      </w:r>
    </w:p>
    <w:p w14:paraId="5BE41CA7">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（六）乙方提供虚假检测资质或报告，超出检测资质范围进行检测或相关检测资质超出有效期等；</w:t>
      </w:r>
    </w:p>
    <w:p w14:paraId="7AD3524A">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（七）其他违反食品安全抽样检测工作有关要求的。</w:t>
      </w:r>
    </w:p>
    <w:p w14:paraId="5154E263">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乙方违反本合同项下条款约定均视为违约，除本合同另有约定外，其承担责任的范围包括但不限于：赔偿损失、媒体澄清事实并赔礼道歉、赔偿因违反保密、数据或结论错误等导致的第三方损失，以及包括律师费在内的实现债权的全部费用。</w:t>
      </w:r>
    </w:p>
    <w:p w14:paraId="56D86F38">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2" w:firstLineChars="200"/>
        <w:textAlignment w:val="auto"/>
        <w:rPr>
          <w:rFonts w:hint="eastAsia" w:ascii="Times New Roman"/>
          <w:spacing w:val="-5"/>
          <w:sz w:val="24"/>
          <w:szCs w:val="24"/>
          <w:lang w:val="en-US" w:eastAsia="zh-CN"/>
        </w:rPr>
      </w:pPr>
      <w:r>
        <w:rPr>
          <w:rFonts w:hint="eastAsia" w:ascii="Times New Roman"/>
          <w:b/>
          <w:bCs/>
          <w:spacing w:val="-5"/>
          <w:sz w:val="24"/>
          <w:szCs w:val="24"/>
          <w:lang w:val="en-US" w:eastAsia="zh-CN"/>
        </w:rPr>
        <w:t>第八条</w:t>
      </w:r>
      <w:r>
        <w:rPr>
          <w:rFonts w:hint="eastAsia" w:ascii="Times New Roman"/>
          <w:spacing w:val="-5"/>
          <w:sz w:val="24"/>
          <w:szCs w:val="24"/>
          <w:lang w:val="en-US" w:eastAsia="zh-CN"/>
        </w:rPr>
        <w:t xml:space="preserve"> 合同履行期间，相关法律、法规、规定、标准内容发生变化的，按新法律、法规、规定、标准执行。</w:t>
      </w:r>
    </w:p>
    <w:p w14:paraId="5C1D3C90">
      <w:pPr>
        <w:pStyle w:val="2"/>
        <w:spacing w:before="43" w:line="222" w:lineRule="auto"/>
        <w:ind w:left="502"/>
        <w:rPr>
          <w:sz w:val="24"/>
          <w:szCs w:val="24"/>
        </w:rPr>
      </w:pPr>
      <w:r>
        <w:rPr>
          <w:b/>
          <w:bCs/>
          <w:spacing w:val="-9"/>
          <w:sz w:val="24"/>
          <w:szCs w:val="24"/>
        </w:rPr>
        <w:t>第九条</w:t>
      </w:r>
      <w:r>
        <w:rPr>
          <w:spacing w:val="-9"/>
          <w:sz w:val="24"/>
          <w:szCs w:val="24"/>
        </w:rPr>
        <w:t xml:space="preserve"> </w:t>
      </w:r>
      <w:r>
        <w:rPr>
          <w:b/>
          <w:bCs/>
          <w:spacing w:val="-9"/>
          <w:sz w:val="24"/>
          <w:szCs w:val="24"/>
        </w:rPr>
        <w:t>不可抗力事件处理</w:t>
      </w:r>
    </w:p>
    <w:p w14:paraId="2ABFAD36">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0658D300">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2、受影响一方应在不可抗力事件发生后尽快用书面形式通知对方，并于不可抗力事件发生后14天内将有关当局出具的证明文件用特快专递或挂号信寄给对方审阅确认。一旦不可抗力事件的影响持续120天以上，双方应通过友好协商在合理的时间内达成进一步履行合同的协议。</w:t>
      </w:r>
    </w:p>
    <w:p w14:paraId="20380C95">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3、因合同一方迟延履行合同后发生不可抗力的，不能免除迟延履行方的相应责任。</w:t>
      </w:r>
    </w:p>
    <w:p w14:paraId="4C4DDE4C">
      <w:pPr>
        <w:pStyle w:val="2"/>
        <w:spacing w:before="178" w:line="222" w:lineRule="auto"/>
        <w:ind w:left="502"/>
        <w:rPr>
          <w:sz w:val="24"/>
          <w:szCs w:val="24"/>
        </w:rPr>
      </w:pPr>
      <w:r>
        <w:rPr>
          <w:b/>
          <w:bCs/>
          <w:spacing w:val="-10"/>
          <w:sz w:val="24"/>
          <w:szCs w:val="24"/>
        </w:rPr>
        <w:t>第十条</w:t>
      </w:r>
      <w:r>
        <w:rPr>
          <w:spacing w:val="-10"/>
          <w:sz w:val="24"/>
          <w:szCs w:val="24"/>
        </w:rPr>
        <w:t xml:space="preserve"> </w:t>
      </w:r>
      <w:r>
        <w:rPr>
          <w:b/>
          <w:bCs/>
          <w:spacing w:val="-10"/>
          <w:sz w:val="24"/>
          <w:szCs w:val="24"/>
        </w:rPr>
        <w:t>解决争议</w:t>
      </w:r>
    </w:p>
    <w:p w14:paraId="2CA62FD4">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本合同在履行过程中发生的争议，由甲、乙双方当事人协商解决，协商不成的依法向甲方所在地法院起诉。</w:t>
      </w:r>
    </w:p>
    <w:p w14:paraId="6C06757D">
      <w:pPr>
        <w:pStyle w:val="2"/>
        <w:spacing w:before="44" w:line="222" w:lineRule="auto"/>
        <w:ind w:left="502"/>
        <w:rPr>
          <w:sz w:val="24"/>
          <w:szCs w:val="24"/>
        </w:rPr>
      </w:pPr>
      <w:r>
        <w:rPr>
          <w:b/>
          <w:bCs/>
          <w:spacing w:val="-9"/>
          <w:sz w:val="24"/>
          <w:szCs w:val="24"/>
        </w:rPr>
        <w:t>第十一条</w:t>
      </w:r>
      <w:r>
        <w:rPr>
          <w:spacing w:val="-9"/>
          <w:sz w:val="24"/>
          <w:szCs w:val="24"/>
        </w:rPr>
        <w:t xml:space="preserve"> </w:t>
      </w:r>
      <w:r>
        <w:rPr>
          <w:b/>
          <w:bCs/>
          <w:spacing w:val="-9"/>
          <w:sz w:val="24"/>
          <w:szCs w:val="24"/>
        </w:rPr>
        <w:t>合同生效及其他</w:t>
      </w:r>
    </w:p>
    <w:p w14:paraId="0A6E07D0">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1、合同经双方法定代表人或授权委托代理人签字并加盖单位公章后生效。</w:t>
      </w:r>
    </w:p>
    <w:p w14:paraId="595EF02E">
      <w:pPr>
        <w:pStyle w:val="2"/>
        <w:keepNext w:val="0"/>
        <w:keepLines w:val="0"/>
        <w:pageBreakBefore w:val="0"/>
        <w:widowControl w:val="0"/>
        <w:kinsoku/>
        <w:wordWrap/>
        <w:overflowPunct/>
        <w:topLinePunct w:val="0"/>
        <w:autoSpaceDE/>
        <w:autoSpaceDN/>
        <w:bidi w:val="0"/>
        <w:adjustRightInd/>
        <w:snapToGrid/>
        <w:spacing w:after="0" w:line="360" w:lineRule="auto"/>
        <w:ind w:left="0" w:right="0" w:firstLine="460" w:firstLineChars="200"/>
        <w:textAlignment w:val="auto"/>
        <w:rPr>
          <w:rFonts w:hint="eastAsia" w:ascii="Times New Roman"/>
          <w:spacing w:val="-5"/>
          <w:sz w:val="24"/>
          <w:szCs w:val="24"/>
          <w:lang w:val="en-US" w:eastAsia="zh-CN"/>
        </w:rPr>
      </w:pPr>
      <w:r>
        <w:rPr>
          <w:rFonts w:hint="eastAsia" w:ascii="Times New Roman"/>
          <w:spacing w:val="-5"/>
          <w:sz w:val="24"/>
          <w:szCs w:val="24"/>
          <w:lang w:val="en-US" w:eastAsia="zh-CN"/>
        </w:rPr>
        <w:t>2、本合同一式</w:t>
      </w:r>
      <w:r>
        <w:rPr>
          <w:rFonts w:hint="eastAsia" w:ascii="Times New Roman"/>
          <w:spacing w:val="-5"/>
          <w:sz w:val="24"/>
          <w:szCs w:val="24"/>
          <w:u w:val="single"/>
          <w:lang w:val="en-US" w:eastAsia="zh-CN"/>
        </w:rPr>
        <w:t xml:space="preserve">   </w:t>
      </w:r>
      <w:r>
        <w:rPr>
          <w:rFonts w:hint="eastAsia" w:ascii="Times New Roman"/>
          <w:spacing w:val="-5"/>
          <w:sz w:val="24"/>
          <w:szCs w:val="24"/>
          <w:lang w:val="en-US" w:eastAsia="zh-CN"/>
        </w:rPr>
        <w:t>份，自双方签章之日起起效。甲方</w:t>
      </w:r>
      <w:r>
        <w:rPr>
          <w:rFonts w:hint="eastAsia" w:ascii="Times New Roman"/>
          <w:spacing w:val="-5"/>
          <w:sz w:val="24"/>
          <w:szCs w:val="24"/>
          <w:u w:val="single"/>
          <w:lang w:val="en-US" w:eastAsia="zh-CN"/>
        </w:rPr>
        <w:t xml:space="preserve">   </w:t>
      </w:r>
      <w:r>
        <w:rPr>
          <w:rFonts w:hint="eastAsia" w:ascii="Times New Roman"/>
          <w:spacing w:val="-5"/>
          <w:sz w:val="24"/>
          <w:szCs w:val="24"/>
          <w:lang w:val="en-US" w:eastAsia="zh-CN"/>
        </w:rPr>
        <w:t>份，乙方</w:t>
      </w:r>
      <w:r>
        <w:rPr>
          <w:rFonts w:hint="eastAsia" w:ascii="Times New Roman"/>
          <w:spacing w:val="-5"/>
          <w:sz w:val="24"/>
          <w:szCs w:val="24"/>
          <w:u w:val="single"/>
          <w:lang w:val="en-US" w:eastAsia="zh-CN"/>
        </w:rPr>
        <w:t xml:space="preserve">   </w:t>
      </w:r>
      <w:r>
        <w:rPr>
          <w:rFonts w:hint="eastAsia" w:ascii="Times New Roman"/>
          <w:spacing w:val="-5"/>
          <w:sz w:val="24"/>
          <w:szCs w:val="24"/>
          <w:lang w:val="en-US" w:eastAsia="zh-CN"/>
        </w:rPr>
        <w:t>份，具有同等法律效力。</w:t>
      </w:r>
    </w:p>
    <w:p w14:paraId="2C3BFA9A">
      <w:pPr>
        <w:pStyle w:val="2"/>
        <w:spacing w:before="181" w:line="222" w:lineRule="auto"/>
        <w:ind w:left="478"/>
        <w:rPr>
          <w:sz w:val="24"/>
          <w:szCs w:val="24"/>
        </w:rPr>
      </w:pPr>
      <w:r>
        <w:rPr>
          <w:b/>
          <w:bCs/>
          <w:spacing w:val="-20"/>
          <w:sz w:val="24"/>
          <w:szCs w:val="24"/>
        </w:rPr>
        <w:t>第十二条</w:t>
      </w:r>
      <w:r>
        <w:rPr>
          <w:spacing w:val="75"/>
          <w:sz w:val="24"/>
          <w:szCs w:val="24"/>
        </w:rPr>
        <w:t xml:space="preserve"> </w:t>
      </w:r>
      <w:r>
        <w:rPr>
          <w:b/>
          <w:bCs/>
          <w:spacing w:val="-20"/>
          <w:sz w:val="24"/>
          <w:szCs w:val="24"/>
        </w:rPr>
        <w:t>附件</w:t>
      </w:r>
    </w:p>
    <w:p w14:paraId="7382FCD5">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采购文件</w:t>
      </w:r>
    </w:p>
    <w:p w14:paraId="16A3C801">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2、修改澄清文件</w:t>
      </w:r>
    </w:p>
    <w:p w14:paraId="1909A4F5">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响应文件</w:t>
      </w:r>
    </w:p>
    <w:p w14:paraId="35D3490C">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4、中标通知书</w:t>
      </w:r>
    </w:p>
    <w:p w14:paraId="35B21A2E">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5、其他</w:t>
      </w:r>
    </w:p>
    <w:p w14:paraId="27315A0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1BD99B2">
      <w:pPr>
        <w:pStyle w:val="7"/>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p>
    <w:p w14:paraId="76930D94">
      <w:pPr>
        <w:pStyle w:val="7"/>
        <w:keepNext w:val="0"/>
        <w:keepLines w:val="0"/>
        <w:pageBreakBefore w:val="0"/>
        <w:widowControl w:val="0"/>
        <w:kinsoku/>
        <w:wordWrap/>
        <w:overflowPunct/>
        <w:topLinePunct w:val="0"/>
        <w:autoSpaceDE/>
        <w:autoSpaceDN/>
        <w:bidi w:val="0"/>
        <w:adjustRightInd/>
        <w:spacing w:line="36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以下无正文</w:t>
      </w:r>
      <w:r>
        <w:rPr>
          <w:rFonts w:hint="eastAsia" w:ascii="宋体" w:hAnsi="宋体" w:eastAsia="宋体" w:cs="宋体"/>
          <w:color w:val="auto"/>
          <w:sz w:val="24"/>
          <w:szCs w:val="24"/>
          <w:highlight w:val="none"/>
          <w:lang w:eastAsia="zh-CN"/>
        </w:rPr>
        <w:t>）</w:t>
      </w:r>
    </w:p>
    <w:p w14:paraId="77FECF59">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26769CE1">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法定代表人（授权代表）：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法定代表人（授权代表）：</w:t>
      </w:r>
    </w:p>
    <w:p w14:paraId="773DC4A3">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地    址：</w:t>
      </w:r>
    </w:p>
    <w:p w14:paraId="7F34F948">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开户银行：</w:t>
      </w:r>
    </w:p>
    <w:p w14:paraId="690CEB15">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账号：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账号：</w:t>
      </w:r>
    </w:p>
    <w:p w14:paraId="6B397A64">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581021B9">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2E19672E">
      <w:pPr>
        <w:keepNext w:val="0"/>
        <w:keepLines w:val="0"/>
        <w:pageBreakBefore w:val="0"/>
        <w:widowControl w:val="0"/>
        <w:kinsoku/>
        <w:wordWrap/>
        <w:overflowPunct/>
        <w:topLinePunct w:val="0"/>
        <w:autoSpaceDE/>
        <w:autoSpaceDN/>
        <w:bidi w:val="0"/>
        <w:adjustRightIn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   年   月   日</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   年   月   日</w:t>
      </w:r>
    </w:p>
    <w:p w14:paraId="4F1448A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7A8D0">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43EBB2">
                          <w:pPr>
                            <w:pStyle w:val="3"/>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63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443EBB2">
                    <w:pPr>
                      <w:pStyle w:val="3"/>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63</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C0409"/>
    <w:rsid w:val="02622C16"/>
    <w:rsid w:val="1DED5C7D"/>
    <w:rsid w:val="26AC0409"/>
    <w:rsid w:val="7D6D324A"/>
    <w:rsid w:val="7F6E5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unhideWhenUsed/>
    <w:qFormat/>
    <w:uiPriority w:val="99"/>
    <w:pPr>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3594</Words>
  <Characters>3622</Characters>
  <Lines>0</Lines>
  <Paragraphs>0</Paragraphs>
  <TotalTime>3</TotalTime>
  <ScaleCrop>false</ScaleCrop>
  <LinksUpToDate>false</LinksUpToDate>
  <CharactersWithSpaces>4116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2025-04-24T11:46:00Z</dcterms:created>
  <dc:creator>娜儿</dc:creator>
  <cp:lastModifiedBy>Glow Curve</cp:lastModifiedBy>
  <dcterms:modified xsi:type="dcterms:W3CDTF">2025-05-12T06:57:52Z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A05373E75F314B1B924D8112F2F2A502_11</vt:lpwstr>
  </property>
  <property fmtid="{D5CDD505-2E9C-101B-9397-08002B2CF9AE}" pid="4" name="KSOTemplateDocerSaveRecord">
    <vt:lpwstr>eyJoZGlkIjoiMjMxZGZiNzhlZDRjMDg2Y2QzYzg1ZjRmYWM2ZDQ0YWEiLCJ1c2VySWQiOiIyOTY3NDUzMTYifQ==</vt:lpwstr>
  </property>
</Properties>
</file>