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版本号：ZCZX2025-CS-09220250519001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消防提升改造项目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ZCZX2025-CS-092</w:t>
      </w:r>
      <w:r>
        <w:br/>
      </w:r>
      <w:r>
        <w:br/>
      </w:r>
      <w:r>
        <w:br/>
      </w:r>
    </w:p>
    <w:p>
      <w:pPr>
        <w:pStyle w:val="null3"/>
        <w:jc w:val="center"/>
        <w:outlineLvl w:val="2"/>
      </w:pPr>
      <w:r>
        <w:rPr>
          <w:rFonts w:ascii="仿宋_GB2312" w:hAnsi="仿宋_GB2312" w:cs="仿宋_GB2312" w:eastAsia="仿宋_GB2312"/>
          <w:sz w:val="28"/>
          <w:b/>
        </w:rPr>
        <w:t>西安市碑林区南院门幼儿园</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西安市碑林区南院门幼儿园</w:t>
      </w:r>
      <w:r>
        <w:rPr>
          <w:rFonts w:ascii="仿宋_GB2312" w:hAnsi="仿宋_GB2312" w:cs="仿宋_GB2312" w:eastAsia="仿宋_GB2312"/>
        </w:rPr>
        <w:t>委托，拟对</w:t>
      </w:r>
      <w:r>
        <w:rPr>
          <w:rFonts w:ascii="仿宋_GB2312" w:hAnsi="仿宋_GB2312" w:cs="仿宋_GB2312" w:eastAsia="仿宋_GB2312"/>
        </w:rPr>
        <w:t>消防提升改造项目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ZCZX2025-CS-092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消防提升改造项目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本项目为西安市碑林区南院门幼儿园消防提升改造项目，具体内容详见工程量清单及图纸。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采购包1（消防提升改造项目）：属于专门面向中小企业采购。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1、资质要求：供应商提供建设部门颁发的建筑工程施工总承包三级及以上资质或消防设施工程专业承包二级及以上资质和建筑装修装饰工程专业承包二级及以上资质；具备有效的安全生产许可证；</w:t>
      </w:r>
    </w:p>
    <w:p>
      <w:pPr>
        <w:pStyle w:val="null3"/>
      </w:pPr>
      <w:r>
        <w:rPr>
          <w:rFonts w:ascii="仿宋_GB2312" w:hAnsi="仿宋_GB2312" w:cs="仿宋_GB2312" w:eastAsia="仿宋_GB2312"/>
        </w:rPr>
        <w:t>2、拟派项目负责人资质和专业要求：拟派项目经理须具有在本单位注册的建筑工程专业二级及以上注册建造师证书和有效的安全考核合格B证，并提供无在建工程承诺和无不良记录承诺；</w:t>
      </w:r>
    </w:p>
    <w:p>
      <w:pPr>
        <w:pStyle w:val="null3"/>
      </w:pPr>
      <w:r>
        <w:rPr>
          <w:rFonts w:ascii="仿宋_GB2312" w:hAnsi="仿宋_GB2312" w:cs="仿宋_GB2312" w:eastAsia="仿宋_GB2312"/>
        </w:rPr>
        <w:t>3、供应商及项目经理信息查询要求：供应商基本信息及项目经理的基本信息在“陕西省住房和城乡建设厅(http://js.shaanxi.gov.cn/)”或“全国建筑市场监管公共服务平台(https://jzsc.mohurd.gov.cn/)”可查询”；</w:t>
      </w:r>
    </w:p>
    <w:p>
      <w:pPr>
        <w:pStyle w:val="null3"/>
      </w:pPr>
      <w:r>
        <w:rPr>
          <w:rFonts w:ascii="仿宋_GB2312" w:hAnsi="仿宋_GB2312" w:cs="仿宋_GB2312" w:eastAsia="仿宋_GB2312"/>
        </w:rPr>
        <w:t>4、其他要求：供应商基本信息及项目经理的基本信息在“陕西省住房和城乡建设厅(http://js.shaanxi.gov.cn/)”或“全国建筑市场监管公共服务平台(https://jzsc.mohurd.gov.cn/)”可查询”；</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西安市碑林区南院门幼儿园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湘子庙街39号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029-87230381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吴芳超 雷双标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采购包1：760,314.77元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不足8000元的，按8000元收取。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西安市碑林区南院门幼儿园</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西安市碑林区南院门幼儿园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西安市碑林区南院门幼儿园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联系人：吴芳超、王鹏飞</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760,314.77</w:t>
      </w:r>
    </w:p>
    <w:p>
      <w:pPr>
        <w:pStyle w:val="null3"/>
      </w:pPr>
      <w:r>
        <w:rPr>
          <w:rFonts w:ascii="仿宋_GB2312" w:hAnsi="仿宋_GB2312" w:cs="仿宋_GB2312" w:eastAsia="仿宋_GB2312"/>
        </w:rPr>
        <w:t>采购包最高限价（元）: 760,314.77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B05100000 消防工程和安防工程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760,314.77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标的名称：B05100000 消防工程和安防工程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10" w:after="90"/>
              <w:ind w:left="270"/>
            </w:pPr>
            <w:r>
              <w:rPr>
                <w:rFonts w:ascii="仿宋_GB2312" w:hAnsi="仿宋_GB2312" w:cs="仿宋_GB2312" w:eastAsia="仿宋_GB2312"/>
              </w:rPr>
              <w:t>一、项目概况</w:t>
            </w:r>
          </w:p>
          <w:p>
            <w:pPr>
              <w:pStyle w:val="null3"/>
            </w:pPr>
            <w:r>
              <w:rPr>
                <w:rFonts w:ascii="仿宋_GB2312" w:hAnsi="仿宋_GB2312" w:cs="仿宋_GB2312" w:eastAsia="仿宋_GB2312"/>
              </w:rPr>
              <w:t>西安市碑林区南院门幼儿园消防提升改造项目对范围内拆除原有，改造符合消防安全工程，达到幼儿园消防安全标准。（具体以工程量清单为准）。</w:t>
            </w:r>
          </w:p>
          <w:p>
            <w:pPr>
              <w:pStyle w:val="null3"/>
            </w:pPr>
            <w:r>
              <w:rPr>
                <w:rFonts w:ascii="仿宋_GB2312" w:hAnsi="仿宋_GB2312" w:cs="仿宋_GB2312" w:eastAsia="仿宋_GB2312"/>
              </w:rPr>
              <w:t>二、工程内容和施工地点、计划工期</w:t>
            </w:r>
          </w:p>
          <w:p>
            <w:pPr>
              <w:pStyle w:val="null3"/>
            </w:pPr>
            <w:r>
              <w:rPr>
                <w:rFonts w:ascii="仿宋_GB2312" w:hAnsi="仿宋_GB2312" w:cs="仿宋_GB2312" w:eastAsia="仿宋_GB2312"/>
              </w:rPr>
              <w:t>（一）工程内容：拆除原有改造符合消防安全工程，达到幼儿园消防安全标准。</w:t>
            </w:r>
          </w:p>
          <w:p>
            <w:pPr>
              <w:pStyle w:val="null3"/>
            </w:pPr>
            <w:r>
              <w:rPr>
                <w:rFonts w:ascii="仿宋_GB2312" w:hAnsi="仿宋_GB2312" w:cs="仿宋_GB2312" w:eastAsia="仿宋_GB2312"/>
              </w:rPr>
              <w:t>（二）工程地点：西安市碑林区南院门幼儿园。</w:t>
            </w:r>
          </w:p>
          <w:p>
            <w:pPr>
              <w:pStyle w:val="null3"/>
            </w:pPr>
            <w:r>
              <w:rPr>
                <w:rFonts w:ascii="仿宋_GB2312" w:hAnsi="仿宋_GB2312" w:cs="仿宋_GB2312" w:eastAsia="仿宋_GB2312"/>
              </w:rPr>
              <w:t>（三）计划工期：自进场之日起30天内竣工。</w:t>
            </w:r>
          </w:p>
          <w:p>
            <w:pPr>
              <w:pStyle w:val="null3"/>
            </w:pPr>
            <w:r>
              <w:rPr>
                <w:rFonts w:ascii="仿宋_GB2312" w:hAnsi="仿宋_GB2312" w:cs="仿宋_GB2312" w:eastAsia="仿宋_GB2312"/>
              </w:rPr>
              <w:t>（四）缺陷责任期（与质保金的退还有关）：2年。</w:t>
            </w:r>
          </w:p>
          <w:p>
            <w:pPr>
              <w:pStyle w:val="null3"/>
            </w:pPr>
            <w:r>
              <w:rPr>
                <w:rFonts w:ascii="仿宋_GB2312" w:hAnsi="仿宋_GB2312" w:cs="仿宋_GB2312" w:eastAsia="仿宋_GB2312"/>
              </w:rPr>
              <w:t>（五）质量保修期（与质保金的退还无关）：自工程竣工验收合格之日起两年。</w:t>
            </w:r>
          </w:p>
          <w:p>
            <w:pPr>
              <w:pStyle w:val="null3"/>
            </w:pPr>
            <w:r>
              <w:rPr>
                <w:rFonts w:ascii="仿宋_GB2312" w:hAnsi="仿宋_GB2312" w:cs="仿宋_GB2312" w:eastAsia="仿宋_GB2312"/>
              </w:rPr>
              <w:t>（六）质量要求：合格。</w:t>
            </w:r>
          </w:p>
          <w:p>
            <w:pPr>
              <w:pStyle w:val="null3"/>
            </w:pPr>
            <w:r>
              <w:rPr>
                <w:rFonts w:ascii="仿宋_GB2312" w:hAnsi="仿宋_GB2312" w:cs="仿宋_GB2312" w:eastAsia="仿宋_GB2312"/>
              </w:rPr>
              <w:t>三、工程量清单和计价依据</w:t>
            </w:r>
          </w:p>
          <w:p>
            <w:pPr>
              <w:pStyle w:val="null3"/>
            </w:pPr>
            <w:r>
              <w:rPr>
                <w:rFonts w:ascii="仿宋_GB2312" w:hAnsi="仿宋_GB2312" w:cs="仿宋_GB2312" w:eastAsia="仿宋_GB2312"/>
              </w:rPr>
              <w:t>根据西安市碑林区南院门幼儿园消防提升改造项目图纸编制工程量；</w:t>
            </w:r>
          </w:p>
          <w:p>
            <w:pPr>
              <w:pStyle w:val="null3"/>
            </w:pPr>
            <w:r>
              <w:rPr>
                <w:rFonts w:ascii="仿宋_GB2312" w:hAnsi="仿宋_GB2312" w:cs="仿宋_GB2312" w:eastAsia="仿宋_GB2312"/>
              </w:rPr>
              <w:t>1.《陕西省建设工程工程量清单计价规则》【2009】；</w:t>
            </w:r>
          </w:p>
          <w:p>
            <w:pPr>
              <w:pStyle w:val="null3"/>
            </w:pPr>
            <w:r>
              <w:rPr>
                <w:rFonts w:ascii="仿宋_GB2312" w:hAnsi="仿宋_GB2312" w:cs="仿宋_GB2312" w:eastAsia="仿宋_GB2312"/>
              </w:rPr>
              <w:t>2.陕西省建设厅《陕西省建筑、安装、市政、园林绿化工程消耗量定额》【2004】；</w:t>
            </w:r>
          </w:p>
          <w:p>
            <w:pPr>
              <w:pStyle w:val="null3"/>
            </w:pPr>
            <w:r>
              <w:rPr>
                <w:rFonts w:ascii="仿宋_GB2312" w:hAnsi="仿宋_GB2312" w:cs="仿宋_GB2312" w:eastAsia="仿宋_GB2312"/>
              </w:rPr>
              <w:t>3.陕西省建设厅《陕西省建筑、安装、市政、园林绿化工程价目表》【2009】；</w:t>
            </w:r>
          </w:p>
          <w:p>
            <w:pPr>
              <w:pStyle w:val="null3"/>
            </w:pPr>
            <w:r>
              <w:rPr>
                <w:rFonts w:ascii="仿宋_GB2312" w:hAnsi="仿宋_GB2312" w:cs="仿宋_GB2312" w:eastAsia="仿宋_GB2312"/>
              </w:rPr>
              <w:t>4.土建拆除工程根据《全统修缮定额土建工程陕西省价目表（2001）》；</w:t>
            </w:r>
          </w:p>
          <w:p>
            <w:pPr>
              <w:pStyle w:val="null3"/>
            </w:pPr>
            <w:r>
              <w:rPr>
                <w:rFonts w:ascii="仿宋_GB2312" w:hAnsi="仿宋_GB2312" w:cs="仿宋_GB2312" w:eastAsia="仿宋_GB2312"/>
              </w:rPr>
              <w:t>5.安装拆除工程根据《全统修缮定额安装工程陕西省价目表（2001）》；</w:t>
            </w:r>
          </w:p>
          <w:p>
            <w:pPr>
              <w:pStyle w:val="null3"/>
            </w:pPr>
            <w:r>
              <w:rPr>
                <w:rFonts w:ascii="仿宋_GB2312" w:hAnsi="仿宋_GB2312" w:cs="仿宋_GB2312" w:eastAsia="仿宋_GB2312"/>
              </w:rPr>
              <w:t>6.《关于调整陕西省建设工程计价依据的通知》（陕建发【2019】45号文）；</w:t>
            </w:r>
          </w:p>
          <w:p>
            <w:pPr>
              <w:pStyle w:val="null3"/>
            </w:pPr>
            <w:r>
              <w:rPr>
                <w:rFonts w:ascii="仿宋_GB2312" w:hAnsi="仿宋_GB2312" w:cs="仿宋_GB2312" w:eastAsia="仿宋_GB2312"/>
              </w:rPr>
              <w:t>7.《关于增加建设工程扬尘治理专项措施费》（陕建发【2017】270号文件）；</w:t>
            </w:r>
          </w:p>
          <w:p>
            <w:pPr>
              <w:pStyle w:val="null3"/>
            </w:pPr>
            <w:r>
              <w:rPr>
                <w:rFonts w:ascii="仿宋_GB2312" w:hAnsi="仿宋_GB2312" w:cs="仿宋_GB2312" w:eastAsia="仿宋_GB2312"/>
              </w:rPr>
              <w:t>8.《关于发布我省落实建筑工人实名制管理计价依据的通知》（陕建发【2019】1246号文件）；</w:t>
            </w:r>
          </w:p>
          <w:p>
            <w:pPr>
              <w:pStyle w:val="null3"/>
            </w:pPr>
            <w:r>
              <w:rPr>
                <w:rFonts w:ascii="仿宋_GB2312" w:hAnsi="仿宋_GB2312" w:cs="仿宋_GB2312" w:eastAsia="仿宋_GB2312"/>
              </w:rPr>
              <w:t>9.《关于建筑施工安全生产责任保险费用计价的通知》（陕建发【2020】1097号文件）；</w:t>
            </w:r>
          </w:p>
          <w:p>
            <w:pPr>
              <w:pStyle w:val="null3"/>
            </w:pPr>
            <w:r>
              <w:rPr>
                <w:rFonts w:ascii="仿宋_GB2312" w:hAnsi="仿宋_GB2312" w:cs="仿宋_GB2312" w:eastAsia="仿宋_GB2312"/>
              </w:rPr>
              <w:t>10.《关于调整房屋建筑和市政基础设施工程工程量清单计价综合人工单价的通知》（陕建发〔2021〕1097号）；</w:t>
            </w:r>
          </w:p>
          <w:p>
            <w:pPr>
              <w:pStyle w:val="null3"/>
            </w:pPr>
            <w:r>
              <w:rPr>
                <w:rFonts w:ascii="仿宋_GB2312" w:hAnsi="仿宋_GB2312" w:cs="仿宋_GB2312" w:eastAsia="仿宋_GB2312"/>
              </w:rPr>
              <w:t>11.《关于全省统一停止收缴建筑业劳保费用的通知》（陕建发【2021】1021号文件）；</w:t>
            </w:r>
          </w:p>
          <w:p>
            <w:pPr>
              <w:pStyle w:val="null3"/>
            </w:pPr>
            <w:r>
              <w:rPr>
                <w:rFonts w:ascii="仿宋_GB2312" w:hAnsi="仿宋_GB2312" w:cs="仿宋_GB2312" w:eastAsia="仿宋_GB2312"/>
              </w:rPr>
              <w:t>12.工程量清单电子版使用广联达云计价软件GCCP6.0（版本：6.4100.23.122）；</w:t>
            </w:r>
          </w:p>
          <w:p>
            <w:pPr>
              <w:pStyle w:val="null3"/>
            </w:pPr>
            <w:r>
              <w:rPr>
                <w:rFonts w:ascii="仿宋_GB2312" w:hAnsi="仿宋_GB2312" w:cs="仿宋_GB2312" w:eastAsia="仿宋_GB2312"/>
              </w:rPr>
              <w:t>13.本工程材料价格按西安市2024年第十二期材料信息价及市场询价。</w:t>
            </w:r>
          </w:p>
          <w:p>
            <w:pPr>
              <w:pStyle w:val="null3"/>
            </w:pPr>
            <w:r>
              <w:rPr>
                <w:rFonts w:ascii="仿宋_GB2312" w:hAnsi="仿宋_GB2312" w:cs="仿宋_GB2312" w:eastAsia="仿宋_GB2312"/>
              </w:rPr>
              <w:t>14.工程量清单：详见工程量清单电子版文档。</w:t>
            </w:r>
          </w:p>
          <w:p>
            <w:pPr>
              <w:pStyle w:val="null3"/>
            </w:pPr>
            <w:r>
              <w:rPr>
                <w:rFonts w:ascii="仿宋_GB2312" w:hAnsi="仿宋_GB2312" w:cs="仿宋_GB2312" w:eastAsia="仿宋_GB2312"/>
              </w:rPr>
              <w:t>15.本工程暂列金额7万元计入建筑工程其他项目费中。</w:t>
            </w:r>
          </w:p>
          <w:p>
            <w:pPr>
              <w:pStyle w:val="null3"/>
            </w:pPr>
            <w:r>
              <w:rPr>
                <w:rFonts w:ascii="仿宋_GB2312" w:hAnsi="仿宋_GB2312" w:cs="仿宋_GB2312" w:eastAsia="仿宋_GB2312"/>
              </w:rPr>
              <w:t>四、施工要求</w:t>
            </w:r>
          </w:p>
          <w:p>
            <w:pPr>
              <w:pStyle w:val="null3"/>
            </w:pPr>
            <w:r>
              <w:rPr>
                <w:rFonts w:ascii="仿宋_GB2312" w:hAnsi="仿宋_GB2312" w:cs="仿宋_GB2312" w:eastAsia="仿宋_GB2312"/>
              </w:rPr>
              <w:t>1.在施工期间，成交供应商必须注意人员安全，加强安全措施，并对施工人员进行安全教育。施工人员必须持证上岗。</w:t>
            </w:r>
          </w:p>
          <w:p>
            <w:pPr>
              <w:pStyle w:val="null3"/>
            </w:pPr>
            <w:r>
              <w:rPr>
                <w:rFonts w:ascii="仿宋_GB2312" w:hAnsi="仿宋_GB2312" w:cs="仿宋_GB2312" w:eastAsia="仿宋_GB2312"/>
              </w:rPr>
              <w:t>2.供应商根据工程实际情况编制施工方案，制定工期进度安排表。</w:t>
            </w:r>
          </w:p>
          <w:p>
            <w:pPr>
              <w:pStyle w:val="null3"/>
            </w:pPr>
            <w:r>
              <w:rPr>
                <w:rFonts w:ascii="仿宋_GB2312" w:hAnsi="仿宋_GB2312" w:cs="仿宋_GB2312" w:eastAsia="仿宋_GB2312"/>
              </w:rPr>
              <w:t>3.供应商在本工程中的项目负责人(项目经理)，要求技术水平高、组织能力强、有丰富的工程业绩和实践经验，懂管理、善于协调。施工人员中特殊工程人员要求有上岗证。施工队伍稳定，保证整个工程顺利完工。</w:t>
            </w:r>
          </w:p>
          <w:p>
            <w:pPr>
              <w:pStyle w:val="null3"/>
            </w:pPr>
            <w:r>
              <w:rPr>
                <w:rFonts w:ascii="仿宋_GB2312" w:hAnsi="仿宋_GB2312" w:cs="仿宋_GB2312" w:eastAsia="仿宋_GB2312"/>
              </w:rPr>
              <w:t>4.施工过程中，严格遵守建设单位的各种管理规定及规章制度，做到文明施工。发生工伤及意外事故由施工单位负责。</w:t>
            </w:r>
          </w:p>
          <w:p>
            <w:pPr>
              <w:pStyle w:val="null3"/>
            </w:pPr>
            <w:r>
              <w:rPr>
                <w:rFonts w:ascii="仿宋_GB2312" w:hAnsi="仿宋_GB2312" w:cs="仿宋_GB2312" w:eastAsia="仿宋_GB2312"/>
              </w:rPr>
              <w:t>5.严格按照国家和省上有关规定施工、规范施工，确保工程合格，如有更改须事先征得有关方面的同意，并在采购人落实后实施，并出具书面说明。</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(1)合同签订后10天内支付合同总价款40%作为预付款；</w:t>
            </w:r>
          </w:p>
          <w:p>
            <w:pPr>
              <w:pStyle w:val="null3"/>
            </w:pPr>
            <w:r>
              <w:rPr>
                <w:rFonts w:ascii="仿宋_GB2312" w:hAnsi="仿宋_GB2312" w:cs="仿宋_GB2312" w:eastAsia="仿宋_GB2312"/>
              </w:rPr>
              <w:t>(2)工程竣工验收合格后15天内支付合同总价款的60%。</w:t>
            </w:r>
          </w:p>
          <w:p>
            <w:pPr>
              <w:pStyle w:val="null3"/>
            </w:pPr>
            <w:r>
              <w:rPr>
                <w:rFonts w:ascii="仿宋_GB2312" w:hAnsi="仿宋_GB2312" w:cs="仿宋_GB2312" w:eastAsia="仿宋_GB2312"/>
              </w:rPr>
              <w:t>六、其他</w:t>
            </w:r>
          </w:p>
          <w:p>
            <w:pPr>
              <w:pStyle w:val="null3"/>
            </w:pPr>
            <w:r>
              <w:rPr>
                <w:rFonts w:ascii="仿宋_GB2312" w:hAnsi="仿宋_GB2312" w:cs="仿宋_GB2312" w:eastAsia="仿宋_GB2312"/>
              </w:rPr>
              <w:t>（一）项目实施要求及质量保证</w:t>
            </w:r>
          </w:p>
          <w:p>
            <w:pPr>
              <w:pStyle w:val="null3"/>
            </w:pPr>
            <w:r>
              <w:rPr>
                <w:rFonts w:ascii="仿宋_GB2312" w:hAnsi="仿宋_GB2312" w:cs="仿宋_GB2312" w:eastAsia="仿宋_GB2312"/>
              </w:rPr>
              <w:t>1、工程实行包工包料，供应商必须具备相应的资质，不得转包、分包。</w:t>
            </w:r>
          </w:p>
          <w:p>
            <w:pPr>
              <w:pStyle w:val="null3"/>
            </w:pPr>
            <w:r>
              <w:rPr>
                <w:rFonts w:ascii="仿宋_GB2312" w:hAnsi="仿宋_GB2312" w:cs="仿宋_GB2312" w:eastAsia="仿宋_GB2312"/>
              </w:rPr>
              <w:t>2、供应商根据工程实际情况编制施工方案，制定工期进度安排表，并随磋商响应文件一并提交。</w:t>
            </w:r>
          </w:p>
          <w:p>
            <w:pPr>
              <w:pStyle w:val="null3"/>
            </w:pPr>
            <w:r>
              <w:rPr>
                <w:rFonts w:ascii="仿宋_GB2312" w:hAnsi="仿宋_GB2312" w:cs="仿宋_GB2312" w:eastAsia="仿宋_GB2312"/>
              </w:rPr>
              <w:t>3、供应商在本工程中的项目负责人(项目经理)，要求技术水平高、组织能力强、有丰富的工程业绩和实践经验，懂管理、善于协调，须在本单位缴纳社保并提供社保证明，复印件审核，项目管理人员须在本单位缴纳社保并提供社保证明，复印件审核。施工人员中质检员、特殊工程人员要求有上岗证。施工队伍稳定，保证整个工程顺利完工。</w:t>
            </w:r>
          </w:p>
          <w:p>
            <w:pPr>
              <w:pStyle w:val="null3"/>
            </w:pPr>
            <w:r>
              <w:rPr>
                <w:rFonts w:ascii="仿宋_GB2312" w:hAnsi="仿宋_GB2312" w:cs="仿宋_GB2312" w:eastAsia="仿宋_GB2312"/>
              </w:rPr>
              <w:t>4、施工过程中，严格遵守建设单位的各种管理规定及规章制度，做到文明施工。发生工伤及意外事故由施工单位负责。</w:t>
            </w:r>
          </w:p>
          <w:p>
            <w:pPr>
              <w:pStyle w:val="null3"/>
            </w:pPr>
            <w:r>
              <w:rPr>
                <w:rFonts w:ascii="仿宋_GB2312" w:hAnsi="仿宋_GB2312" w:cs="仿宋_GB2312" w:eastAsia="仿宋_GB2312"/>
              </w:rPr>
              <w:t>5、严格按照国家和省上有关规定施工、规范施工，确保工程合格，如有更改须事先 征得有关方面的同意，并在采购人落实后实施，并出具书面说明。</w:t>
            </w:r>
          </w:p>
          <w:p>
            <w:pPr>
              <w:pStyle w:val="null3"/>
            </w:pPr>
            <w:r>
              <w:rPr>
                <w:rFonts w:ascii="仿宋_GB2312" w:hAnsi="仿宋_GB2312" w:cs="仿宋_GB2312" w:eastAsia="仿宋_GB2312"/>
              </w:rPr>
              <w:t>6、所有进场材料需携带合格证等质量证明文件。由甲方现场代表对所进场材料予以验收并签字确认。</w:t>
            </w:r>
          </w:p>
          <w:p>
            <w:pPr>
              <w:pStyle w:val="null3"/>
            </w:pPr>
            <w:r>
              <w:rPr>
                <w:rFonts w:ascii="仿宋_GB2312" w:hAnsi="仿宋_GB2312" w:cs="仿宋_GB2312" w:eastAsia="仿宋_GB2312"/>
              </w:rPr>
              <w:t>7、施工期间需采取必要措施确保现场正常运行。</w:t>
            </w:r>
          </w:p>
          <w:p>
            <w:pPr>
              <w:pStyle w:val="null3"/>
            </w:pPr>
            <w:r>
              <w:rPr>
                <w:rFonts w:ascii="仿宋_GB2312" w:hAnsi="仿宋_GB2312" w:cs="仿宋_GB2312" w:eastAsia="仿宋_GB2312"/>
              </w:rPr>
              <w:t>8、所有施工人员需统一着装统一单位标识，严禁随意通行。</w:t>
            </w:r>
          </w:p>
          <w:p>
            <w:pPr>
              <w:pStyle w:val="null3"/>
            </w:pPr>
            <w:r>
              <w:rPr>
                <w:rFonts w:ascii="仿宋_GB2312" w:hAnsi="仿宋_GB2312" w:cs="仿宋_GB2312" w:eastAsia="仿宋_GB2312"/>
              </w:rPr>
              <w:t>9、选用的主材、设备、辅材必须国家名优产品，并明确其品牌、规格、型号、产地，并附鉴定证书，对主要设备材料必须先提交样品，经认质后，方可订货，不得使用未经检验或不合格的设备、材料，若发生此种情况，将追究相关人员责任，并赔偿由此造成的一切经济损失。</w:t>
            </w:r>
          </w:p>
          <w:p>
            <w:pPr>
              <w:pStyle w:val="null3"/>
            </w:pPr>
            <w:r>
              <w:rPr>
                <w:rFonts w:ascii="仿宋_GB2312" w:hAnsi="仿宋_GB2312" w:cs="仿宋_GB2312" w:eastAsia="仿宋_GB2312"/>
              </w:rPr>
              <w:t>10、施工方必须向采购人及时提供合格证及材料检验单。在征得有关方面认可后，方可进行施工，并做好相应的检验环节。</w:t>
            </w:r>
          </w:p>
          <w:p>
            <w:pPr>
              <w:pStyle w:val="null3"/>
            </w:pPr>
            <w:r>
              <w:rPr>
                <w:rFonts w:ascii="仿宋_GB2312" w:hAnsi="仿宋_GB2312" w:cs="仿宋_GB2312" w:eastAsia="仿宋_GB2312"/>
              </w:rPr>
              <w:t>11、施工方未经采购人同意，不得擅自更换本工程在磋商响应文件中指定的项目施工负责人(项目经理)及施工队伍。不得分包、转包。确需分包时须征得采购人同意。否则将终止合同并按政府采购有关规定进行处理。</w:t>
            </w:r>
          </w:p>
          <w:p>
            <w:pPr>
              <w:pStyle w:val="null3"/>
            </w:pPr>
            <w:r>
              <w:rPr>
                <w:rFonts w:ascii="仿宋_GB2312" w:hAnsi="仿宋_GB2312" w:cs="仿宋_GB2312" w:eastAsia="仿宋_GB2312"/>
              </w:rPr>
              <w:t>12、质量保证期为各供应商承诺的期限。施工单位的售后服务要完善、可靠、及时，并派遣相关技术人员配合采购人检查、维修。</w:t>
            </w:r>
          </w:p>
          <w:p>
            <w:pPr>
              <w:pStyle w:val="null3"/>
            </w:pPr>
            <w:r>
              <w:rPr>
                <w:rFonts w:ascii="仿宋_GB2312" w:hAnsi="仿宋_GB2312" w:cs="仿宋_GB2312" w:eastAsia="仿宋_GB2312"/>
              </w:rPr>
              <w:t>（二）质量验收标准或规范</w:t>
            </w:r>
          </w:p>
          <w:p>
            <w:pPr>
              <w:pStyle w:val="null3"/>
            </w:pPr>
            <w:r>
              <w:rPr>
                <w:rFonts w:ascii="仿宋_GB2312" w:hAnsi="仿宋_GB2312" w:cs="仿宋_GB2312" w:eastAsia="仿宋_GB2312"/>
              </w:rPr>
              <w:t>本工程的施工过程和成果必须符合国家有关工程建设标准强制性条文和国家或有关部门关于工程施工方面现行的标准、规范、规程、定额、办法、示例，以及陕西省关于工程施工方面的文件、规定。</w:t>
            </w:r>
          </w:p>
          <w:p>
            <w:pPr>
              <w:pStyle w:val="null3"/>
            </w:pPr>
            <w:r>
              <w:rPr>
                <w:rFonts w:ascii="仿宋_GB2312" w:hAnsi="仿宋_GB2312" w:cs="仿宋_GB2312" w:eastAsia="仿宋_GB2312"/>
              </w:rPr>
              <w:t>承包人在施工过程中使用或参考上述标准、规范以外的技术标准、规范时，应征得业主或业主指定代表人的同意。在施工过程中，如果国家或有关部门颁布了新的技术标准或规范，则承包人应采用新的标准或规范进行施工。</w:t>
            </w:r>
          </w:p>
          <w:p>
            <w:pPr>
              <w:pStyle w:val="null3"/>
            </w:pPr>
            <w:r>
              <w:rPr>
                <w:rFonts w:ascii="仿宋_GB2312" w:hAnsi="仿宋_GB2312" w:cs="仿宋_GB2312" w:eastAsia="仿宋_GB2312"/>
              </w:rPr>
              <w:t>（三）违约责任</w:t>
            </w:r>
          </w:p>
          <w:p>
            <w:pPr>
              <w:pStyle w:val="null3"/>
            </w:pPr>
            <w:r>
              <w:rPr>
                <w:rFonts w:ascii="仿宋_GB2312" w:hAnsi="仿宋_GB2312" w:cs="仿宋_GB2312" w:eastAsia="仿宋_GB2312"/>
              </w:rPr>
              <w:t>承包人应承担因其违约行为而增加的费用和（或）延误的工期。此外，可在专用合同条款中另行约定承包人违约责任的承担方式。</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3.3.1项目结算：结算审计是项目结算的必要条件，实际结算金额应以结算审计的审定金额为准。 最终结算价格不得超过成交金额。 因本项目为政府采购项目，若因相关政策或财务程序等影响，导致采购人不能及时付款供应商应予以宽容，采购人不构成违约。 3.3.2成交供应商在领取成交通知书前，需向采购代理机构提交纸质版响应文件二份，纸质版文件须为电子响应文件的打印版。 3.3.3签名是指手写签名或者加盖名章(含电子)，盖章是指加盖单位印章。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 自然人的身份证明； 2、具有良好的商业信誉和健全的财务会计制度（提供会计师事务所出具的2023或2024年度审计报告（须赋验证码），或递交响应文件截止之日前六个月内银行开具的资信证明（以上二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5、参加政府采购活动前三年内，在经营活动中没有重大违法记录的书面声明。6、供应商不得被列入“信用中国”网站(https://www.creditchina.gov.cn/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以评审现场查询结果为准。 注：资格审查小组，由1名采购人代表和2名采购代理机构工作人员组成，采购代理机构项目经理担任资格审查小组组长。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2023或2024年度审计报告（须赋验证码），或递交响应文件截止之日前六个月内银行开具的资信证明（以上二种形式的资料提供任何一种即可）。</w:t>
            </w:r>
          </w:p>
        </w:tc>
        <w:tc>
          <w:tcPr>
            <w:tcW w:type="dxa" w:w="1661"/>
          </w:tcPr>
          <w:p>
            <w:pPr>
              <w:pStyle w:val="null3"/>
            </w:pPr>
            <w:r>
              <w:rPr>
                <w:rFonts w:ascii="仿宋_GB2312" w:hAnsi="仿宋_GB2312" w:cs="仿宋_GB2312" w:eastAsia="仿宋_GB2312"/>
              </w:rPr>
              <w:t>资格证明文件1.docx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供应商提供建设部门颁发的建筑工程施工总承包三级及以上资质或消防设施工程专业承包二级及以上资质和建筑装修装饰工程专业承包二级及以上资质；具备有效的安全生产许可证；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拟派项目经理须具有在本单位注册的建筑工程专业二级及以上注册建造师证书和有效的安全考核合格B证，并提供无在建工程承诺和无不良记录承诺；</w:t>
            </w:r>
          </w:p>
        </w:tc>
        <w:tc>
          <w:tcPr>
            <w:tcW w:type="dxa" w:w="1661"/>
          </w:tcPr>
          <w:p>
            <w:pPr>
              <w:pStyle w:val="null3"/>
            </w:pPr>
            <w:r>
              <w:rPr>
                <w:rFonts w:ascii="仿宋_GB2312" w:hAnsi="仿宋_GB2312" w:cs="仿宋_GB2312" w:eastAsia="仿宋_GB2312"/>
              </w:rPr>
              <w:t>资格证明文件1.docx 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供应商及项目经理信息查询要求</w:t>
            </w:r>
          </w:p>
        </w:tc>
        <w:tc>
          <w:tcPr>
            <w:tcW w:type="dxa" w:w="3322"/>
          </w:tcPr>
          <w:p>
            <w:pPr>
              <w:pStyle w:val="null3"/>
            </w:pPr>
            <w:r>
              <w:rPr>
                <w:rFonts w:ascii="仿宋_GB2312" w:hAnsi="仿宋_GB2312" w:cs="仿宋_GB2312" w:eastAsia="仿宋_GB2312"/>
              </w:rPr>
              <w:t>供应商基本信息及项目经理的基本信息在“陕西省住房和城乡建设厅(http://js.shaanxi.gov.cn/)”或“全国建筑市场监管公共服务平台(https://jzsc.mohurd.gov.cn/)”可查询”；</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供应商基本信息及项目经理的基本信息在“陕西省住房和城乡建设厅(http://js.shaanxi.gov.cn/)”或“全国建筑市场监管公共服务平台(https://jzsc.mohurd.gov.cn/)”可查询”；</w:t>
            </w:r>
          </w:p>
        </w:tc>
        <w:tc>
          <w:tcPr>
            <w:tcW w:type="dxa" w:w="1661"/>
          </w:tcPr>
          <w:p>
            <w:pPr>
              <w:pStyle w:val="null3"/>
            </w:pPr>
            <w:r>
              <w:rPr>
                <w:rFonts w:ascii="仿宋_GB2312" w:hAnsi="仿宋_GB2312" w:cs="仿宋_GB2312" w:eastAsia="仿宋_GB2312"/>
              </w:rPr>
              <w:t>响应文件封面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磋商响应文件按磋商文件要求盖章、法定代表人（或负责人）或其授权代表签字或盖章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满足技术参数及性能指标</w:t>
            </w:r>
          </w:p>
        </w:tc>
        <w:tc>
          <w:tcPr>
            <w:tcW w:type="dxa" w:w="3322"/>
          </w:tcPr>
          <w:p>
            <w:pPr>
              <w:pStyle w:val="null3"/>
            </w:pPr>
            <w:r>
              <w:rPr>
                <w:rFonts w:ascii="仿宋_GB2312" w:hAnsi="仿宋_GB2312" w:cs="仿宋_GB2312" w:eastAsia="仿宋_GB2312"/>
              </w:rPr>
              <w:t>工程地点、工期、工程质量标准、缺陷责任期、质量保修期均满足磋商文件要求。</w:t>
            </w:r>
          </w:p>
        </w:tc>
        <w:tc>
          <w:tcPr>
            <w:tcW w:type="dxa" w:w="1661"/>
          </w:tcPr>
          <w:p>
            <w:pPr>
              <w:pStyle w:val="null3"/>
            </w:pPr>
            <w:r>
              <w:rPr>
                <w:rFonts w:ascii="仿宋_GB2312" w:hAnsi="仿宋_GB2312" w:cs="仿宋_GB2312" w:eastAsia="仿宋_GB2312"/>
              </w:rPr>
              <w:t>商务技术文件.docx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确保环境保护组织措施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项目管理机构及劳动力安排计划</w:t>
            </w:r>
          </w:p>
        </w:tc>
        <w:tc>
          <w:tcPr>
            <w:tcW w:type="dxa" w:w="2492"/>
          </w:tcPr>
          <w:p>
            <w:pPr>
              <w:pStyle w:val="null3"/>
            </w:pPr>
            <w:r>
              <w:rPr>
                <w:rFonts w:ascii="仿宋_GB2312" w:hAnsi="仿宋_GB2312" w:cs="仿宋_GB2312" w:eastAsia="仿宋_GB2312"/>
              </w:rPr>
              <w:t>根据响应程度赋0-6分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针对本工程设置具体可行并符合国家相关保修规范的售后服务承诺。根据其相应程度得0-10分。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主要材料与设备为环境标志产品</w:t>
            </w:r>
          </w:p>
        </w:tc>
        <w:tc>
          <w:tcPr>
            <w:tcW w:type="dxa" w:w="2492"/>
          </w:tcPr>
          <w:p>
            <w:pPr>
              <w:pStyle w:val="null3"/>
            </w:pPr>
            <w:r>
              <w:rPr>
                <w:rFonts w:ascii="仿宋_GB2312" w:hAnsi="仿宋_GB2312" w:cs="仿宋_GB2312" w:eastAsia="仿宋_GB2312"/>
              </w:rPr>
              <w:t>每种产品得0.5分，最高得1分，没有计0分。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主要材料与设备为节能产品</w:t>
            </w:r>
          </w:p>
        </w:tc>
        <w:tc>
          <w:tcPr>
            <w:tcW w:type="dxa" w:w="2492"/>
          </w:tcPr>
          <w:p>
            <w:pPr>
              <w:pStyle w:val="null3"/>
            </w:pPr>
            <w:r>
              <w:rPr>
                <w:rFonts w:ascii="仿宋_GB2312" w:hAnsi="仿宋_GB2312" w:cs="仿宋_GB2312" w:eastAsia="仿宋_GB2312"/>
              </w:rPr>
              <w:t>每种产品得0.5分，最高得1分，没有不得分；属强制节能产品的不再得分，未提供该产品的按无效响应文件处理。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具有2021年1月1日至今的类似业绩(以合同签订日期为准)，业绩以合同复印件为依据。每个业绩计2分，5个以上(含5个)计10分。未提供计0分。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价优先法，即实质性满足磋商文件要求且最终磋商报价最低的为磋商基准价，其价格分为满分30分。其他供应商的价格分按照下列公式计算：磋商报价得分=(磋商基准价/磋商报价)×30。计算结果最多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详见附件：商务技术文件.docx</w:t>
      </w:r>
    </w:p>
    <w:p>
      <w:pPr>
        <w:pStyle w:val="null3"/>
        <w:ind w:firstLine="960"/>
      </w:pPr>
      <w:r>
        <w:rPr>
          <w:rFonts w:ascii="仿宋_GB2312" w:hAnsi="仿宋_GB2312" w:cs="仿宋_GB2312" w:eastAsia="仿宋_GB2312"/>
        </w:rPr>
        <w:t>详见附件：资格证明文件1.docx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