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4CA2F8">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eastAsia="zh-CN"/>
        </w:rPr>
        <w:t>西安市碑林区2025年度非市政开挖恢复工程</w:t>
      </w:r>
      <w:r>
        <w:rPr>
          <w:rFonts w:hint="eastAsia" w:ascii="宋体" w:hAnsi="宋体" w:eastAsia="宋体" w:cs="宋体"/>
          <w:b/>
          <w:bCs/>
          <w:color w:val="auto"/>
          <w:sz w:val="32"/>
          <w:szCs w:val="32"/>
          <w:highlight w:val="none"/>
          <w:lang w:val="en-US" w:eastAsia="zh-CN"/>
        </w:rPr>
        <w:t>合同</w:t>
      </w:r>
    </w:p>
    <w:p w14:paraId="4A156C52">
      <w:pPr>
        <w:pStyle w:val="5"/>
        <w:keepNext w:val="0"/>
        <w:keepLines w:val="0"/>
        <w:pageBreakBefore w:val="0"/>
        <w:widowControl/>
        <w:kinsoku w:val="0"/>
        <w:wordWrap/>
        <w:overflowPunct/>
        <w:topLinePunct w:val="0"/>
        <w:autoSpaceDE w:val="0"/>
        <w:autoSpaceDN w:val="0"/>
        <w:bidi w:val="0"/>
        <w:adjustRightInd w:val="0"/>
        <w:snapToGrid w:val="0"/>
        <w:spacing w:before="0" w:beforeLines="50" w:after="0" w:afterLines="100"/>
        <w:jc w:val="center"/>
        <w:textAlignment w:val="baseline"/>
        <w:rPr>
          <w:rFonts w:hint="eastAsia" w:ascii="宋体" w:hAnsi="宋体" w:eastAsia="宋体" w:cs="宋体"/>
          <w:color w:val="auto"/>
          <w:highlight w:val="none"/>
          <w:lang w:val="en-US" w:eastAsia="zh-CN"/>
        </w:rPr>
      </w:pPr>
      <w:bookmarkStart w:id="0" w:name="_Toc12538"/>
      <w:r>
        <w:rPr>
          <w:rFonts w:hint="eastAsia" w:ascii="宋体" w:hAnsi="宋体" w:eastAsia="宋体" w:cs="宋体"/>
          <w:color w:val="auto"/>
          <w:spacing w:val="7"/>
          <w:sz w:val="21"/>
          <w:szCs w:val="21"/>
          <w:highlight w:val="none"/>
          <w:lang w:val="en-US" w:eastAsia="zh-CN"/>
        </w:rPr>
        <w:t>（本合同为参考合同，具体以最终签订版本为准）</w:t>
      </w:r>
      <w:bookmarkEnd w:id="0"/>
    </w:p>
    <w:p w14:paraId="1BA038C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甲方（采购人）：</w:t>
      </w:r>
    </w:p>
    <w:p w14:paraId="69BD7C3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val="en-US" w:eastAsia="zh-CN"/>
        </w:rPr>
        <w:t>成交供应商</w:t>
      </w:r>
      <w:r>
        <w:rPr>
          <w:rFonts w:hint="eastAsia" w:ascii="宋体" w:hAnsi="宋体" w:eastAsia="宋体" w:cs="宋体"/>
          <w:color w:val="auto"/>
          <w:sz w:val="24"/>
          <w:szCs w:val="24"/>
          <w:highlight w:val="none"/>
        </w:rPr>
        <w:t xml:space="preserve">）： </w:t>
      </w:r>
    </w:p>
    <w:p w14:paraId="011A16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eastAsia="zh-CN"/>
        </w:rPr>
        <w:t>西安市碑林区2025年度非市政开挖恢复工程</w:t>
      </w:r>
      <w:r>
        <w:rPr>
          <w:rFonts w:hint="eastAsia" w:ascii="宋体" w:hAnsi="宋体" w:eastAsia="宋体" w:cs="宋体"/>
          <w:color w:val="auto"/>
          <w:sz w:val="24"/>
          <w:szCs w:val="24"/>
          <w:highlight w:val="none"/>
        </w:rPr>
        <w:t>在</w:t>
      </w:r>
      <w:r>
        <w:rPr>
          <w:rFonts w:hint="eastAsia" w:ascii="宋体" w:hAnsi="宋体" w:eastAsia="宋体" w:cs="宋体"/>
          <w:color w:val="auto"/>
          <w:sz w:val="24"/>
          <w:szCs w:val="24"/>
          <w:highlight w:val="none"/>
          <w:lang w:eastAsia="zh-CN"/>
        </w:rPr>
        <w:t>西北国际（陕西）造价管理集团</w:t>
      </w:r>
      <w:r>
        <w:rPr>
          <w:rFonts w:hint="eastAsia" w:ascii="宋体" w:hAnsi="宋体" w:eastAsia="宋体" w:cs="宋体"/>
          <w:color w:val="auto"/>
          <w:sz w:val="24"/>
          <w:szCs w:val="24"/>
          <w:highlight w:val="none"/>
        </w:rPr>
        <w:t>有限公司组织</w:t>
      </w:r>
      <w:r>
        <w:rPr>
          <w:rFonts w:hint="eastAsia" w:ascii="宋体" w:hAnsi="宋体" w:eastAsia="宋体" w:cs="宋体"/>
          <w:color w:val="auto"/>
          <w:sz w:val="24"/>
          <w:szCs w:val="24"/>
          <w:highlight w:val="none"/>
          <w:lang w:eastAsia="zh-CN"/>
        </w:rPr>
        <w:t>竞争性磋商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(以下简称“甲方”)确定</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（以下简称“乙方”）为</w:t>
      </w:r>
      <w:r>
        <w:rPr>
          <w:rFonts w:hint="eastAsia" w:ascii="宋体" w:hAnsi="宋体" w:eastAsia="宋体" w:cs="宋体"/>
          <w:color w:val="auto"/>
          <w:sz w:val="24"/>
          <w:szCs w:val="24"/>
          <w:highlight w:val="none"/>
          <w:lang w:val="en-US" w:eastAsia="zh-CN"/>
        </w:rPr>
        <w:t>本项目</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eastAsia="zh-CN"/>
        </w:rPr>
        <w:t>成交供应商</w:t>
      </w:r>
      <w:r>
        <w:rPr>
          <w:rFonts w:hint="eastAsia" w:ascii="宋体" w:hAnsi="宋体" w:eastAsia="宋体" w:cs="宋体"/>
          <w:color w:val="auto"/>
          <w:sz w:val="24"/>
          <w:szCs w:val="24"/>
          <w:highlight w:val="none"/>
        </w:rPr>
        <w:t>。</w:t>
      </w:r>
    </w:p>
    <w:p w14:paraId="2ED205D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依据《</w:t>
      </w:r>
      <w:r>
        <w:rPr>
          <w:rFonts w:hint="eastAsia" w:ascii="宋体" w:hAnsi="宋体" w:eastAsia="宋体" w:cs="宋体"/>
          <w:color w:val="auto"/>
          <w:sz w:val="24"/>
          <w:szCs w:val="24"/>
          <w:highlight w:val="none"/>
          <w:lang w:eastAsia="zh-CN"/>
        </w:rPr>
        <w:t>中华人民共和国民法典</w:t>
      </w:r>
      <w:r>
        <w:rPr>
          <w:rFonts w:hint="eastAsia" w:ascii="宋体" w:hAnsi="宋体" w:eastAsia="宋体" w:cs="宋体"/>
          <w:color w:val="auto"/>
          <w:sz w:val="24"/>
          <w:szCs w:val="24"/>
          <w:highlight w:val="none"/>
        </w:rPr>
        <w:t>》和《中华人民共和国政府采购法》，经双方协商按下述条款和条件签署本合同。</w:t>
      </w:r>
    </w:p>
    <w:p w14:paraId="64688D7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val="en-US" w:eastAsia="zh-CN"/>
        </w:rPr>
        <w:t>工程</w:t>
      </w:r>
      <w:r>
        <w:rPr>
          <w:rFonts w:hint="eastAsia" w:ascii="宋体" w:hAnsi="宋体" w:eastAsia="宋体" w:cs="宋体"/>
          <w:color w:val="auto"/>
          <w:sz w:val="24"/>
          <w:szCs w:val="24"/>
          <w:highlight w:val="none"/>
        </w:rPr>
        <w:t>内容</w:t>
      </w:r>
    </w:p>
    <w:p w14:paraId="455BC20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西安市碑林区城市管理和综合执法局西安市碑林区2025年度非市政开挖恢复工程</w:t>
      </w:r>
      <w:r>
        <w:rPr>
          <w:rFonts w:hint="eastAsia" w:ascii="宋体" w:hAnsi="宋体" w:eastAsia="宋体" w:cs="宋体"/>
          <w:color w:val="auto"/>
          <w:sz w:val="24"/>
          <w:szCs w:val="24"/>
          <w:highlight w:val="none"/>
        </w:rPr>
        <w:t>，位于</w:t>
      </w:r>
      <w:r>
        <w:rPr>
          <w:rFonts w:hint="eastAsia" w:ascii="宋体" w:hAnsi="宋体" w:eastAsia="宋体" w:cs="宋体"/>
          <w:color w:val="auto"/>
          <w:sz w:val="24"/>
          <w:szCs w:val="24"/>
          <w:highlight w:val="none"/>
          <w:lang w:val="en-US" w:eastAsia="zh-CN"/>
        </w:rPr>
        <w:t>西安市碑林区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对碑林区区管道路非市政开挖工程现场进行验收及道路修复。</w:t>
      </w:r>
      <w:r>
        <w:rPr>
          <w:rFonts w:hint="eastAsia" w:ascii="宋体" w:hAnsi="宋体" w:eastAsia="宋体" w:cs="宋体"/>
          <w:color w:val="auto"/>
          <w:sz w:val="24"/>
          <w:szCs w:val="24"/>
          <w:highlight w:val="none"/>
        </w:rPr>
        <w:t>具体详见工程量清单所包含的内容。</w:t>
      </w:r>
    </w:p>
    <w:p w14:paraId="3E9DB61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二、合同价款</w:t>
      </w:r>
      <w:r>
        <w:rPr>
          <w:rFonts w:hint="eastAsia" w:ascii="宋体" w:hAnsi="宋体" w:eastAsia="宋体" w:cs="宋体"/>
          <w:color w:val="auto"/>
          <w:sz w:val="24"/>
          <w:szCs w:val="24"/>
          <w:highlight w:val="none"/>
          <w:lang w:val="en-US" w:eastAsia="zh-CN"/>
        </w:rPr>
        <w:t>及</w:t>
      </w:r>
      <w:r>
        <w:rPr>
          <w:rFonts w:hint="eastAsia" w:ascii="宋体" w:hAnsi="宋体" w:eastAsia="宋体" w:cs="宋体"/>
          <w:color w:val="auto"/>
          <w:sz w:val="24"/>
          <w:szCs w:val="24"/>
          <w:highlight w:val="none"/>
        </w:rPr>
        <w:t>结算方式</w:t>
      </w:r>
    </w:p>
    <w:p w14:paraId="31748B95">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一</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合同价款</w:t>
      </w:r>
    </w:p>
    <w:p w14:paraId="07905279">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合同</w:t>
      </w:r>
      <w:r>
        <w:rPr>
          <w:rFonts w:hint="eastAsia" w:ascii="宋体" w:hAnsi="宋体" w:eastAsia="宋体" w:cs="宋体"/>
          <w:color w:val="auto"/>
          <w:sz w:val="24"/>
          <w:szCs w:val="24"/>
          <w:highlight w:val="none"/>
          <w:lang w:val="en-US" w:eastAsia="zh-CN"/>
        </w:rPr>
        <w:t>暂定总价</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大写：</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元）</w:t>
      </w:r>
    </w:p>
    <w:p w14:paraId="4CAA4433">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计价方式：</w:t>
      </w:r>
      <w:r>
        <w:rPr>
          <w:rFonts w:hint="eastAsia" w:ascii="宋体" w:hAnsi="宋体" w:eastAsia="宋体" w:cs="宋体"/>
          <w:color w:val="auto"/>
          <w:sz w:val="24"/>
          <w:szCs w:val="24"/>
          <w:highlight w:val="none"/>
          <w:lang w:eastAsia="zh-CN"/>
        </w:rPr>
        <w:t>固定综合单价</w:t>
      </w:r>
      <w:r>
        <w:rPr>
          <w:rFonts w:hint="eastAsia" w:ascii="宋体" w:hAnsi="宋体" w:eastAsia="宋体" w:cs="宋体"/>
          <w:color w:val="auto"/>
          <w:sz w:val="24"/>
          <w:szCs w:val="24"/>
          <w:highlight w:val="none"/>
        </w:rPr>
        <w:t>。</w:t>
      </w:r>
    </w:p>
    <w:p w14:paraId="4C9DB7E0">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（二）结算方式</w:t>
      </w:r>
    </w:p>
    <w:p w14:paraId="609C571F">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）付款条件说明：</w:t>
      </w:r>
    </w:p>
    <w:p w14:paraId="10758190">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①合同签订后10日内，支付合同总价款的40%作为预付款；</w:t>
      </w:r>
    </w:p>
    <w:p w14:paraId="65EB5111">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②结算审计完成、资金到账后10日内，付至审定金额的100%。</w:t>
      </w:r>
    </w:p>
    <w:p w14:paraId="09490B67">
      <w:pP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注：①每月初上报上月完成情况，经监理及甲方确认完成工程量。合同到期后由政府审计部门或甲方委托的第三方审计对全部工程量进行审计得到结算评审价（审定金额），成果交付验收合格后,采购人根据最终决算价款支付合同尾款(以审计结算评审价为准)。②在付款前，供应商应当先开具符合采购人要求的等额发票给采购人（附详细清单）。</w:t>
      </w:r>
    </w:p>
    <w:p w14:paraId="5B2FFC1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w:t>
      </w:r>
      <w:r>
        <w:rPr>
          <w:rFonts w:hint="eastAsia" w:ascii="宋体" w:hAnsi="宋体" w:eastAsia="宋体" w:cs="宋体"/>
          <w:color w:val="auto"/>
          <w:sz w:val="24"/>
          <w:szCs w:val="24"/>
          <w:highlight w:val="none"/>
          <w:lang w:val="en-US" w:eastAsia="zh-CN"/>
        </w:rPr>
        <w:t>工程地点</w:t>
      </w:r>
      <w:r>
        <w:rPr>
          <w:rFonts w:hint="eastAsia" w:ascii="宋体" w:hAnsi="宋体" w:eastAsia="宋体" w:cs="宋体"/>
          <w:color w:val="auto"/>
          <w:sz w:val="24"/>
          <w:szCs w:val="24"/>
          <w:highlight w:val="none"/>
        </w:rPr>
        <w:t>及工期</w:t>
      </w:r>
    </w:p>
    <w:p w14:paraId="7BEA3154">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val="en-US" w:eastAsia="zh-CN"/>
        </w:rPr>
        <w:t>工程地点：西安市碑林区</w:t>
      </w:r>
    </w:p>
    <w:p w14:paraId="1EA94B9C">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（二）工期：</w:t>
      </w:r>
      <w:r>
        <w:rPr>
          <w:rFonts w:hint="eastAsia" w:ascii="宋体" w:hAnsi="宋体" w:eastAsia="宋体" w:cs="宋体"/>
          <w:color w:val="auto"/>
          <w:sz w:val="24"/>
          <w:szCs w:val="24"/>
          <w:highlight w:val="none"/>
          <w:u w:val="single"/>
          <w:lang w:val="en-US" w:eastAsia="zh-CN"/>
        </w:rPr>
        <w:t xml:space="preserve">          </w:t>
      </w:r>
    </w:p>
    <w:p w14:paraId="269F183E">
      <w:pPr>
        <w:spacing w:line="360" w:lineRule="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四、质量保证</w:t>
      </w:r>
    </w:p>
    <w:p w14:paraId="309A517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val="en-US" w:eastAsia="zh-CN"/>
        </w:rPr>
        <w:t>质量保修期：项目竣工验收合格之日起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年。</w:t>
      </w:r>
    </w:p>
    <w:p w14:paraId="3E4E92B5">
      <w:pPr>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highlight w:val="none"/>
          <w:lang w:val="zh-CN"/>
        </w:rPr>
        <w:t>）工程质量符合国家有关规范，确保达到合格。</w:t>
      </w:r>
    </w:p>
    <w:p w14:paraId="318D48E6">
      <w:pPr>
        <w:spacing w:line="360" w:lineRule="auto"/>
        <w:ind w:firstLine="480" w:firstLineChars="200"/>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三</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其他要求</w:t>
      </w:r>
    </w:p>
    <w:p w14:paraId="4BFC18CE">
      <w:pPr>
        <w:spacing w:line="360" w:lineRule="auto"/>
        <w:ind w:firstLine="480" w:firstLineChars="200"/>
        <w:rPr>
          <w:rFonts w:hint="eastAsia" w:ascii="宋体" w:hAnsi="宋体" w:eastAsia="宋体" w:cs="宋体"/>
          <w:color w:val="auto"/>
          <w:sz w:val="24"/>
          <w:szCs w:val="24"/>
          <w:highlight w:val="none"/>
          <w:lang w:val="zh-CN"/>
        </w:rPr>
      </w:pPr>
      <w:bookmarkStart w:id="1" w:name="_Toc482201972"/>
      <w:r>
        <w:rPr>
          <w:rFonts w:hint="eastAsia" w:ascii="宋体" w:hAnsi="宋体" w:eastAsia="宋体" w:cs="宋体"/>
          <w:color w:val="auto"/>
          <w:sz w:val="24"/>
          <w:szCs w:val="24"/>
          <w:highlight w:val="none"/>
          <w:lang w:val="zh-CN"/>
        </w:rPr>
        <w:t>1</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val="zh-CN"/>
        </w:rPr>
        <w:t>必须依据磋商要求，按照有关规范施工，确保工程优良，一次性验收交接。</w:t>
      </w:r>
    </w:p>
    <w:p w14:paraId="1C98E077">
      <w:pPr>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val="zh-CN" w:eastAsia="zh-CN"/>
        </w:rPr>
        <w:t>乙方修补不及时或修复质量不合格导致的第三方</w:t>
      </w:r>
      <w:r>
        <w:rPr>
          <w:rFonts w:hint="eastAsia" w:ascii="宋体" w:hAnsi="宋体" w:eastAsia="宋体" w:cs="宋体"/>
          <w:color w:val="auto"/>
          <w:sz w:val="24"/>
          <w:szCs w:val="24"/>
          <w:highlight w:val="none"/>
          <w:lang w:val="en-US" w:eastAsia="zh-CN"/>
        </w:rPr>
        <w:t>损失</w:t>
      </w:r>
      <w:r>
        <w:rPr>
          <w:rFonts w:hint="eastAsia" w:ascii="宋体" w:hAnsi="宋体" w:eastAsia="宋体" w:cs="宋体"/>
          <w:color w:val="auto"/>
          <w:sz w:val="24"/>
          <w:szCs w:val="24"/>
          <w:highlight w:val="none"/>
          <w:lang w:val="zh-CN" w:eastAsia="zh-CN"/>
        </w:rPr>
        <w:t>，产生的一切责任及后果由乙方承担。</w:t>
      </w:r>
    </w:p>
    <w:p w14:paraId="0046582C">
      <w:pPr>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val="zh-CN"/>
        </w:rPr>
        <w:t>选用的主材、设备、辅材必须保证质量可靠、进货渠道正常，符合国家环保等相关标准，满足施工要求，明确其品牌、规格、型号、产地，并附鉴定证书，对主要设备材料必须先提交样品，经认质后，方可订货，不得使用未经检验或不合格的设备、材料，若发生此种情况，将追究相关人员责任，并赔偿由此造成的一切经济损失。</w:t>
      </w:r>
    </w:p>
    <w:p w14:paraId="4E10D0D9">
      <w:pPr>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4.乙方</w:t>
      </w:r>
      <w:r>
        <w:rPr>
          <w:rFonts w:hint="eastAsia" w:ascii="宋体" w:hAnsi="宋体" w:eastAsia="宋体" w:cs="宋体"/>
          <w:color w:val="auto"/>
          <w:sz w:val="24"/>
          <w:szCs w:val="24"/>
          <w:highlight w:val="none"/>
          <w:lang w:val="zh-CN"/>
        </w:rPr>
        <w:t>必须向采购人及时提供合格证及材料检验单。在征得有关方面认可后，方可进行施工，并做好相应的检验环节。</w:t>
      </w:r>
    </w:p>
    <w:p w14:paraId="2EFB4978">
      <w:pPr>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val="zh-CN"/>
        </w:rPr>
        <w:t>质量保证期为各供应商承诺的期限。</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val="zh-CN"/>
        </w:rPr>
        <w:t>的售后服务要完善、可靠、及时，并派遣相关技术人员配合采购人检查、维修。</w:t>
      </w:r>
      <w:bookmarkEnd w:id="1"/>
      <w:r>
        <w:rPr>
          <w:rFonts w:hint="eastAsia" w:ascii="宋体" w:hAnsi="宋体" w:eastAsia="宋体" w:cs="宋体"/>
          <w:color w:val="auto"/>
          <w:sz w:val="24"/>
          <w:szCs w:val="24"/>
          <w:highlight w:val="none"/>
          <w:lang w:val="zh-CN"/>
        </w:rPr>
        <w:t xml:space="preserve"> </w:t>
      </w:r>
    </w:p>
    <w:p w14:paraId="28C5320C">
      <w:pPr>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val="zh-CN"/>
        </w:rPr>
        <w:t>质量验收标准或规范</w:t>
      </w:r>
    </w:p>
    <w:p w14:paraId="56660254">
      <w:pPr>
        <w:spacing w:line="360" w:lineRule="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《城镇道路养护技术规范》CJJ36-2016</w:t>
      </w:r>
    </w:p>
    <w:p w14:paraId="0AE3E75C">
      <w:pPr>
        <w:spacing w:line="360" w:lineRule="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《公路沥青路面养护技术规范》JTJ073.2-2017</w:t>
      </w:r>
    </w:p>
    <w:p w14:paraId="5B29D3CF">
      <w:pPr>
        <w:spacing w:line="360" w:lineRule="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《道路施工安全设施设置示例》GB5768-2009</w:t>
      </w:r>
    </w:p>
    <w:p w14:paraId="79C99018">
      <w:pPr>
        <w:spacing w:line="360" w:lineRule="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《城市道路养护作业安全设施设置技术规程》DBJ13/T－149－2012</w:t>
      </w:r>
    </w:p>
    <w:p w14:paraId="032EE11E">
      <w:pP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五、双方责任</w:t>
      </w:r>
      <w:r>
        <w:rPr>
          <w:rFonts w:hint="eastAsia" w:ascii="宋体" w:hAnsi="宋体" w:eastAsia="宋体" w:cs="宋体"/>
          <w:color w:val="auto"/>
          <w:sz w:val="24"/>
          <w:szCs w:val="24"/>
          <w:highlight w:val="none"/>
          <w:lang w:val="en-US" w:eastAsia="zh-CN"/>
        </w:rPr>
        <w:t>与义务</w:t>
      </w:r>
    </w:p>
    <w:p w14:paraId="7A3BC8A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（一）甲方责任</w:t>
      </w:r>
      <w:r>
        <w:rPr>
          <w:rFonts w:hint="eastAsia" w:ascii="宋体" w:hAnsi="宋体" w:eastAsia="宋体" w:cs="宋体"/>
          <w:color w:val="auto"/>
          <w:sz w:val="24"/>
          <w:szCs w:val="24"/>
          <w:highlight w:val="none"/>
          <w:lang w:val="en-US" w:eastAsia="zh-CN"/>
        </w:rPr>
        <w:t>与义务</w:t>
      </w:r>
    </w:p>
    <w:p w14:paraId="52B48ED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甲方负责施工场地的提供，排除施工障碍的协调。</w:t>
      </w:r>
    </w:p>
    <w:p w14:paraId="5746B9C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组织工程结算的审定等工作。</w:t>
      </w:r>
    </w:p>
    <w:p w14:paraId="7015775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对工程进度、质量进行监督检查。</w:t>
      </w:r>
    </w:p>
    <w:p w14:paraId="761E2AB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组织有关单位对工程进行竣工验收。</w:t>
      </w:r>
    </w:p>
    <w:p w14:paraId="5DAA459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按时支付工程款。</w:t>
      </w:r>
    </w:p>
    <w:p w14:paraId="6821577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（二）乙方责任</w:t>
      </w:r>
      <w:r>
        <w:rPr>
          <w:rFonts w:hint="eastAsia" w:ascii="宋体" w:hAnsi="宋体" w:eastAsia="宋体" w:cs="宋体"/>
          <w:color w:val="auto"/>
          <w:sz w:val="24"/>
          <w:szCs w:val="24"/>
          <w:highlight w:val="none"/>
          <w:lang w:val="en-US" w:eastAsia="zh-CN"/>
        </w:rPr>
        <w:t>与义务</w:t>
      </w:r>
    </w:p>
    <w:p w14:paraId="4C427AC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负责办理完成项目使用审批手续，负责工程安全文明施工、承担一切风险，满足甲方工程的需要。保证甲方正式投入使用，再无其他费用发生。</w:t>
      </w:r>
    </w:p>
    <w:p w14:paraId="220C220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w:t>
      </w:r>
    </w:p>
    <w:p w14:paraId="387B3E5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按照</w:t>
      </w:r>
      <w:r>
        <w:rPr>
          <w:rFonts w:hint="eastAsia" w:ascii="宋体" w:hAnsi="宋体" w:eastAsia="宋体" w:cs="宋体"/>
          <w:color w:val="auto"/>
          <w:sz w:val="24"/>
          <w:szCs w:val="24"/>
          <w:highlight w:val="none"/>
          <w:lang w:val="en-US" w:eastAsia="zh-CN"/>
        </w:rPr>
        <w:t>相关要求</w:t>
      </w:r>
      <w:r>
        <w:rPr>
          <w:rFonts w:hint="eastAsia" w:ascii="宋体" w:hAnsi="宋体" w:eastAsia="宋体" w:cs="宋体"/>
          <w:color w:val="auto"/>
          <w:sz w:val="24"/>
          <w:szCs w:val="24"/>
          <w:highlight w:val="none"/>
        </w:rPr>
        <w:t>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43AE069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乙方提供的主要材料、设备必须有质量合格证等相关</w:t>
      </w:r>
      <w:r>
        <w:rPr>
          <w:rFonts w:hint="eastAsia" w:ascii="宋体" w:hAnsi="宋体" w:eastAsia="宋体" w:cs="宋体"/>
          <w:color w:val="auto"/>
          <w:sz w:val="24"/>
          <w:szCs w:val="24"/>
          <w:highlight w:val="none"/>
          <w:lang w:val="en-US" w:eastAsia="zh-CN"/>
        </w:rPr>
        <w:t>材料</w:t>
      </w:r>
      <w:r>
        <w:rPr>
          <w:rFonts w:hint="eastAsia" w:ascii="宋体" w:hAnsi="宋体" w:eastAsia="宋体" w:cs="宋体"/>
          <w:color w:val="auto"/>
          <w:sz w:val="24"/>
          <w:szCs w:val="24"/>
          <w:highlight w:val="none"/>
        </w:rPr>
        <w:t>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052D702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遵守甲方施工场地的规章制度和管理，做到安全文明施工，做好成品保护，对甲方提出的问题应在24小时内予以解决或处理；遵守有关施工规范和安全操作规程，如发生安全事故，乙方应及时通知甲方，积极采取有效的补救措施，如因此造成甲方、乙方或第三方人身或财产损失，全部责任由乙方自行承担。</w:t>
      </w:r>
    </w:p>
    <w:p w14:paraId="542D63E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采取有效的安全保障措施，确保施工安全，包括悬挂警示标牌、装设围栏、配备安全人员等，并承担事故的全部费用和责任。</w:t>
      </w:r>
    </w:p>
    <w:p w14:paraId="40E668B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本工程不得转包。</w:t>
      </w:r>
    </w:p>
    <w:p w14:paraId="3B2B1B4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六、组成合同的文件</w:t>
      </w:r>
    </w:p>
    <w:p w14:paraId="028AC09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1．组成本合同的文件包括：</w:t>
      </w:r>
    </w:p>
    <w:p w14:paraId="5C3E43E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(1)本合同书</w:t>
      </w:r>
    </w:p>
    <w:p w14:paraId="37D930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成交</w:t>
      </w:r>
      <w:r>
        <w:rPr>
          <w:rFonts w:hint="eastAsia" w:ascii="宋体" w:hAnsi="宋体" w:eastAsia="宋体" w:cs="宋体"/>
          <w:color w:val="auto"/>
          <w:sz w:val="24"/>
          <w:szCs w:val="24"/>
          <w:highlight w:val="none"/>
        </w:rPr>
        <w:t>通知书</w:t>
      </w:r>
    </w:p>
    <w:p w14:paraId="21A2B5E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磋商</w:t>
      </w:r>
      <w:r>
        <w:rPr>
          <w:rFonts w:hint="eastAsia" w:ascii="宋体" w:hAnsi="宋体" w:eastAsia="宋体" w:cs="宋体"/>
          <w:color w:val="auto"/>
          <w:sz w:val="24"/>
          <w:szCs w:val="24"/>
          <w:highlight w:val="none"/>
        </w:rPr>
        <w:t>文件及其附件</w:t>
      </w:r>
    </w:p>
    <w:p w14:paraId="5762C1A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磋商响应文件及最终磋商</w:t>
      </w:r>
      <w:r>
        <w:rPr>
          <w:rFonts w:hint="eastAsia" w:ascii="宋体" w:hAnsi="宋体" w:eastAsia="宋体" w:cs="宋体"/>
          <w:color w:val="auto"/>
          <w:sz w:val="24"/>
          <w:szCs w:val="24"/>
          <w:highlight w:val="none"/>
          <w:lang w:eastAsia="zh-CN"/>
        </w:rPr>
        <w:t>报价</w:t>
      </w:r>
      <w:r>
        <w:rPr>
          <w:rFonts w:hint="eastAsia" w:ascii="宋体" w:hAnsi="宋体" w:eastAsia="宋体" w:cs="宋体"/>
          <w:color w:val="auto"/>
          <w:sz w:val="24"/>
          <w:szCs w:val="24"/>
          <w:highlight w:val="none"/>
        </w:rPr>
        <w:t>表</w:t>
      </w:r>
    </w:p>
    <w:p w14:paraId="2D2FE44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2．双方有关工程的洽商、变更等书面协议或文件、补充协议书均视为本合同的组成部分。</w:t>
      </w:r>
    </w:p>
    <w:p w14:paraId="58723058">
      <w:pPr>
        <w:spacing w:line="360" w:lineRule="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七、验收</w:t>
      </w:r>
    </w:p>
    <w:p w14:paraId="16A62E07">
      <w:pPr>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val="zh-CN"/>
        </w:rPr>
        <w:t>主材到现场后，由甲方对其进行验收，确认材料的产地、规格、数量。</w:t>
      </w:r>
    </w:p>
    <w:p w14:paraId="5FC9C7E7">
      <w:pPr>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val="zh-CN"/>
        </w:rPr>
        <w:t>乙方工程完工后，进行自检，合格后准备验收文件，并书面通知甲方。</w:t>
      </w:r>
    </w:p>
    <w:p w14:paraId="35BF4FFA">
      <w:pPr>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val="zh-CN"/>
        </w:rPr>
        <w:t>甲方确认乙方的自检内容，验收合格作为工程的最终认可。</w:t>
      </w:r>
    </w:p>
    <w:p w14:paraId="76D09221">
      <w:pPr>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val="zh-CN"/>
        </w:rPr>
        <w:t>验收依据：《城镇道路养护技术规范》CJJ36-2016</w:t>
      </w:r>
    </w:p>
    <w:p w14:paraId="3063D22E">
      <w:pPr>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《公路沥青路面养护技术规范》JTJ073.2-2017</w:t>
      </w:r>
    </w:p>
    <w:p w14:paraId="45967D62">
      <w:pPr>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《道路施工安全设施设置示例》GB5768-2009</w:t>
      </w:r>
    </w:p>
    <w:p w14:paraId="0B498FEF">
      <w:pPr>
        <w:spacing w:line="360" w:lineRule="auto"/>
        <w:ind w:firstLine="480" w:firstLineChars="200"/>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rPr>
        <w:t>《城市道路养护作业安全设施设置技术规程》DBJ13/T－149－2012</w:t>
      </w:r>
      <w:r>
        <w:rPr>
          <w:rFonts w:hint="eastAsia" w:ascii="宋体" w:hAnsi="宋体" w:eastAsia="宋体" w:cs="宋体"/>
          <w:color w:val="auto"/>
          <w:sz w:val="24"/>
          <w:szCs w:val="24"/>
          <w:highlight w:val="none"/>
          <w:lang w:val="zh-CN" w:eastAsia="zh-CN"/>
        </w:rPr>
        <w:t>。</w:t>
      </w:r>
    </w:p>
    <w:p w14:paraId="360025B7">
      <w:pPr>
        <w:pStyle w:val="2"/>
        <w:spacing w:line="360" w:lineRule="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八、违约责任</w:t>
      </w:r>
      <w:bookmarkStart w:id="142" w:name="_GoBack"/>
      <w:bookmarkEnd w:id="142"/>
    </w:p>
    <w:p w14:paraId="4B3BDCAF">
      <w:pPr>
        <w:spacing w:line="360" w:lineRule="auto"/>
        <w:ind w:firstLine="480" w:firstLineChars="200"/>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en-US" w:eastAsia="zh-CN"/>
        </w:rPr>
        <w:t>（一）</w:t>
      </w:r>
      <w:r>
        <w:rPr>
          <w:rFonts w:hint="eastAsia" w:ascii="宋体" w:hAnsi="宋体" w:eastAsia="宋体" w:cs="宋体"/>
          <w:color w:val="auto"/>
          <w:sz w:val="24"/>
          <w:szCs w:val="24"/>
          <w:highlight w:val="none"/>
          <w:lang w:val="zh-CN" w:eastAsia="zh-CN"/>
        </w:rPr>
        <w:t>按《中华人民共和国民法典》、《中华人民共和国政府采购法》的相关条款执行。</w:t>
      </w:r>
    </w:p>
    <w:p w14:paraId="1DA904D0">
      <w:pPr>
        <w:spacing w:line="360" w:lineRule="auto"/>
        <w:ind w:firstLine="480" w:firstLineChars="200"/>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highlight w:val="none"/>
          <w:lang w:val="zh-CN" w:eastAsia="zh-CN"/>
        </w:rPr>
        <w:t>未按合同或采购文件要求执行，或质量不能满足甲方要求的，甲方有权终止合同，甚至对乙方违约行为进行追究。</w:t>
      </w:r>
    </w:p>
    <w:p w14:paraId="4B0DB670">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（三）双方违约情形</w:t>
      </w:r>
    </w:p>
    <w:p w14:paraId="05873A2A">
      <w:pPr>
        <w:spacing w:line="360" w:lineRule="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1、甲方违约。当发生下列情况时：</w:t>
      </w:r>
    </w:p>
    <w:p w14:paraId="087C3426">
      <w:pPr>
        <w:spacing w:line="360" w:lineRule="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（1）甲方不按合同约定支付工程款，导致施工无法进行；</w:t>
      </w:r>
    </w:p>
    <w:p w14:paraId="555DFFC5">
      <w:pPr>
        <w:spacing w:line="360" w:lineRule="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（2）甲方不履行合同义务或不按合同约定履行义务的其他情况。</w:t>
      </w:r>
    </w:p>
    <w:p w14:paraId="4060039A">
      <w:pPr>
        <w:spacing w:line="360" w:lineRule="auto"/>
        <w:ind w:firstLine="480" w:firstLineChars="200"/>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甲方承担违约责任，赔偿因其违约给乙方造成的经济损失，顺延延误的工期。双方在专用条款内约定甲方赔偿乙方损失的计算方法或者甲方应当支付违约金的数额和计算方法。</w:t>
      </w:r>
    </w:p>
    <w:p w14:paraId="5D165623">
      <w:pPr>
        <w:spacing w:line="360" w:lineRule="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2、乙方违约。当发生下列情况时：</w:t>
      </w:r>
    </w:p>
    <w:p w14:paraId="257AC628">
      <w:pPr>
        <w:spacing w:line="360" w:lineRule="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（1）因乙方原因不能按照协议书约定的竣工日期或工程师同意顺延的工期竣工；</w:t>
      </w:r>
    </w:p>
    <w:p w14:paraId="0409BF50">
      <w:pPr>
        <w:spacing w:line="360" w:lineRule="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（2）因乙方原因工程质量达不到协议书约定的质量标准；</w:t>
      </w:r>
    </w:p>
    <w:p w14:paraId="13B80322">
      <w:pPr>
        <w:spacing w:line="360" w:lineRule="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（3）乙方不履行合同义务或不按合同约定履行义务的其他情况。</w:t>
      </w:r>
    </w:p>
    <w:p w14:paraId="005238D1">
      <w:pPr>
        <w:spacing w:line="360" w:lineRule="auto"/>
        <w:ind w:firstLine="480" w:firstLineChars="200"/>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乙方承担违约责任，赔偿因其违约给甲方造成的损失。双方在专用条款内约定乙方赔偿甲方损失的计算方法或者乙方应当支付违约金的数额和计算方法。</w:t>
      </w:r>
    </w:p>
    <w:p w14:paraId="018BD575">
      <w:pPr>
        <w:spacing w:line="360" w:lineRule="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一方违约后，另一方要求违约方继续履行合同时，违约方承担上述违约责任后仍应继续履行合同。</w:t>
      </w:r>
    </w:p>
    <w:p w14:paraId="33752419">
      <w:pPr>
        <w:spacing w:line="360" w:lineRule="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九、争议的解决方式</w:t>
      </w:r>
    </w:p>
    <w:p w14:paraId="679501F8">
      <w:pPr>
        <w:spacing w:line="360" w:lineRule="auto"/>
        <w:ind w:firstLine="480" w:firstLineChars="200"/>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本合同在履行中或者在保修期内发生争议，由双方协商解决；也可以由甲方当地主管部门调解。双方不愿意通过协商、调解解决或协商、调解不成的，任何一方均可向西安仲裁委员会提请仲裁。</w:t>
      </w:r>
    </w:p>
    <w:p w14:paraId="2E5767ED">
      <w:pP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eastAsia="zh-CN"/>
        </w:rPr>
        <w:t>十、</w:t>
      </w:r>
      <w:r>
        <w:rPr>
          <w:rFonts w:hint="eastAsia" w:ascii="宋体" w:hAnsi="宋体" w:eastAsia="宋体" w:cs="宋体"/>
          <w:color w:val="auto"/>
          <w:sz w:val="24"/>
          <w:szCs w:val="24"/>
          <w:highlight w:val="none"/>
          <w:lang w:val="en-US" w:eastAsia="zh-CN"/>
        </w:rPr>
        <w:t>监督和管理</w:t>
      </w:r>
    </w:p>
    <w:p w14:paraId="7A99D5D7">
      <w:pPr>
        <w:spacing w:line="360" w:lineRule="auto"/>
        <w:ind w:firstLine="480" w:firstLineChars="200"/>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1.政府采购合同履行中，甲方需追加与合同标的相同的货物、工程或者服务的，在不改变合同其他条款的前提下，可以与乙方协商签订补充合同，但所有补充合同的采购金额不得超过原合同采购金额的</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lang w:val="zh-CN" w:eastAsia="zh-CN"/>
        </w:rPr>
        <w:t>。</w:t>
      </w:r>
    </w:p>
    <w:p w14:paraId="0520BB23">
      <w:pPr>
        <w:spacing w:line="360" w:lineRule="auto"/>
        <w:ind w:firstLine="480" w:firstLineChars="200"/>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2.甲乙双方均应自觉配合有关监督管理部门对合同履行情况的监督检查，如实反映情况，提供有关资料；否则，将对有关单位、当事人按照有关规定予以处罚。</w:t>
      </w:r>
    </w:p>
    <w:p w14:paraId="6335CACD">
      <w:pP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十一、</w:t>
      </w:r>
      <w:r>
        <w:rPr>
          <w:rFonts w:hint="eastAsia" w:ascii="宋体" w:hAnsi="宋体" w:eastAsia="宋体" w:cs="宋体"/>
          <w:color w:val="auto"/>
          <w:sz w:val="24"/>
          <w:szCs w:val="24"/>
          <w:highlight w:val="none"/>
          <w:lang w:val="en-US" w:eastAsia="zh-CN"/>
        </w:rPr>
        <w:fldChar w:fldCharType="begin"/>
      </w:r>
      <w:r>
        <w:rPr>
          <w:rFonts w:hint="eastAsia" w:ascii="宋体" w:hAnsi="宋体" w:eastAsia="宋体" w:cs="宋体"/>
          <w:color w:val="auto"/>
          <w:sz w:val="24"/>
          <w:szCs w:val="24"/>
          <w:highlight w:val="none"/>
          <w:lang w:val="en-US" w:eastAsia="zh-CN"/>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宋体" w:hAnsi="宋体" w:eastAsia="宋体" w:cs="宋体"/>
          <w:color w:val="auto"/>
          <w:sz w:val="24"/>
          <w:szCs w:val="24"/>
          <w:highlight w:val="none"/>
          <w:lang w:val="en-US" w:eastAsia="zh-CN"/>
        </w:rPr>
        <w:fldChar w:fldCharType="separate"/>
      </w:r>
      <w:r>
        <w:rPr>
          <w:rFonts w:hint="eastAsia" w:ascii="宋体" w:hAnsi="宋体" w:eastAsia="宋体" w:cs="宋体"/>
          <w:color w:val="auto"/>
          <w:sz w:val="24"/>
          <w:szCs w:val="24"/>
          <w:highlight w:val="none"/>
          <w:lang w:val="en-US" w:eastAsia="zh-CN"/>
        </w:rPr>
        <w:t>无效合同</w:t>
      </w:r>
      <w:r>
        <w:rPr>
          <w:rFonts w:hint="eastAsia" w:ascii="宋体" w:hAnsi="宋体" w:eastAsia="宋体" w:cs="宋体"/>
          <w:color w:val="auto"/>
          <w:sz w:val="24"/>
          <w:szCs w:val="24"/>
          <w:highlight w:val="none"/>
          <w:lang w:val="en-US" w:eastAsia="zh-CN"/>
        </w:rPr>
        <w:fldChar w:fldCharType="end"/>
      </w:r>
    </w:p>
    <w:p w14:paraId="1C19F116">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甲乙双方如因违反政府采购法及相关法律法规的规定，被宣告</w:t>
      </w:r>
      <w:r>
        <w:rPr>
          <w:rFonts w:hint="eastAsia" w:ascii="宋体" w:hAnsi="宋体" w:eastAsia="宋体" w:cs="宋体"/>
          <w:color w:val="auto"/>
          <w:sz w:val="24"/>
          <w:szCs w:val="24"/>
          <w:highlight w:val="none"/>
          <w:lang w:eastAsia="zh-CN"/>
        </w:rPr>
        <w:fldChar w:fldCharType="begin"/>
      </w:r>
      <w:r>
        <w:rPr>
          <w:rFonts w:hint="eastAsia" w:ascii="宋体" w:hAnsi="宋体" w:eastAsia="宋体" w:cs="宋体"/>
          <w:color w:val="auto"/>
          <w:sz w:val="24"/>
          <w:szCs w:val="24"/>
          <w:highlight w:val="none"/>
          <w:lang w:eastAsia="zh-CN"/>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宋体" w:hAnsi="宋体" w:eastAsia="宋体" w:cs="宋体"/>
          <w:color w:val="auto"/>
          <w:sz w:val="24"/>
          <w:szCs w:val="24"/>
          <w:highlight w:val="none"/>
          <w:lang w:eastAsia="zh-CN"/>
        </w:rPr>
        <w:fldChar w:fldCharType="separate"/>
      </w:r>
      <w:r>
        <w:rPr>
          <w:rFonts w:hint="eastAsia" w:ascii="宋体" w:hAnsi="宋体" w:eastAsia="宋体" w:cs="宋体"/>
          <w:color w:val="auto"/>
          <w:sz w:val="24"/>
          <w:szCs w:val="24"/>
          <w:highlight w:val="none"/>
          <w:lang w:eastAsia="zh-CN"/>
        </w:rPr>
        <w:t>合同无效</w:t>
      </w:r>
      <w:r>
        <w:rPr>
          <w:rFonts w:hint="eastAsia" w:ascii="宋体" w:hAnsi="宋体" w:eastAsia="宋体" w:cs="宋体"/>
          <w:color w:val="auto"/>
          <w:sz w:val="24"/>
          <w:szCs w:val="24"/>
          <w:highlight w:val="none"/>
          <w:lang w:eastAsia="zh-CN"/>
        </w:rPr>
        <w:fldChar w:fldCharType="end"/>
      </w:r>
      <w:r>
        <w:rPr>
          <w:rFonts w:hint="eastAsia" w:ascii="宋体" w:hAnsi="宋体" w:eastAsia="宋体" w:cs="宋体"/>
          <w:color w:val="auto"/>
          <w:sz w:val="24"/>
          <w:szCs w:val="24"/>
          <w:highlight w:val="none"/>
          <w:lang w:eastAsia="zh-CN"/>
        </w:rPr>
        <w:t>的，一切责任概由过错方自行承担。</w:t>
      </w:r>
    </w:p>
    <w:p w14:paraId="33B09DA8">
      <w:pP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十二、</w:t>
      </w:r>
      <w:r>
        <w:rPr>
          <w:rFonts w:hint="eastAsia" w:ascii="宋体" w:hAnsi="宋体" w:eastAsia="宋体" w:cs="宋体"/>
          <w:color w:val="auto"/>
          <w:sz w:val="24"/>
          <w:szCs w:val="24"/>
          <w:highlight w:val="none"/>
          <w:lang w:val="en-US" w:eastAsia="zh-CN"/>
        </w:rPr>
        <w:t>其它补充事宜：</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2E417A70">
      <w:pP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十三、附则</w:t>
      </w:r>
    </w:p>
    <w:p w14:paraId="2E18626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1、本合同未尽事宜，双方共同协商达成补充协议，补充协议和附件与本合同具有同等法律效力。</w:t>
      </w:r>
    </w:p>
    <w:p w14:paraId="74833EA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2、本合同一式</w:t>
      </w:r>
      <w:r>
        <w:rPr>
          <w:rFonts w:hint="eastAsia" w:ascii="宋体" w:hAnsi="宋体" w:eastAsia="宋体" w:cs="宋体"/>
          <w:color w:val="auto"/>
          <w:sz w:val="24"/>
          <w:szCs w:val="24"/>
          <w:highlight w:val="none"/>
          <w:lang w:val="en-US" w:eastAsia="zh-CN"/>
        </w:rPr>
        <w:t>陆</w:t>
      </w:r>
      <w:r>
        <w:rPr>
          <w:rFonts w:hint="eastAsia" w:ascii="宋体" w:hAnsi="宋体" w:eastAsia="宋体" w:cs="宋体"/>
          <w:color w:val="auto"/>
          <w:sz w:val="24"/>
          <w:szCs w:val="24"/>
          <w:highlight w:val="none"/>
        </w:rPr>
        <w:t>份,甲乙双方各执</w:t>
      </w:r>
      <w:r>
        <w:rPr>
          <w:rFonts w:hint="eastAsia" w:ascii="宋体" w:hAnsi="宋体" w:eastAsia="宋体" w:cs="宋体"/>
          <w:color w:val="auto"/>
          <w:sz w:val="24"/>
          <w:szCs w:val="24"/>
          <w:highlight w:val="none"/>
          <w:lang w:val="en-US" w:eastAsia="zh-CN"/>
        </w:rPr>
        <w:t>叁</w:t>
      </w:r>
      <w:r>
        <w:rPr>
          <w:rFonts w:hint="eastAsia" w:ascii="宋体" w:hAnsi="宋体" w:eastAsia="宋体" w:cs="宋体"/>
          <w:color w:val="auto"/>
          <w:sz w:val="24"/>
          <w:szCs w:val="24"/>
          <w:highlight w:val="none"/>
        </w:rPr>
        <w:t>份。</w:t>
      </w:r>
    </w:p>
    <w:p w14:paraId="5BC54F86">
      <w:pPr>
        <w:spacing w:line="360" w:lineRule="auto"/>
        <w:ind w:firstLine="480" w:firstLineChars="200"/>
        <w:rPr>
          <w:rFonts w:hint="eastAsia" w:ascii="宋体" w:hAnsi="宋体" w:eastAsia="宋体" w:cs="宋体"/>
          <w:color w:val="auto"/>
          <w:sz w:val="21"/>
          <w:highlight w:val="none"/>
        </w:rPr>
      </w:pPr>
      <w:r>
        <w:rPr>
          <w:rFonts w:hint="eastAsia" w:ascii="宋体" w:hAnsi="宋体" w:eastAsia="宋体" w:cs="宋体"/>
          <w:color w:val="auto"/>
          <w:sz w:val="24"/>
          <w:szCs w:val="24"/>
          <w:highlight w:val="none"/>
        </w:rPr>
        <w:t>3、本合同自双方签字盖章之日起生效。</w:t>
      </w:r>
    </w:p>
    <w:p w14:paraId="4EC63E1A">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color w:val="auto"/>
          <w:sz w:val="21"/>
          <w:highlight w:val="none"/>
        </w:rPr>
      </w:pPr>
      <w:r>
        <w:rPr>
          <w:rFonts w:hint="eastAsia" w:ascii="宋体" w:hAnsi="宋体" w:eastAsia="宋体" w:cs="宋体"/>
          <w:color w:val="auto"/>
          <w:sz w:val="21"/>
          <w:highlight w:val="none"/>
        </w:rPr>
        <w:t>（</w:t>
      </w:r>
      <w:r>
        <w:rPr>
          <w:rFonts w:hint="eastAsia" w:ascii="宋体" w:hAnsi="宋体" w:eastAsia="宋体" w:cs="宋体"/>
          <w:color w:val="auto"/>
          <w:sz w:val="21"/>
          <w:highlight w:val="none"/>
          <w:lang w:val="en-US" w:eastAsia="zh-CN"/>
        </w:rPr>
        <w:t>以下无正文</w:t>
      </w:r>
      <w:r>
        <w:rPr>
          <w:rFonts w:hint="eastAsia" w:ascii="宋体" w:hAnsi="宋体" w:eastAsia="宋体" w:cs="宋体"/>
          <w:color w:val="auto"/>
          <w:sz w:val="21"/>
          <w:highlight w:val="none"/>
        </w:rPr>
        <w:t>）</w:t>
      </w:r>
    </w:p>
    <w:tbl>
      <w:tblPr>
        <w:tblStyle w:val="6"/>
        <w:tblW w:w="8403" w:type="dxa"/>
        <w:jc w:val="center"/>
        <w:tblLayout w:type="fixed"/>
        <w:tblCellMar>
          <w:top w:w="0" w:type="dxa"/>
          <w:left w:w="108" w:type="dxa"/>
          <w:bottom w:w="0" w:type="dxa"/>
          <w:right w:w="108" w:type="dxa"/>
        </w:tblCellMar>
      </w:tblPr>
      <w:tblGrid>
        <w:gridCol w:w="4201"/>
        <w:gridCol w:w="4202"/>
      </w:tblGrid>
      <w:tr w14:paraId="035099B3">
        <w:tblPrEx>
          <w:tblCellMar>
            <w:top w:w="0" w:type="dxa"/>
            <w:left w:w="108" w:type="dxa"/>
            <w:bottom w:w="0" w:type="dxa"/>
            <w:right w:w="108" w:type="dxa"/>
          </w:tblCellMar>
        </w:tblPrEx>
        <w:trPr>
          <w:trHeight w:val="567" w:hRule="exact"/>
          <w:jc w:val="center"/>
        </w:trPr>
        <w:tc>
          <w:tcPr>
            <w:tcW w:w="4201" w:type="dxa"/>
            <w:noWrap/>
            <w:vAlign w:val="center"/>
          </w:tcPr>
          <w:p w14:paraId="5B384DAF">
            <w:pPr>
              <w:spacing w:line="360" w:lineRule="auto"/>
              <w:rPr>
                <w:rFonts w:hint="eastAsia" w:ascii="宋体" w:hAnsi="宋体" w:eastAsia="宋体" w:cs="宋体"/>
                <w:color w:val="auto"/>
                <w:sz w:val="21"/>
                <w:highlight w:val="none"/>
              </w:rPr>
            </w:pPr>
            <w:r>
              <w:rPr>
                <w:rFonts w:hint="eastAsia" w:ascii="宋体" w:hAnsi="宋体" w:eastAsia="宋体" w:cs="宋体"/>
                <w:color w:val="auto"/>
                <w:sz w:val="21"/>
                <w:highlight w:val="none"/>
              </w:rPr>
              <w:t>甲  方</w:t>
            </w:r>
          </w:p>
        </w:tc>
        <w:tc>
          <w:tcPr>
            <w:tcW w:w="4202" w:type="dxa"/>
            <w:noWrap/>
            <w:vAlign w:val="center"/>
          </w:tcPr>
          <w:p w14:paraId="0BAE9DA8">
            <w:pPr>
              <w:spacing w:line="360" w:lineRule="auto"/>
              <w:rPr>
                <w:rFonts w:hint="eastAsia" w:ascii="宋体" w:hAnsi="宋体" w:eastAsia="宋体" w:cs="宋体"/>
                <w:color w:val="auto"/>
                <w:sz w:val="21"/>
                <w:highlight w:val="none"/>
              </w:rPr>
            </w:pPr>
            <w:r>
              <w:rPr>
                <w:rFonts w:hint="eastAsia" w:ascii="宋体" w:hAnsi="宋体" w:eastAsia="宋体" w:cs="宋体"/>
                <w:color w:val="auto"/>
                <w:sz w:val="21"/>
                <w:highlight w:val="none"/>
              </w:rPr>
              <w:t>乙  方</w:t>
            </w:r>
          </w:p>
        </w:tc>
      </w:tr>
      <w:tr w14:paraId="19A6FA30">
        <w:tblPrEx>
          <w:tblCellMar>
            <w:top w:w="0" w:type="dxa"/>
            <w:left w:w="108" w:type="dxa"/>
            <w:bottom w:w="0" w:type="dxa"/>
            <w:right w:w="108" w:type="dxa"/>
          </w:tblCellMar>
        </w:tblPrEx>
        <w:trPr>
          <w:trHeight w:val="567" w:hRule="exact"/>
          <w:jc w:val="center"/>
        </w:trPr>
        <w:tc>
          <w:tcPr>
            <w:tcW w:w="4201" w:type="dxa"/>
            <w:noWrap/>
            <w:vAlign w:val="center"/>
          </w:tcPr>
          <w:p w14:paraId="393488E9">
            <w:pPr>
              <w:spacing w:line="360" w:lineRule="auto"/>
              <w:rPr>
                <w:rFonts w:hint="eastAsia" w:ascii="宋体" w:hAnsi="宋体" w:eastAsia="宋体" w:cs="宋体"/>
                <w:color w:val="auto"/>
                <w:sz w:val="21"/>
                <w:highlight w:val="none"/>
              </w:rPr>
            </w:pPr>
            <w:r>
              <w:rPr>
                <w:rFonts w:hint="eastAsia" w:ascii="宋体" w:hAnsi="宋体" w:eastAsia="宋体" w:cs="宋体"/>
                <w:color w:val="auto"/>
                <w:sz w:val="21"/>
                <w:highlight w:val="none"/>
              </w:rPr>
              <w:t>（盖章）</w:t>
            </w:r>
          </w:p>
        </w:tc>
        <w:tc>
          <w:tcPr>
            <w:tcW w:w="4202" w:type="dxa"/>
            <w:noWrap/>
            <w:vAlign w:val="center"/>
          </w:tcPr>
          <w:p w14:paraId="70978AD9">
            <w:pPr>
              <w:spacing w:line="360" w:lineRule="auto"/>
              <w:rPr>
                <w:rFonts w:hint="eastAsia" w:ascii="宋体" w:hAnsi="宋体" w:eastAsia="宋体" w:cs="宋体"/>
                <w:color w:val="auto"/>
                <w:sz w:val="21"/>
                <w:highlight w:val="none"/>
              </w:rPr>
            </w:pPr>
            <w:r>
              <w:rPr>
                <w:rFonts w:hint="eastAsia" w:ascii="宋体" w:hAnsi="宋体" w:eastAsia="宋体" w:cs="宋体"/>
                <w:color w:val="auto"/>
                <w:sz w:val="21"/>
                <w:highlight w:val="none"/>
              </w:rPr>
              <w:t>（盖章）</w:t>
            </w:r>
          </w:p>
        </w:tc>
      </w:tr>
      <w:tr w14:paraId="46FD41C6">
        <w:tblPrEx>
          <w:tblCellMar>
            <w:top w:w="0" w:type="dxa"/>
            <w:left w:w="108" w:type="dxa"/>
            <w:bottom w:w="0" w:type="dxa"/>
            <w:right w:w="108" w:type="dxa"/>
          </w:tblCellMar>
        </w:tblPrEx>
        <w:trPr>
          <w:trHeight w:val="567" w:hRule="exact"/>
          <w:jc w:val="center"/>
        </w:trPr>
        <w:tc>
          <w:tcPr>
            <w:tcW w:w="4201" w:type="dxa"/>
            <w:noWrap/>
            <w:vAlign w:val="center"/>
          </w:tcPr>
          <w:p w14:paraId="745853AA">
            <w:pPr>
              <w:spacing w:line="360" w:lineRule="auto"/>
              <w:rPr>
                <w:rFonts w:hint="eastAsia" w:ascii="宋体" w:hAnsi="宋体" w:eastAsia="宋体" w:cs="宋体"/>
                <w:color w:val="auto"/>
                <w:sz w:val="21"/>
                <w:highlight w:val="none"/>
              </w:rPr>
            </w:pPr>
            <w:r>
              <w:rPr>
                <w:rFonts w:hint="eastAsia" w:ascii="宋体" w:hAnsi="宋体" w:eastAsia="宋体" w:cs="宋体"/>
                <w:color w:val="auto"/>
                <w:sz w:val="21"/>
                <w:highlight w:val="none"/>
              </w:rPr>
              <w:t xml:space="preserve">地址： </w:t>
            </w:r>
          </w:p>
        </w:tc>
        <w:tc>
          <w:tcPr>
            <w:tcW w:w="4202" w:type="dxa"/>
            <w:noWrap/>
            <w:vAlign w:val="center"/>
          </w:tcPr>
          <w:p w14:paraId="140A6652">
            <w:pPr>
              <w:spacing w:line="360" w:lineRule="auto"/>
              <w:rPr>
                <w:rFonts w:hint="eastAsia" w:ascii="宋体" w:hAnsi="宋体" w:eastAsia="宋体" w:cs="宋体"/>
                <w:color w:val="auto"/>
                <w:sz w:val="21"/>
                <w:highlight w:val="none"/>
              </w:rPr>
            </w:pPr>
            <w:r>
              <w:rPr>
                <w:rFonts w:hint="eastAsia" w:ascii="宋体" w:hAnsi="宋体" w:eastAsia="宋体" w:cs="宋体"/>
                <w:color w:val="auto"/>
                <w:sz w:val="21"/>
                <w:highlight w:val="none"/>
              </w:rPr>
              <w:t>地址：</w:t>
            </w:r>
          </w:p>
        </w:tc>
      </w:tr>
      <w:tr w14:paraId="7920B7EF">
        <w:tblPrEx>
          <w:tblCellMar>
            <w:top w:w="0" w:type="dxa"/>
            <w:left w:w="108" w:type="dxa"/>
            <w:bottom w:w="0" w:type="dxa"/>
            <w:right w:w="108" w:type="dxa"/>
          </w:tblCellMar>
        </w:tblPrEx>
        <w:trPr>
          <w:trHeight w:val="567" w:hRule="exact"/>
          <w:jc w:val="center"/>
        </w:trPr>
        <w:tc>
          <w:tcPr>
            <w:tcW w:w="4201" w:type="dxa"/>
            <w:noWrap/>
            <w:vAlign w:val="center"/>
          </w:tcPr>
          <w:p w14:paraId="41288870">
            <w:pPr>
              <w:spacing w:line="360" w:lineRule="auto"/>
              <w:rPr>
                <w:rFonts w:hint="eastAsia" w:ascii="宋体" w:hAnsi="宋体" w:eastAsia="宋体" w:cs="宋体"/>
                <w:color w:val="auto"/>
                <w:sz w:val="21"/>
                <w:highlight w:val="none"/>
              </w:rPr>
            </w:pPr>
            <w:r>
              <w:rPr>
                <w:rFonts w:hint="eastAsia" w:ascii="宋体" w:hAnsi="宋体" w:eastAsia="宋体" w:cs="宋体"/>
                <w:color w:val="auto"/>
                <w:sz w:val="21"/>
                <w:highlight w:val="none"/>
              </w:rPr>
              <w:t>邮编：</w:t>
            </w:r>
          </w:p>
        </w:tc>
        <w:tc>
          <w:tcPr>
            <w:tcW w:w="4202" w:type="dxa"/>
            <w:noWrap/>
            <w:vAlign w:val="center"/>
          </w:tcPr>
          <w:p w14:paraId="4EAF5721">
            <w:pPr>
              <w:spacing w:line="360" w:lineRule="auto"/>
              <w:rPr>
                <w:rFonts w:hint="eastAsia" w:ascii="宋体" w:hAnsi="宋体" w:eastAsia="宋体" w:cs="宋体"/>
                <w:color w:val="auto"/>
                <w:sz w:val="21"/>
                <w:highlight w:val="none"/>
              </w:rPr>
            </w:pPr>
            <w:r>
              <w:rPr>
                <w:rFonts w:hint="eastAsia" w:ascii="宋体" w:hAnsi="宋体" w:eastAsia="宋体" w:cs="宋体"/>
                <w:color w:val="auto"/>
                <w:sz w:val="21"/>
                <w:highlight w:val="none"/>
              </w:rPr>
              <w:t>邮编：</w:t>
            </w:r>
          </w:p>
        </w:tc>
      </w:tr>
      <w:tr w14:paraId="2F4F9866">
        <w:tblPrEx>
          <w:tblCellMar>
            <w:top w:w="0" w:type="dxa"/>
            <w:left w:w="108" w:type="dxa"/>
            <w:bottom w:w="0" w:type="dxa"/>
            <w:right w:w="108" w:type="dxa"/>
          </w:tblCellMar>
        </w:tblPrEx>
        <w:trPr>
          <w:trHeight w:val="567" w:hRule="exact"/>
          <w:jc w:val="center"/>
        </w:trPr>
        <w:tc>
          <w:tcPr>
            <w:tcW w:w="4201" w:type="dxa"/>
            <w:noWrap/>
            <w:vAlign w:val="center"/>
          </w:tcPr>
          <w:p w14:paraId="7913A512">
            <w:pPr>
              <w:spacing w:line="360" w:lineRule="auto"/>
              <w:rPr>
                <w:rFonts w:hint="eastAsia" w:ascii="宋体" w:hAnsi="宋体" w:eastAsia="宋体" w:cs="宋体"/>
                <w:color w:val="auto"/>
                <w:sz w:val="21"/>
                <w:highlight w:val="none"/>
              </w:rPr>
            </w:pPr>
            <w:r>
              <w:rPr>
                <w:rFonts w:hint="eastAsia" w:ascii="宋体" w:hAnsi="宋体" w:eastAsia="宋体" w:cs="宋体"/>
                <w:color w:val="auto"/>
                <w:sz w:val="21"/>
                <w:highlight w:val="none"/>
              </w:rPr>
              <w:t>法定代表人</w:t>
            </w:r>
            <w:r>
              <w:rPr>
                <w:rFonts w:hint="eastAsia" w:ascii="宋体" w:hAnsi="宋体" w:eastAsia="宋体" w:cs="宋体"/>
                <w:color w:val="auto"/>
                <w:sz w:val="21"/>
                <w:highlight w:val="none"/>
                <w:lang w:val="en-US" w:eastAsia="zh-CN"/>
              </w:rPr>
              <w:t>/</w:t>
            </w:r>
            <w:r>
              <w:rPr>
                <w:rFonts w:hint="eastAsia" w:ascii="宋体" w:hAnsi="宋体" w:eastAsia="宋体" w:cs="宋体"/>
                <w:color w:val="auto"/>
                <w:sz w:val="21"/>
                <w:highlight w:val="none"/>
              </w:rPr>
              <w:t>被授权</w:t>
            </w:r>
            <w:r>
              <w:rPr>
                <w:rFonts w:hint="eastAsia" w:ascii="宋体" w:hAnsi="宋体" w:eastAsia="宋体" w:cs="宋体"/>
                <w:color w:val="auto"/>
                <w:sz w:val="21"/>
                <w:highlight w:val="none"/>
                <w:lang w:val="en-US" w:eastAsia="zh-CN"/>
              </w:rPr>
              <w:t>人</w:t>
            </w:r>
            <w:r>
              <w:rPr>
                <w:rFonts w:hint="eastAsia" w:ascii="宋体" w:hAnsi="宋体" w:eastAsia="宋体" w:cs="宋体"/>
                <w:color w:val="auto"/>
                <w:sz w:val="21"/>
                <w:highlight w:val="none"/>
              </w:rPr>
              <w:t xml:space="preserve">： </w:t>
            </w:r>
          </w:p>
        </w:tc>
        <w:tc>
          <w:tcPr>
            <w:tcW w:w="4202" w:type="dxa"/>
            <w:noWrap/>
            <w:vAlign w:val="center"/>
          </w:tcPr>
          <w:p w14:paraId="723C8A89">
            <w:pPr>
              <w:spacing w:line="360" w:lineRule="auto"/>
              <w:rPr>
                <w:rFonts w:hint="eastAsia" w:ascii="宋体" w:hAnsi="宋体" w:eastAsia="宋体" w:cs="宋体"/>
                <w:color w:val="auto"/>
                <w:sz w:val="21"/>
                <w:highlight w:val="none"/>
              </w:rPr>
            </w:pPr>
            <w:r>
              <w:rPr>
                <w:rFonts w:hint="eastAsia" w:ascii="宋体" w:hAnsi="宋体" w:eastAsia="宋体" w:cs="宋体"/>
                <w:color w:val="auto"/>
                <w:sz w:val="21"/>
                <w:highlight w:val="none"/>
              </w:rPr>
              <w:t>法定代表人</w:t>
            </w:r>
            <w:r>
              <w:rPr>
                <w:rFonts w:hint="eastAsia" w:ascii="宋体" w:hAnsi="宋体" w:eastAsia="宋体" w:cs="宋体"/>
                <w:color w:val="auto"/>
                <w:sz w:val="21"/>
                <w:highlight w:val="none"/>
                <w:lang w:val="en-US" w:eastAsia="zh-CN"/>
              </w:rPr>
              <w:t>/</w:t>
            </w:r>
            <w:r>
              <w:rPr>
                <w:rFonts w:hint="eastAsia" w:ascii="宋体" w:hAnsi="宋体" w:eastAsia="宋体" w:cs="宋体"/>
                <w:color w:val="auto"/>
                <w:sz w:val="21"/>
                <w:highlight w:val="none"/>
              </w:rPr>
              <w:t>被授权</w:t>
            </w:r>
            <w:r>
              <w:rPr>
                <w:rFonts w:hint="eastAsia" w:ascii="宋体" w:hAnsi="宋体" w:eastAsia="宋体" w:cs="宋体"/>
                <w:color w:val="auto"/>
                <w:sz w:val="21"/>
                <w:highlight w:val="none"/>
                <w:lang w:val="en-US" w:eastAsia="zh-CN"/>
              </w:rPr>
              <w:t>人</w:t>
            </w:r>
            <w:r>
              <w:rPr>
                <w:rFonts w:hint="eastAsia" w:ascii="宋体" w:hAnsi="宋体" w:eastAsia="宋体" w:cs="宋体"/>
                <w:color w:val="auto"/>
                <w:sz w:val="21"/>
                <w:highlight w:val="none"/>
              </w:rPr>
              <w:t>：</w:t>
            </w:r>
          </w:p>
        </w:tc>
      </w:tr>
      <w:tr w14:paraId="7109B0D7">
        <w:tblPrEx>
          <w:tblCellMar>
            <w:top w:w="0" w:type="dxa"/>
            <w:left w:w="108" w:type="dxa"/>
            <w:bottom w:w="0" w:type="dxa"/>
            <w:right w:w="108" w:type="dxa"/>
          </w:tblCellMar>
        </w:tblPrEx>
        <w:trPr>
          <w:trHeight w:val="567" w:hRule="exact"/>
          <w:jc w:val="center"/>
        </w:trPr>
        <w:tc>
          <w:tcPr>
            <w:tcW w:w="4201" w:type="dxa"/>
            <w:noWrap/>
            <w:vAlign w:val="center"/>
          </w:tcPr>
          <w:p w14:paraId="24BA8B51">
            <w:pPr>
              <w:spacing w:line="360" w:lineRule="auto"/>
              <w:rPr>
                <w:rFonts w:hint="eastAsia" w:ascii="宋体" w:hAnsi="宋体" w:eastAsia="宋体" w:cs="宋体"/>
                <w:color w:val="auto"/>
                <w:sz w:val="21"/>
                <w:highlight w:val="none"/>
              </w:rPr>
            </w:pPr>
            <w:r>
              <w:rPr>
                <w:rFonts w:hint="eastAsia" w:ascii="宋体" w:hAnsi="宋体" w:eastAsia="宋体" w:cs="宋体"/>
                <w:color w:val="auto"/>
                <w:sz w:val="21"/>
                <w:highlight w:val="none"/>
              </w:rPr>
              <w:t>电话：</w:t>
            </w:r>
          </w:p>
        </w:tc>
        <w:tc>
          <w:tcPr>
            <w:tcW w:w="4202" w:type="dxa"/>
            <w:noWrap/>
            <w:vAlign w:val="center"/>
          </w:tcPr>
          <w:p w14:paraId="27F9254F">
            <w:pPr>
              <w:spacing w:line="360" w:lineRule="auto"/>
              <w:rPr>
                <w:rFonts w:hint="eastAsia" w:ascii="宋体" w:hAnsi="宋体" w:eastAsia="宋体" w:cs="宋体"/>
                <w:color w:val="auto"/>
                <w:sz w:val="21"/>
                <w:highlight w:val="none"/>
              </w:rPr>
            </w:pPr>
            <w:r>
              <w:rPr>
                <w:rFonts w:hint="eastAsia" w:ascii="宋体" w:hAnsi="宋体" w:eastAsia="宋体" w:cs="宋体"/>
                <w:color w:val="auto"/>
                <w:sz w:val="21"/>
                <w:highlight w:val="none"/>
              </w:rPr>
              <w:t>电话：</w:t>
            </w:r>
          </w:p>
        </w:tc>
      </w:tr>
      <w:tr w14:paraId="50614803">
        <w:tblPrEx>
          <w:tblCellMar>
            <w:top w:w="0" w:type="dxa"/>
            <w:left w:w="108" w:type="dxa"/>
            <w:bottom w:w="0" w:type="dxa"/>
            <w:right w:w="108" w:type="dxa"/>
          </w:tblCellMar>
        </w:tblPrEx>
        <w:trPr>
          <w:trHeight w:val="567" w:hRule="exact"/>
          <w:jc w:val="center"/>
        </w:trPr>
        <w:tc>
          <w:tcPr>
            <w:tcW w:w="4201" w:type="dxa"/>
            <w:noWrap/>
            <w:vAlign w:val="center"/>
          </w:tcPr>
          <w:p w14:paraId="552811A2">
            <w:pPr>
              <w:spacing w:line="360" w:lineRule="auto"/>
              <w:rPr>
                <w:rFonts w:hint="eastAsia" w:ascii="宋体" w:hAnsi="宋体" w:eastAsia="宋体" w:cs="宋体"/>
                <w:color w:val="auto"/>
                <w:sz w:val="21"/>
                <w:highlight w:val="none"/>
              </w:rPr>
            </w:pPr>
            <w:r>
              <w:rPr>
                <w:rFonts w:hint="eastAsia" w:ascii="宋体" w:hAnsi="宋体" w:eastAsia="宋体" w:cs="宋体"/>
                <w:color w:val="auto"/>
                <w:sz w:val="21"/>
                <w:highlight w:val="none"/>
              </w:rPr>
              <w:t>开户银行：</w:t>
            </w:r>
          </w:p>
        </w:tc>
        <w:tc>
          <w:tcPr>
            <w:tcW w:w="4202" w:type="dxa"/>
            <w:noWrap/>
            <w:vAlign w:val="center"/>
          </w:tcPr>
          <w:p w14:paraId="196F2978">
            <w:pPr>
              <w:spacing w:line="360" w:lineRule="auto"/>
              <w:rPr>
                <w:rFonts w:hint="eastAsia" w:ascii="宋体" w:hAnsi="宋体" w:eastAsia="宋体" w:cs="宋体"/>
                <w:color w:val="auto"/>
                <w:sz w:val="21"/>
                <w:highlight w:val="none"/>
              </w:rPr>
            </w:pPr>
            <w:r>
              <w:rPr>
                <w:rFonts w:hint="eastAsia" w:ascii="宋体" w:hAnsi="宋体" w:eastAsia="宋体" w:cs="宋体"/>
                <w:color w:val="auto"/>
                <w:sz w:val="21"/>
                <w:highlight w:val="none"/>
              </w:rPr>
              <w:t>开户银行：</w:t>
            </w:r>
          </w:p>
        </w:tc>
      </w:tr>
      <w:tr w14:paraId="225985F6">
        <w:tblPrEx>
          <w:tblCellMar>
            <w:top w:w="0" w:type="dxa"/>
            <w:left w:w="108" w:type="dxa"/>
            <w:bottom w:w="0" w:type="dxa"/>
            <w:right w:w="108" w:type="dxa"/>
          </w:tblCellMar>
        </w:tblPrEx>
        <w:trPr>
          <w:trHeight w:val="567" w:hRule="exact"/>
          <w:jc w:val="center"/>
        </w:trPr>
        <w:tc>
          <w:tcPr>
            <w:tcW w:w="4201" w:type="dxa"/>
            <w:noWrap/>
            <w:vAlign w:val="center"/>
          </w:tcPr>
          <w:p w14:paraId="6C43E359">
            <w:pPr>
              <w:spacing w:line="360" w:lineRule="auto"/>
              <w:rPr>
                <w:rFonts w:hint="eastAsia" w:ascii="宋体" w:hAnsi="宋体" w:eastAsia="宋体" w:cs="宋体"/>
                <w:color w:val="auto"/>
                <w:sz w:val="21"/>
                <w:highlight w:val="none"/>
              </w:rPr>
            </w:pPr>
            <w:r>
              <w:rPr>
                <w:rFonts w:hint="eastAsia" w:ascii="宋体" w:hAnsi="宋体" w:eastAsia="宋体" w:cs="宋体"/>
                <w:color w:val="auto"/>
                <w:sz w:val="21"/>
                <w:highlight w:val="none"/>
              </w:rPr>
              <w:t>日期：</w:t>
            </w:r>
          </w:p>
        </w:tc>
        <w:tc>
          <w:tcPr>
            <w:tcW w:w="4202" w:type="dxa"/>
            <w:noWrap/>
            <w:vAlign w:val="center"/>
          </w:tcPr>
          <w:p w14:paraId="4324A9B0">
            <w:pPr>
              <w:spacing w:line="360" w:lineRule="auto"/>
              <w:rPr>
                <w:rFonts w:hint="eastAsia" w:ascii="宋体" w:hAnsi="宋体" w:eastAsia="宋体" w:cs="宋体"/>
                <w:color w:val="auto"/>
                <w:sz w:val="21"/>
                <w:highlight w:val="none"/>
              </w:rPr>
            </w:pPr>
            <w:r>
              <w:rPr>
                <w:rFonts w:hint="eastAsia" w:ascii="宋体" w:hAnsi="宋体" w:eastAsia="宋体" w:cs="宋体"/>
                <w:color w:val="auto"/>
                <w:sz w:val="21"/>
                <w:highlight w:val="none"/>
              </w:rPr>
              <w:t>日期：</w:t>
            </w:r>
          </w:p>
        </w:tc>
      </w:tr>
    </w:tbl>
    <w:p w14:paraId="6249D834">
      <w:pP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br w:type="page"/>
      </w:r>
    </w:p>
    <w:p w14:paraId="1A9C2381">
      <w:pP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附件1：</w:t>
      </w:r>
    </w:p>
    <w:p w14:paraId="57A7A150">
      <w:pPr>
        <w:pStyle w:val="3"/>
        <w:spacing w:after="240" w:afterLines="100" w:line="420" w:lineRule="exact"/>
        <w:ind w:firstLine="0" w:firstLineChars="0"/>
        <w:jc w:val="center"/>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工程质量保修书</w:t>
      </w:r>
    </w:p>
    <w:p w14:paraId="7E4D61E0">
      <w:pPr>
        <w:spacing w:line="360" w:lineRule="auto"/>
        <w:ind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甲方（全称）：</w:t>
      </w:r>
      <w:r>
        <w:rPr>
          <w:rFonts w:hint="eastAsia" w:ascii="宋体" w:hAnsi="宋体" w:eastAsia="宋体" w:cs="宋体"/>
          <w:color w:val="auto"/>
          <w:sz w:val="24"/>
          <w:szCs w:val="24"/>
          <w:highlight w:val="none"/>
          <w:u w:val="single"/>
        </w:rPr>
        <w:t xml:space="preserve">                         </w:t>
      </w:r>
    </w:p>
    <w:p w14:paraId="4C4FB0E8">
      <w:pPr>
        <w:spacing w:line="360" w:lineRule="auto"/>
        <w:ind w:firstLine="482" w:firstLineChars="200"/>
        <w:rPr>
          <w:rFonts w:hint="eastAsia" w:ascii="宋体" w:hAnsi="宋体" w:eastAsia="宋体" w:cs="宋体"/>
          <w:b/>
          <w:color w:val="auto"/>
          <w:sz w:val="24"/>
          <w:szCs w:val="24"/>
          <w:highlight w:val="none"/>
          <w:u w:val="single"/>
        </w:rPr>
      </w:pPr>
      <w:r>
        <w:rPr>
          <w:rFonts w:hint="eastAsia" w:ascii="宋体" w:hAnsi="宋体" w:eastAsia="宋体" w:cs="宋体"/>
          <w:b/>
          <w:color w:val="auto"/>
          <w:sz w:val="24"/>
          <w:szCs w:val="24"/>
          <w:highlight w:val="none"/>
        </w:rPr>
        <w:t>乙方（全称）：</w:t>
      </w:r>
      <w:r>
        <w:rPr>
          <w:rFonts w:hint="eastAsia" w:ascii="宋体" w:hAnsi="宋体" w:eastAsia="宋体" w:cs="宋体"/>
          <w:color w:val="auto"/>
          <w:sz w:val="24"/>
          <w:szCs w:val="24"/>
          <w:highlight w:val="none"/>
          <w:u w:val="single"/>
          <w:shd w:val="clear" w:color="auto" w:fill="FFFFFF"/>
        </w:rPr>
        <w:t xml:space="preserve">                         </w:t>
      </w:r>
    </w:p>
    <w:p w14:paraId="15F1EFAC">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为保证本项目工程在合理使用期限内正常使用，甲乙双方协商一致签订工程质量保修书。乙方在质量保修期内按照有关管理规定及双方约定承担工程质量保修责任，甲方在质量保修期内行使甲方的职责。</w:t>
      </w:r>
    </w:p>
    <w:p w14:paraId="58F3463D">
      <w:pPr>
        <w:spacing w:line="360" w:lineRule="auto"/>
        <w:ind w:firstLine="482" w:firstLineChars="200"/>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 xml:space="preserve">一、工程质量保修范围和内容 </w:t>
      </w:r>
    </w:p>
    <w:p w14:paraId="21B21BB4">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质量保修范围包括</w:t>
      </w:r>
      <w:r>
        <w:rPr>
          <w:rFonts w:hint="eastAsia" w:ascii="宋体" w:hAnsi="宋体" w:eastAsia="宋体" w:cs="宋体"/>
          <w:color w:val="auto"/>
          <w:sz w:val="24"/>
          <w:szCs w:val="24"/>
          <w:highlight w:val="none"/>
          <w:u w:val="single"/>
          <w:lang w:eastAsia="zh-CN"/>
        </w:rPr>
        <w:t>承包范围以内的所有工程。</w:t>
      </w:r>
    </w:p>
    <w:p w14:paraId="28242542">
      <w:pPr>
        <w:spacing w:line="360" w:lineRule="auto"/>
        <w:ind w:firstLine="482" w:firstLineChars="200"/>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 xml:space="preserve">二、质量保修期 </w:t>
      </w:r>
    </w:p>
    <w:p w14:paraId="1996FAFE">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根据《建设工程质量管理条例》及有关规定，工程的质量保修期如下：</w:t>
      </w:r>
    </w:p>
    <w:p w14:paraId="068156E7">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1．基础工程和主体结构工程为设计文件规定的工程合理使用年限；</w:t>
      </w:r>
    </w:p>
    <w:p w14:paraId="297FEE6F">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2．屋面防水工程、有防水要求的卫生间、房间和外墙面的防渗漏为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年；</w:t>
      </w:r>
    </w:p>
    <w:p w14:paraId="52055E86">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3．装修工程为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年；</w:t>
      </w:r>
    </w:p>
    <w:p w14:paraId="50240A72">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4．材料设备安装工程至少为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年；</w:t>
      </w:r>
    </w:p>
    <w:p w14:paraId="526F9B45">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5．供热与供冷系统为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个采暖期、供冷期；</w:t>
      </w:r>
    </w:p>
    <w:p w14:paraId="65C6043A">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6．住宅小区内的给排水设施、道路等配套工程为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年；</w:t>
      </w:r>
    </w:p>
    <w:p w14:paraId="15F44FA3">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7．其他项目保修期限约定如下：</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项目竣工验收合格之日起1年</w:t>
      </w:r>
      <w:r>
        <w:rPr>
          <w:rFonts w:hint="eastAsia" w:ascii="宋体" w:hAnsi="宋体" w:eastAsia="宋体" w:cs="宋体"/>
          <w:color w:val="auto"/>
          <w:sz w:val="24"/>
          <w:szCs w:val="24"/>
          <w:highlight w:val="none"/>
          <w:u w:val="single"/>
          <w:lang w:eastAsia="zh-CN"/>
        </w:rPr>
        <w:t>。</w:t>
      </w:r>
    </w:p>
    <w:p w14:paraId="52CFE3DC">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质量保修期自工程竣工验收合格之日起计算。</w:t>
      </w:r>
    </w:p>
    <w:p w14:paraId="22CA8980">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三、缺陷责任期</w:t>
      </w:r>
    </w:p>
    <w:p w14:paraId="3F0851E2">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工程缺陷责任期为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1</w:t>
      </w:r>
      <w:r>
        <w:rPr>
          <w:rFonts w:hint="eastAsia" w:ascii="宋体" w:hAnsi="宋体" w:eastAsia="宋体" w:cs="宋体"/>
          <w:color w:val="auto"/>
          <w:sz w:val="24"/>
          <w:szCs w:val="24"/>
          <w:highlight w:val="none"/>
          <w:u w:val="single"/>
          <w:lang w:eastAsia="zh-CN"/>
        </w:rPr>
        <w:t xml:space="preserve">年  </w:t>
      </w:r>
      <w:r>
        <w:rPr>
          <w:rFonts w:hint="eastAsia" w:ascii="宋体" w:hAnsi="宋体" w:eastAsia="宋体" w:cs="宋体"/>
          <w:color w:val="auto"/>
          <w:sz w:val="24"/>
          <w:szCs w:val="24"/>
          <w:highlight w:val="none"/>
          <w:lang w:eastAsia="zh-CN"/>
        </w:rPr>
        <w:t>，缺陷责任期自工程实际竣工验收合格之日起计算。单位工程先于全部工程进行验收，单位工程缺陷责任期自单位工程验收合格之日起算。</w:t>
      </w:r>
    </w:p>
    <w:p w14:paraId="7E3869F0">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    四、质量保修责任</w:t>
      </w:r>
    </w:p>
    <w:p w14:paraId="05AF8886">
      <w:pPr>
        <w:spacing w:line="360" w:lineRule="auto"/>
        <w:ind w:left="105" w:leftChars="50" w:firstLine="491" w:firstLineChars="20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1．属于保修范围、内容的项目，乙方应当在接到保修通知之日起24小时内派人保修。乙方不在约定期限内派人保修的，甲方可以委托他人修理。</w:t>
      </w:r>
    </w:p>
    <w:p w14:paraId="4B7B76BE">
      <w:pPr>
        <w:spacing w:line="360" w:lineRule="auto"/>
        <w:ind w:left="105" w:leftChars="50" w:firstLine="491" w:firstLineChars="20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2．发生紧急事故需抢修的，乙方在接到事故通知后，应当立即到达事故现场抢修。</w:t>
      </w:r>
    </w:p>
    <w:p w14:paraId="41398793">
      <w:pPr>
        <w:spacing w:line="360" w:lineRule="auto"/>
        <w:ind w:left="105" w:leftChars="50" w:firstLine="491" w:firstLineChars="20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对于涉及主体结构安全的质量问题，应当按照《建设工程质量管理条例》的规定，立即向当地建设行政主管部门和有关部门报告，采取安全防范措施，并由原设计人或者具有相应资质等级的设计人提出保修方案，乙方实施保修。</w:t>
      </w:r>
    </w:p>
    <w:p w14:paraId="456A3CA3">
      <w:pPr>
        <w:spacing w:line="360" w:lineRule="auto"/>
        <w:ind w:left="420" w:leftChars="200" w:firstLine="120" w:firstLineChars="5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4．质量保修完成后，由甲方组织验收。</w:t>
      </w:r>
    </w:p>
    <w:p w14:paraId="79737E77">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五、保修费用</w:t>
      </w:r>
    </w:p>
    <w:p w14:paraId="5AC11C99">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保修费用由造成质量缺陷的责任方承担。</w:t>
      </w:r>
    </w:p>
    <w:p w14:paraId="0C9B3440">
      <w:pPr>
        <w:spacing w:line="360" w:lineRule="auto"/>
        <w:ind w:firstLine="42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六、双方约定的其他工程质量保修事项：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w:t>
      </w:r>
    </w:p>
    <w:p w14:paraId="759578A9">
      <w:pPr>
        <w:spacing w:line="360" w:lineRule="auto"/>
        <w:ind w:firstLine="456" w:firstLineChars="19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工程质量保修书由甲方、乙方在工程竣工验收前共同签署，作为施工合同附件，其有效期限至保修期满。</w:t>
      </w:r>
    </w:p>
    <w:p w14:paraId="49EFB8FA">
      <w:pPr>
        <w:spacing w:line="360" w:lineRule="auto"/>
        <w:ind w:firstLine="456" w:firstLineChars="190"/>
        <w:rPr>
          <w:rFonts w:hint="eastAsia" w:ascii="宋体" w:hAnsi="宋体" w:eastAsia="宋体" w:cs="宋体"/>
          <w:color w:val="auto"/>
          <w:sz w:val="24"/>
          <w:szCs w:val="24"/>
          <w:highlight w:val="none"/>
          <w:lang w:eastAsia="zh-CN"/>
        </w:rPr>
      </w:pPr>
    </w:p>
    <w:p w14:paraId="7939905D">
      <w:pPr>
        <w:spacing w:line="360" w:lineRule="auto"/>
        <w:ind w:firstLine="456" w:firstLineChars="190"/>
        <w:rPr>
          <w:rFonts w:hint="eastAsia" w:ascii="宋体" w:hAnsi="宋体" w:eastAsia="宋体" w:cs="宋体"/>
          <w:color w:val="auto"/>
          <w:sz w:val="24"/>
          <w:szCs w:val="24"/>
          <w:highlight w:val="none"/>
          <w:lang w:eastAsia="zh-CN"/>
        </w:rPr>
      </w:pPr>
    </w:p>
    <w:p w14:paraId="66D23E8A">
      <w:pPr>
        <w:spacing w:line="360" w:lineRule="auto"/>
        <w:ind w:firstLine="456" w:firstLineChars="190"/>
        <w:rPr>
          <w:rFonts w:hint="eastAsia" w:ascii="宋体" w:hAnsi="宋体" w:eastAsia="宋体" w:cs="宋体"/>
          <w:color w:val="auto"/>
          <w:sz w:val="24"/>
          <w:szCs w:val="24"/>
          <w:highlight w:val="none"/>
          <w:lang w:eastAsia="zh-CN"/>
        </w:rPr>
      </w:pPr>
    </w:p>
    <w:p w14:paraId="074004A7">
      <w:pPr>
        <w:spacing w:line="360" w:lineRule="auto"/>
        <w:ind w:firstLine="240" w:firstLineChars="1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甲方(公章)：</w:t>
      </w:r>
      <w:r>
        <w:rPr>
          <w:rFonts w:hint="eastAsia" w:ascii="宋体" w:hAnsi="宋体" w:eastAsia="宋体" w:cs="宋体"/>
          <w:color w:val="auto"/>
          <w:sz w:val="24"/>
          <w:szCs w:val="24"/>
          <w:highlight w:val="none"/>
          <w:u w:val="single"/>
          <w:lang w:eastAsia="zh-CN"/>
        </w:rPr>
        <w:t xml:space="preserve">        </w:t>
      </w:r>
      <w:r>
        <w:rPr>
          <w:rFonts w:hint="eastAsia" w:ascii="宋体" w:hAnsi="宋体" w:eastAsia="宋体" w:cs="宋体"/>
          <w:color w:val="auto"/>
          <w:sz w:val="24"/>
          <w:szCs w:val="24"/>
          <w:highlight w:val="none"/>
          <w:lang w:eastAsia="zh-CN"/>
        </w:rPr>
        <w:t xml:space="preserve">           乙方(公章)：</w:t>
      </w:r>
      <w:r>
        <w:rPr>
          <w:rFonts w:hint="eastAsia" w:ascii="宋体" w:hAnsi="宋体" w:eastAsia="宋体" w:cs="宋体"/>
          <w:color w:val="auto"/>
          <w:sz w:val="24"/>
          <w:szCs w:val="24"/>
          <w:highlight w:val="none"/>
          <w:u w:val="single"/>
          <w:lang w:eastAsia="zh-CN"/>
        </w:rPr>
        <w:t xml:space="preserve">           </w:t>
      </w:r>
    </w:p>
    <w:p w14:paraId="572CD89D">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 xml:space="preserve">           地  址：</w:t>
      </w:r>
      <w:r>
        <w:rPr>
          <w:rFonts w:hint="eastAsia" w:ascii="宋体" w:hAnsi="宋体" w:eastAsia="宋体" w:cs="宋体"/>
          <w:color w:val="auto"/>
          <w:sz w:val="24"/>
          <w:szCs w:val="24"/>
          <w:highlight w:val="none"/>
          <w:u w:val="single"/>
        </w:rPr>
        <w:t xml:space="preserve">                     </w:t>
      </w:r>
    </w:p>
    <w:p w14:paraId="4CEFBF43">
      <w:pPr>
        <w:spacing w:line="360" w:lineRule="auto"/>
        <w:ind w:firstLine="240" w:firstLineChars="1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代表人(签字)：</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 xml:space="preserve">           法定代表人(签字)：</w:t>
      </w:r>
      <w:r>
        <w:rPr>
          <w:rFonts w:hint="eastAsia" w:ascii="宋体" w:hAnsi="宋体" w:eastAsia="宋体" w:cs="宋体"/>
          <w:color w:val="auto"/>
          <w:sz w:val="24"/>
          <w:szCs w:val="24"/>
          <w:highlight w:val="none"/>
          <w:u w:val="single"/>
          <w:lang w:eastAsia="zh-CN"/>
        </w:rPr>
        <w:t xml:space="preserve">       </w:t>
      </w:r>
    </w:p>
    <w:p w14:paraId="6A252D08">
      <w:pPr>
        <w:spacing w:line="360" w:lineRule="auto"/>
        <w:ind w:firstLine="240" w:firstLineChars="1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委托代理人(签字)：</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 xml:space="preserve">           委托代理人(签字)：</w:t>
      </w:r>
      <w:r>
        <w:rPr>
          <w:rFonts w:hint="eastAsia" w:ascii="宋体" w:hAnsi="宋体" w:eastAsia="宋体" w:cs="宋体"/>
          <w:color w:val="auto"/>
          <w:sz w:val="24"/>
          <w:szCs w:val="24"/>
          <w:highlight w:val="none"/>
          <w:u w:val="single"/>
          <w:lang w:eastAsia="zh-CN"/>
        </w:rPr>
        <w:t xml:space="preserve">         </w:t>
      </w:r>
    </w:p>
    <w:p w14:paraId="277EFC7E">
      <w:pPr>
        <w:spacing w:line="360" w:lineRule="auto"/>
        <w:ind w:firstLine="240" w:firstLineChars="1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电  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 xml:space="preserve">           电  话：</w:t>
      </w:r>
      <w:r>
        <w:rPr>
          <w:rFonts w:hint="eastAsia" w:ascii="宋体" w:hAnsi="宋体" w:eastAsia="宋体" w:cs="宋体"/>
          <w:color w:val="auto"/>
          <w:sz w:val="24"/>
          <w:szCs w:val="24"/>
          <w:highlight w:val="none"/>
          <w:u w:val="single"/>
          <w:lang w:eastAsia="zh-CN"/>
        </w:rPr>
        <w:t>           </w:t>
      </w:r>
    </w:p>
    <w:p w14:paraId="5AF09680">
      <w:pPr>
        <w:spacing w:line="360" w:lineRule="auto"/>
        <w:ind w:firstLine="240" w:firstLineChars="1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传  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 xml:space="preserve">           传  真：</w:t>
      </w:r>
      <w:r>
        <w:rPr>
          <w:rFonts w:hint="eastAsia" w:ascii="宋体" w:hAnsi="宋体" w:eastAsia="宋体" w:cs="宋体"/>
          <w:color w:val="auto"/>
          <w:sz w:val="24"/>
          <w:szCs w:val="24"/>
          <w:highlight w:val="none"/>
          <w:u w:val="single"/>
          <w:lang w:eastAsia="zh-CN"/>
        </w:rPr>
        <w:t xml:space="preserve">           </w:t>
      </w:r>
    </w:p>
    <w:p w14:paraId="6CF74D00">
      <w:pPr>
        <w:spacing w:line="360" w:lineRule="auto"/>
        <w:ind w:firstLine="240" w:firstLineChars="1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开户银行：</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 xml:space="preserve">           开户银行：</w:t>
      </w:r>
      <w:r>
        <w:rPr>
          <w:rFonts w:hint="eastAsia" w:ascii="宋体" w:hAnsi="宋体" w:eastAsia="宋体" w:cs="宋体"/>
          <w:color w:val="auto"/>
          <w:sz w:val="24"/>
          <w:szCs w:val="24"/>
          <w:highlight w:val="none"/>
          <w:u w:val="single"/>
          <w:lang w:eastAsia="zh-CN"/>
        </w:rPr>
        <w:t xml:space="preserve">                   </w:t>
      </w:r>
    </w:p>
    <w:p w14:paraId="5F6EAD55">
      <w:pPr>
        <w:spacing w:line="360" w:lineRule="auto"/>
        <w:ind w:firstLine="240" w:firstLineChars="1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账  号：</w:t>
      </w:r>
      <w:r>
        <w:rPr>
          <w:rFonts w:hint="eastAsia" w:ascii="宋体" w:hAnsi="宋体" w:eastAsia="宋体" w:cs="宋体"/>
          <w:color w:val="auto"/>
          <w:sz w:val="24"/>
          <w:szCs w:val="24"/>
          <w:highlight w:val="none"/>
          <w:u w:val="single"/>
          <w:lang w:eastAsia="zh-CN"/>
        </w:rPr>
        <w:t xml:space="preserve">        </w:t>
      </w:r>
      <w:r>
        <w:rPr>
          <w:rFonts w:hint="eastAsia" w:ascii="宋体" w:hAnsi="宋体" w:eastAsia="宋体" w:cs="宋体"/>
          <w:color w:val="auto"/>
          <w:sz w:val="24"/>
          <w:szCs w:val="24"/>
          <w:highlight w:val="none"/>
          <w:lang w:eastAsia="zh-CN"/>
        </w:rPr>
        <w:t xml:space="preserve">           账  号：</w:t>
      </w:r>
      <w:r>
        <w:rPr>
          <w:rFonts w:hint="eastAsia" w:ascii="宋体" w:hAnsi="宋体" w:eastAsia="宋体" w:cs="宋体"/>
          <w:color w:val="auto"/>
          <w:sz w:val="24"/>
          <w:szCs w:val="24"/>
          <w:highlight w:val="none"/>
          <w:u w:val="single"/>
          <w:lang w:eastAsia="zh-CN"/>
        </w:rPr>
        <w:t xml:space="preserve">                     </w:t>
      </w:r>
    </w:p>
    <w:p w14:paraId="6B52FD26">
      <w:pPr>
        <w:spacing w:line="360" w:lineRule="auto"/>
        <w:ind w:firstLine="240" w:firstLineChars="1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邮政编码：</w:t>
      </w:r>
      <w:r>
        <w:rPr>
          <w:rFonts w:hint="eastAsia" w:ascii="宋体" w:hAnsi="宋体" w:eastAsia="宋体" w:cs="宋体"/>
          <w:color w:val="auto"/>
          <w:sz w:val="24"/>
          <w:szCs w:val="24"/>
          <w:highlight w:val="none"/>
          <w:u w:val="single"/>
          <w:lang w:eastAsia="zh-CN"/>
        </w:rPr>
        <w:t xml:space="preserve">      </w:t>
      </w:r>
      <w:r>
        <w:rPr>
          <w:rFonts w:hint="eastAsia" w:ascii="宋体" w:hAnsi="宋体" w:eastAsia="宋体" w:cs="宋体"/>
          <w:color w:val="auto"/>
          <w:sz w:val="24"/>
          <w:szCs w:val="24"/>
          <w:highlight w:val="none"/>
          <w:lang w:eastAsia="zh-CN"/>
        </w:rPr>
        <w:t xml:space="preserve">           邮政编码  </w:t>
      </w:r>
      <w:r>
        <w:rPr>
          <w:rFonts w:hint="eastAsia" w:ascii="宋体" w:hAnsi="宋体" w:eastAsia="宋体" w:cs="宋体"/>
          <w:color w:val="auto"/>
          <w:sz w:val="24"/>
          <w:szCs w:val="24"/>
          <w:highlight w:val="none"/>
          <w:u w:val="single"/>
          <w:lang w:eastAsia="zh-CN"/>
        </w:rPr>
        <w:t xml:space="preserve">     </w:t>
      </w:r>
    </w:p>
    <w:p w14:paraId="5164BDD2">
      <w:pPr>
        <w:rPr>
          <w:rFonts w:hint="eastAsia" w:ascii="宋体" w:hAnsi="宋体" w:eastAsia="宋体" w:cs="宋体"/>
          <w:color w:val="auto"/>
          <w:sz w:val="24"/>
          <w:szCs w:val="24"/>
          <w:highlight w:val="none"/>
          <w:lang w:eastAsia="zh-CN"/>
        </w:rPr>
      </w:pPr>
    </w:p>
    <w:p w14:paraId="2C6BE96D">
      <w:pPr>
        <w:rPr>
          <w:rFonts w:hint="eastAsia" w:ascii="宋体" w:hAnsi="宋体" w:eastAsia="宋体" w:cs="宋体"/>
          <w:color w:val="auto"/>
          <w:sz w:val="24"/>
          <w:szCs w:val="24"/>
          <w:highlight w:val="none"/>
          <w:lang w:eastAsia="zh-CN"/>
        </w:rPr>
      </w:pPr>
    </w:p>
    <w:p w14:paraId="34C7CA60">
      <w:pPr>
        <w:rPr>
          <w:rFonts w:hint="eastAsia" w:ascii="宋体" w:hAnsi="宋体" w:eastAsia="宋体" w:cs="宋体"/>
          <w:color w:val="auto"/>
          <w:sz w:val="24"/>
          <w:szCs w:val="24"/>
          <w:highlight w:val="none"/>
          <w:lang w:eastAsia="zh-CN"/>
        </w:rPr>
      </w:pPr>
    </w:p>
    <w:p w14:paraId="571954EF">
      <w:pPr>
        <w:rPr>
          <w:rFonts w:hint="eastAsia" w:ascii="宋体" w:hAnsi="宋体" w:eastAsia="宋体" w:cs="宋体"/>
          <w:color w:val="auto"/>
          <w:sz w:val="24"/>
          <w:szCs w:val="24"/>
          <w:highlight w:val="none"/>
          <w:lang w:eastAsia="zh-CN"/>
        </w:rPr>
      </w:pPr>
    </w:p>
    <w:p w14:paraId="3C297E82">
      <w:pPr>
        <w:rPr>
          <w:rFonts w:hint="eastAsia" w:ascii="宋体" w:hAnsi="宋体" w:eastAsia="宋体" w:cs="宋体"/>
          <w:color w:val="auto"/>
          <w:sz w:val="24"/>
          <w:szCs w:val="24"/>
          <w:highlight w:val="none"/>
          <w:lang w:eastAsia="zh-CN"/>
        </w:rPr>
      </w:pPr>
    </w:p>
    <w:p w14:paraId="70F0267C">
      <w:pPr>
        <w:rPr>
          <w:rFonts w:hint="eastAsia" w:ascii="宋体" w:hAnsi="宋体" w:eastAsia="宋体" w:cs="宋体"/>
          <w:color w:val="auto"/>
          <w:sz w:val="24"/>
          <w:szCs w:val="24"/>
          <w:highlight w:val="none"/>
          <w:lang w:eastAsia="zh-CN"/>
        </w:rPr>
      </w:pPr>
    </w:p>
    <w:p w14:paraId="53853539">
      <w:pPr>
        <w:rPr>
          <w:rFonts w:hint="eastAsia" w:ascii="宋体" w:hAnsi="宋体" w:eastAsia="宋体" w:cs="宋体"/>
          <w:b/>
          <w:color w:val="auto"/>
          <w:sz w:val="24"/>
          <w:szCs w:val="24"/>
          <w:highlight w:val="none"/>
          <w:lang w:eastAsia="zh-CN"/>
        </w:rPr>
      </w:pPr>
    </w:p>
    <w:p w14:paraId="38788F9B">
      <w:pP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br w:type="page"/>
      </w:r>
    </w:p>
    <w:p w14:paraId="1E0A1346">
      <w:pPr>
        <w:spacing w:line="360" w:lineRule="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附件2</w:t>
      </w:r>
    </w:p>
    <w:p w14:paraId="186CCC80">
      <w:pPr>
        <w:pStyle w:val="3"/>
        <w:spacing w:after="240" w:afterLines="100" w:line="420" w:lineRule="exact"/>
        <w:ind w:firstLine="0" w:firstLineChars="0"/>
        <w:jc w:val="center"/>
        <w:rPr>
          <w:rFonts w:hint="eastAsia" w:ascii="宋体" w:hAnsi="宋体" w:eastAsia="宋体" w:cs="宋体"/>
          <w:b/>
          <w:color w:val="auto"/>
          <w:szCs w:val="24"/>
          <w:highlight w:val="none"/>
          <w:lang w:eastAsia="zh-CN"/>
        </w:rPr>
      </w:pPr>
      <w:r>
        <w:rPr>
          <w:rFonts w:hint="eastAsia" w:ascii="宋体" w:hAnsi="宋体" w:eastAsia="宋体" w:cs="宋体"/>
          <w:b/>
          <w:color w:val="auto"/>
          <w:szCs w:val="24"/>
          <w:highlight w:val="none"/>
          <w:lang w:eastAsia="zh-CN"/>
        </w:rPr>
        <w:t>施工安全生产合同书</w:t>
      </w:r>
    </w:p>
    <w:p w14:paraId="0D7B19E5">
      <w:pPr>
        <w:spacing w:line="360" w:lineRule="auto"/>
        <w:ind w:firstLine="482" w:firstLineChars="200"/>
        <w:rPr>
          <w:rFonts w:hint="eastAsia" w:ascii="宋体" w:hAnsi="宋体" w:eastAsia="宋体" w:cs="宋体"/>
          <w:b/>
          <w:color w:val="auto"/>
          <w:sz w:val="24"/>
          <w:szCs w:val="24"/>
          <w:highlight w:val="none"/>
          <w:lang w:eastAsia="zh-CN"/>
        </w:rPr>
      </w:pPr>
    </w:p>
    <w:p w14:paraId="45135178">
      <w:pPr>
        <w:spacing w:line="360" w:lineRule="auto"/>
        <w:ind w:firstLine="482" w:firstLineChars="200"/>
        <w:rPr>
          <w:rFonts w:hint="eastAsia" w:ascii="宋体" w:hAnsi="宋体" w:eastAsia="宋体" w:cs="宋体"/>
          <w:color w:val="auto"/>
          <w:sz w:val="24"/>
          <w:szCs w:val="24"/>
          <w:highlight w:val="none"/>
          <w:lang w:eastAsia="zh-CN"/>
        </w:rPr>
      </w:pPr>
      <w:r>
        <w:rPr>
          <w:rFonts w:hint="eastAsia" w:ascii="宋体" w:hAnsi="宋体" w:eastAsia="宋体" w:cs="宋体"/>
          <w:b/>
          <w:color w:val="auto"/>
          <w:sz w:val="24"/>
          <w:szCs w:val="24"/>
          <w:highlight w:val="none"/>
          <w:lang w:eastAsia="zh-CN"/>
        </w:rPr>
        <w:t>甲方：</w:t>
      </w:r>
      <w:r>
        <w:rPr>
          <w:rFonts w:hint="eastAsia" w:ascii="宋体" w:hAnsi="宋体" w:eastAsia="宋体" w:cs="宋体"/>
          <w:color w:val="auto"/>
          <w:sz w:val="24"/>
          <w:szCs w:val="24"/>
          <w:highlight w:val="none"/>
          <w:u w:val="single"/>
          <w:lang w:eastAsia="zh-CN"/>
        </w:rPr>
        <w:t xml:space="preserve">                       </w:t>
      </w:r>
    </w:p>
    <w:p w14:paraId="3ABC3C36">
      <w:pPr>
        <w:spacing w:line="360" w:lineRule="auto"/>
        <w:ind w:firstLine="482" w:firstLineChars="200"/>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乙方：</w:t>
      </w:r>
      <w:r>
        <w:rPr>
          <w:rFonts w:hint="eastAsia" w:ascii="宋体" w:hAnsi="宋体" w:eastAsia="宋体" w:cs="宋体"/>
          <w:color w:val="auto"/>
          <w:sz w:val="24"/>
          <w:szCs w:val="24"/>
          <w:highlight w:val="none"/>
          <w:u w:val="single"/>
          <w:shd w:val="clear" w:color="auto" w:fill="FFFFFF"/>
          <w:lang w:eastAsia="zh-CN"/>
        </w:rPr>
        <w:t xml:space="preserve">                       </w:t>
      </w:r>
    </w:p>
    <w:p w14:paraId="0414F673">
      <w:pPr>
        <w:tabs>
          <w:tab w:val="left" w:pos="0"/>
        </w:tabs>
        <w:spacing w:line="360" w:lineRule="auto"/>
        <w:ind w:firstLine="424" w:firstLineChars="177"/>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为加强建设工程安全生产管理，落实安全生产责任，防止和减少生产安全事故，经甲乙丙双方在平等、自愿的基础上协商一致，根据《中华人民共和国安全生产法》、《建设工程安全生产管理条例》及相关法律、法规的规定，达成如下合同：</w:t>
      </w:r>
    </w:p>
    <w:p w14:paraId="761A1AFE">
      <w:pPr>
        <w:pStyle w:val="3"/>
        <w:tabs>
          <w:tab w:val="left" w:pos="0"/>
        </w:tabs>
        <w:spacing w:line="360" w:lineRule="auto"/>
        <w:ind w:firstLine="422" w:firstLineChars="175"/>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一、建设工程安全生产管理目标及必须达到的安全事故控制指标</w:t>
      </w:r>
    </w:p>
    <w:p w14:paraId="590449D4">
      <w:pPr>
        <w:pStyle w:val="3"/>
        <w:tabs>
          <w:tab w:val="left" w:pos="0"/>
        </w:tabs>
        <w:spacing w:line="360" w:lineRule="auto"/>
        <w:ind w:firstLine="420" w:firstLineChars="17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遵守《建设工程安全生产管理条例》的规定，实现安全生产管理目标：无重伤、无死亡、无施工坍塌、无高处坠落、无滑坡、无火灾、无用电事故、无重大机械事故等各类安全生产事故。即：</w:t>
      </w:r>
    </w:p>
    <w:p w14:paraId="09912DCF">
      <w:pPr>
        <w:pStyle w:val="3"/>
        <w:tabs>
          <w:tab w:val="left" w:pos="0"/>
        </w:tabs>
        <w:spacing w:line="360" w:lineRule="auto"/>
        <w:ind w:firstLine="420" w:firstLineChars="17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1、因工死亡率为零；</w:t>
      </w:r>
    </w:p>
    <w:p w14:paraId="0018C82C">
      <w:pPr>
        <w:pStyle w:val="3"/>
        <w:tabs>
          <w:tab w:val="left" w:pos="0"/>
        </w:tabs>
        <w:spacing w:line="360" w:lineRule="auto"/>
        <w:ind w:firstLine="420" w:firstLineChars="17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2、因工重伤率为零；</w:t>
      </w:r>
    </w:p>
    <w:p w14:paraId="146C84FD">
      <w:pPr>
        <w:pStyle w:val="3"/>
        <w:tabs>
          <w:tab w:val="left" w:pos="0"/>
        </w:tabs>
        <w:spacing w:line="360" w:lineRule="auto"/>
        <w:ind w:firstLine="420" w:firstLineChars="17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3、因工轻伤事故率不高于1.5‰；</w:t>
      </w:r>
    </w:p>
    <w:p w14:paraId="60DBF666">
      <w:pPr>
        <w:pStyle w:val="3"/>
        <w:tabs>
          <w:tab w:val="left" w:pos="0"/>
        </w:tabs>
        <w:spacing w:line="360" w:lineRule="auto"/>
        <w:ind w:firstLine="420" w:firstLineChars="17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4、不发生损失额2万元以上的机械、设备、交通和火灾事故。</w:t>
      </w:r>
    </w:p>
    <w:p w14:paraId="52925190">
      <w:pPr>
        <w:pStyle w:val="3"/>
        <w:tabs>
          <w:tab w:val="left" w:pos="0"/>
        </w:tabs>
        <w:spacing w:line="360" w:lineRule="auto"/>
        <w:ind w:firstLine="422" w:firstLineChars="175"/>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二、本合同有效期限</w:t>
      </w:r>
    </w:p>
    <w:p w14:paraId="15F9A87C">
      <w:pPr>
        <w:pStyle w:val="3"/>
        <w:tabs>
          <w:tab w:val="left" w:pos="0"/>
        </w:tabs>
        <w:spacing w:line="360" w:lineRule="auto"/>
        <w:ind w:firstLine="420" w:firstLineChars="17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自乙方</w:t>
      </w:r>
      <w:r>
        <w:rPr>
          <w:rFonts w:hint="eastAsia" w:ascii="宋体" w:hAnsi="宋体" w:eastAsia="宋体" w:cs="宋体"/>
          <w:color w:val="auto"/>
          <w:sz w:val="24"/>
          <w:szCs w:val="24"/>
          <w:highlight w:val="none"/>
          <w:lang w:val="en-US" w:eastAsia="zh-CN"/>
        </w:rPr>
        <w:t>合同签订之日</w:t>
      </w:r>
      <w:r>
        <w:rPr>
          <w:rFonts w:hint="eastAsia" w:ascii="宋体" w:hAnsi="宋体" w:eastAsia="宋体" w:cs="宋体"/>
          <w:color w:val="auto"/>
          <w:sz w:val="24"/>
          <w:szCs w:val="24"/>
          <w:highlight w:val="none"/>
          <w:lang w:eastAsia="zh-CN"/>
        </w:rPr>
        <w:t>起，至工程竣工验收合格交付甲方使用时止。</w:t>
      </w:r>
    </w:p>
    <w:p w14:paraId="5F26C0DF">
      <w:pPr>
        <w:pStyle w:val="3"/>
        <w:tabs>
          <w:tab w:val="left" w:pos="0"/>
        </w:tabs>
        <w:spacing w:line="360" w:lineRule="auto"/>
        <w:ind w:firstLine="422" w:firstLineChars="175"/>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三、甲方的安全生产管理权利</w:t>
      </w:r>
    </w:p>
    <w:p w14:paraId="7C5B205F">
      <w:pPr>
        <w:pStyle w:val="3"/>
        <w:tabs>
          <w:tab w:val="left" w:pos="0"/>
        </w:tabs>
        <w:spacing w:line="360" w:lineRule="auto"/>
        <w:ind w:firstLine="420" w:firstLineChars="17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1、监督检查乙方的各项安全生产工作，对建筑工地现场实施日常检查和定期、不定期的巡查。</w:t>
      </w:r>
    </w:p>
    <w:p w14:paraId="097BFE94">
      <w:pPr>
        <w:pStyle w:val="3"/>
        <w:tabs>
          <w:tab w:val="left" w:pos="0"/>
        </w:tabs>
        <w:spacing w:line="360" w:lineRule="auto"/>
        <w:ind w:firstLine="420" w:firstLineChars="17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2、在实施检查、巡查过程中，发现建设工程存在安全事故隐患的，有权要求乙方暂时停止施工进行整改，直至消除安全事故隐患。</w:t>
      </w:r>
    </w:p>
    <w:p w14:paraId="1FE09E2A">
      <w:pPr>
        <w:pStyle w:val="3"/>
        <w:tabs>
          <w:tab w:val="left" w:pos="0"/>
        </w:tabs>
        <w:spacing w:line="360" w:lineRule="auto"/>
        <w:ind w:firstLine="420" w:firstLineChars="17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3、查阅与检查、巡查事项有关的文件、资料。并可根据实际情况，对施工现场进行检测、拍照、录音、摄像等。</w:t>
      </w:r>
    </w:p>
    <w:p w14:paraId="10AD6035">
      <w:pPr>
        <w:pStyle w:val="3"/>
        <w:tabs>
          <w:tab w:val="left" w:pos="0"/>
        </w:tabs>
        <w:spacing w:line="360" w:lineRule="auto"/>
        <w:ind w:firstLine="420" w:firstLineChars="17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4、乙方违反安全生产约定或规定时，甲方有权要求其支付违约金，并承担其他违约责任。</w:t>
      </w:r>
    </w:p>
    <w:p w14:paraId="3D770D09">
      <w:pPr>
        <w:pStyle w:val="3"/>
        <w:tabs>
          <w:tab w:val="left" w:pos="0"/>
        </w:tabs>
        <w:spacing w:line="360" w:lineRule="auto"/>
        <w:ind w:firstLine="422" w:firstLineChars="175"/>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四、甲方的安全生产管理义务</w:t>
      </w:r>
    </w:p>
    <w:p w14:paraId="031A1B42">
      <w:pPr>
        <w:pStyle w:val="3"/>
        <w:tabs>
          <w:tab w:val="left" w:pos="0"/>
        </w:tabs>
        <w:spacing w:line="360" w:lineRule="auto"/>
        <w:ind w:firstLine="420" w:firstLineChars="17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1、甲方不得对乙方提出不符合建设工程安全生产法律、法规和强制性标准的要求。</w:t>
      </w:r>
    </w:p>
    <w:p w14:paraId="1BFF6993">
      <w:pPr>
        <w:pStyle w:val="3"/>
        <w:tabs>
          <w:tab w:val="left" w:pos="0"/>
        </w:tabs>
        <w:spacing w:line="360" w:lineRule="auto"/>
        <w:ind w:firstLine="420" w:firstLineChars="17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2、甲方不得明示或暗示乙方购买、租赁、使用不符合安全施工要求的安全防护用具、机械设备、施工机具及配件、消防设施和器材。</w:t>
      </w:r>
    </w:p>
    <w:p w14:paraId="605B4477">
      <w:pPr>
        <w:pStyle w:val="3"/>
        <w:tabs>
          <w:tab w:val="left" w:pos="0"/>
        </w:tabs>
        <w:spacing w:line="360" w:lineRule="auto"/>
        <w:ind w:firstLine="420" w:firstLineChars="17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3、对乙方施工现场采取的安全施工技术措施，根据乙方的请求，提供必要的协助。</w:t>
      </w:r>
    </w:p>
    <w:p w14:paraId="2724140C">
      <w:pPr>
        <w:pStyle w:val="3"/>
        <w:tabs>
          <w:tab w:val="left" w:pos="0"/>
        </w:tabs>
        <w:spacing w:line="360" w:lineRule="auto"/>
        <w:ind w:firstLine="422" w:firstLineChars="175"/>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五、乙方的安全生产责任与义务</w:t>
      </w:r>
    </w:p>
    <w:p w14:paraId="0C1B28E9">
      <w:pPr>
        <w:pStyle w:val="3"/>
        <w:tabs>
          <w:tab w:val="left" w:pos="0"/>
        </w:tabs>
        <w:spacing w:line="360" w:lineRule="auto"/>
        <w:ind w:firstLine="420" w:firstLineChars="17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1、乙方应当在其资质等级许可范围内，并具备安全生产许可证的条件下承揽工程。</w:t>
      </w:r>
    </w:p>
    <w:p w14:paraId="43043682">
      <w:pPr>
        <w:pStyle w:val="3"/>
        <w:tabs>
          <w:tab w:val="left" w:pos="0"/>
        </w:tabs>
        <w:spacing w:line="360" w:lineRule="auto"/>
        <w:ind w:firstLine="420" w:firstLineChars="17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乙方应当严格按照建设工程安全生产的法律、法规、规章及安全生产的标准、规程的有关规定，组织工程施工，并对工程建设施工的安全生产工作全面负责。因乙方安全生产措施不力造成事故的责任和因此发生的费用由乙方承担。</w:t>
      </w:r>
    </w:p>
    <w:p w14:paraId="5866A497">
      <w:pPr>
        <w:pStyle w:val="3"/>
        <w:tabs>
          <w:tab w:val="left" w:pos="0"/>
        </w:tabs>
        <w:spacing w:line="360" w:lineRule="auto"/>
        <w:ind w:firstLine="420" w:firstLineChars="17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3、建立、健全与落实安全生产责任制度、安全生产教育培训制度、安全生产规章制度和操作规程。</w:t>
      </w:r>
    </w:p>
    <w:p w14:paraId="06DCFDFB">
      <w:pPr>
        <w:pStyle w:val="3"/>
        <w:tabs>
          <w:tab w:val="left" w:pos="0"/>
        </w:tabs>
        <w:spacing w:line="360" w:lineRule="auto"/>
        <w:ind w:firstLine="420" w:firstLineChars="17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4、设立安全生产管理机构，配备专职安全生产管理人员。</w:t>
      </w:r>
    </w:p>
    <w:p w14:paraId="459B3CE0">
      <w:pPr>
        <w:pStyle w:val="3"/>
        <w:tabs>
          <w:tab w:val="left" w:pos="0"/>
        </w:tabs>
        <w:spacing w:line="360" w:lineRule="auto"/>
        <w:ind w:firstLine="420" w:firstLineChars="17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5、根据工程特点组织制定安全施工措施，消除安全事故隐患。强化对基坑开挖、起重吊装、模板工程等危险性较大的工程施工的监控和安全防护措施的落实，严防高空坠落、施工坍塌等安全事故的发生。</w:t>
      </w:r>
    </w:p>
    <w:p w14:paraId="7C0F45F9">
      <w:pPr>
        <w:pStyle w:val="3"/>
        <w:tabs>
          <w:tab w:val="left" w:pos="0"/>
        </w:tabs>
        <w:spacing w:line="360" w:lineRule="auto"/>
        <w:ind w:firstLine="420" w:firstLineChars="17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6、随时接受甲方实施的安全检查、巡查、并按照甲方的要求进行整改，消除安全事故隐患，确保安全生产。</w:t>
      </w:r>
    </w:p>
    <w:p w14:paraId="25493859">
      <w:pPr>
        <w:pStyle w:val="3"/>
        <w:tabs>
          <w:tab w:val="left" w:pos="0"/>
        </w:tabs>
        <w:spacing w:line="360" w:lineRule="auto"/>
        <w:ind w:firstLine="420" w:firstLineChars="17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7、乙方应当在施工现场入口处、施工起重机械、临时用电设施、脚手架、出入通道口、基坑边沿等危险部位，设置明显的安全警示标志，安全警示标志必须符合国家标准。</w:t>
      </w:r>
    </w:p>
    <w:p w14:paraId="33F7AD78">
      <w:pPr>
        <w:pStyle w:val="3"/>
        <w:tabs>
          <w:tab w:val="left" w:pos="0"/>
        </w:tabs>
        <w:spacing w:line="360" w:lineRule="auto"/>
        <w:ind w:firstLine="420" w:firstLineChars="17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8、乙方应根据不同施工阶段和周围环境及季节、气候气象的变化，在施工现场采取相应的安全施工措施。确保雨季等特殊气候气象情况下的施工安全。</w:t>
      </w:r>
    </w:p>
    <w:p w14:paraId="47DA257D">
      <w:pPr>
        <w:pStyle w:val="3"/>
        <w:tabs>
          <w:tab w:val="left" w:pos="0"/>
        </w:tabs>
        <w:spacing w:line="360" w:lineRule="auto"/>
        <w:ind w:firstLine="420" w:firstLineChars="17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9、对建设工程施工进行定期和专项安全自检，并做好安全检查记录，及时发现并消除安全生产事故隐患。</w:t>
      </w:r>
    </w:p>
    <w:p w14:paraId="7C011FF6">
      <w:pPr>
        <w:pStyle w:val="3"/>
        <w:tabs>
          <w:tab w:val="left" w:pos="0"/>
        </w:tabs>
        <w:spacing w:line="360" w:lineRule="auto"/>
        <w:ind w:firstLine="420" w:firstLineChars="17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10、在施工现场建立消防安全责任制度，确定消防安全责任人，制定用火、用电等各项消防安全管理制度和操作规程。</w:t>
      </w:r>
    </w:p>
    <w:p w14:paraId="1775E86F">
      <w:pPr>
        <w:pStyle w:val="3"/>
        <w:tabs>
          <w:tab w:val="left" w:pos="0"/>
        </w:tabs>
        <w:spacing w:line="360" w:lineRule="auto"/>
        <w:ind w:firstLine="420" w:firstLineChars="17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11、制定实施工程现场生产安全事故应急救援预案，并定期组织演练。</w:t>
      </w:r>
    </w:p>
    <w:p w14:paraId="164BFAFD">
      <w:pPr>
        <w:pStyle w:val="3"/>
        <w:tabs>
          <w:tab w:val="left" w:pos="0"/>
        </w:tabs>
        <w:spacing w:line="360" w:lineRule="auto"/>
        <w:ind w:firstLine="420" w:firstLineChars="17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12、根据安全生产法律、法规、规章及相关标准、规程的规定，乙方应承担的其它责任与义务。</w:t>
      </w:r>
    </w:p>
    <w:p w14:paraId="03D25494">
      <w:pPr>
        <w:pStyle w:val="3"/>
        <w:tabs>
          <w:tab w:val="left" w:pos="0"/>
        </w:tabs>
        <w:spacing w:line="360" w:lineRule="auto"/>
        <w:ind w:firstLine="422" w:firstLineChars="175"/>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六、现场停工整改约定</w:t>
      </w:r>
    </w:p>
    <w:p w14:paraId="564B6292">
      <w:pPr>
        <w:pStyle w:val="3"/>
        <w:tabs>
          <w:tab w:val="left" w:pos="0"/>
        </w:tabs>
        <w:spacing w:line="360" w:lineRule="auto"/>
        <w:ind w:firstLine="420" w:firstLineChars="17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甲方在乙方施工现场检查、巡查过程中，发现存在安全事故隐患，认为必须暂停施工的，应以书面形式下达停工整改通知。乙方对甲方的停工整改通知应予以执行，并按照甲方要求停止施工进行整改，妥善保护已完工程。</w:t>
      </w:r>
    </w:p>
    <w:p w14:paraId="742472F6">
      <w:pPr>
        <w:pStyle w:val="3"/>
        <w:tabs>
          <w:tab w:val="left" w:pos="0"/>
        </w:tabs>
        <w:spacing w:line="360" w:lineRule="auto"/>
        <w:ind w:firstLine="420" w:firstLineChars="17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2、乙方进行整改后，经甲方检查已消除安全事故隐患的，可以进行复工。</w:t>
      </w:r>
    </w:p>
    <w:p w14:paraId="60353EAE">
      <w:pPr>
        <w:pStyle w:val="3"/>
        <w:tabs>
          <w:tab w:val="left" w:pos="0"/>
        </w:tabs>
        <w:spacing w:line="360" w:lineRule="auto"/>
        <w:ind w:firstLine="420" w:firstLineChars="17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3、若在一个月内由于乙方出现安全事故隐患，被甲方下达停工整改通知累计两次的，则乙方同意甲方暂不支付其当月的工程进度款，该月工程进度款延期至工程竣工验收合格后再行支付。</w:t>
      </w:r>
    </w:p>
    <w:p w14:paraId="0F2BE51D">
      <w:pPr>
        <w:pStyle w:val="3"/>
        <w:tabs>
          <w:tab w:val="left" w:pos="0"/>
        </w:tabs>
        <w:spacing w:line="360" w:lineRule="auto"/>
        <w:ind w:firstLine="422" w:firstLineChars="175"/>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七、安全生产奖励约定</w:t>
      </w:r>
    </w:p>
    <w:p w14:paraId="1A72B95D">
      <w:pPr>
        <w:pStyle w:val="3"/>
        <w:tabs>
          <w:tab w:val="left" w:pos="0"/>
        </w:tabs>
        <w:spacing w:line="360" w:lineRule="auto"/>
        <w:ind w:firstLine="420" w:firstLineChars="17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若乙方在本合同约定安全生产期间，全面实现建设工程安全生产管理目标，无安全生产事故发生，并且未违反本合同约定，未被甲方发出停工整改通知单与要求支付违约金的，甲方按以下方式给予乙方安全生产奖励。</w:t>
      </w:r>
    </w:p>
    <w:p w14:paraId="625D5B5D">
      <w:pPr>
        <w:pStyle w:val="3"/>
        <w:tabs>
          <w:tab w:val="left" w:pos="0"/>
        </w:tabs>
        <w:spacing w:line="360" w:lineRule="auto"/>
        <w:ind w:firstLine="420" w:firstLineChars="17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奖励标准为：</w:t>
      </w:r>
      <w:r>
        <w:rPr>
          <w:rFonts w:hint="eastAsia" w:ascii="宋体" w:hAnsi="宋体" w:eastAsia="宋体" w:cs="宋体"/>
          <w:color w:val="auto"/>
          <w:sz w:val="24"/>
          <w:szCs w:val="24"/>
          <w:highlight w:val="none"/>
          <w:u w:val="single"/>
          <w:lang w:eastAsia="zh-CN"/>
        </w:rPr>
        <w:t xml:space="preserve">      /       </w:t>
      </w:r>
      <w:r>
        <w:rPr>
          <w:rFonts w:hint="eastAsia" w:ascii="宋体" w:hAnsi="宋体" w:eastAsia="宋体" w:cs="宋体"/>
          <w:color w:val="auto"/>
          <w:sz w:val="24"/>
          <w:szCs w:val="24"/>
          <w:highlight w:val="none"/>
          <w:lang w:eastAsia="zh-CN"/>
        </w:rPr>
        <w:t>。奖励金额为：</w:t>
      </w:r>
      <w:r>
        <w:rPr>
          <w:rFonts w:hint="eastAsia" w:ascii="宋体" w:hAnsi="宋体" w:eastAsia="宋体" w:cs="宋体"/>
          <w:color w:val="auto"/>
          <w:sz w:val="24"/>
          <w:szCs w:val="24"/>
          <w:highlight w:val="none"/>
          <w:u w:val="single"/>
          <w:lang w:eastAsia="zh-CN"/>
        </w:rPr>
        <w:t xml:space="preserve">         /     </w:t>
      </w:r>
      <w:r>
        <w:rPr>
          <w:rFonts w:hint="eastAsia" w:ascii="宋体" w:hAnsi="宋体" w:eastAsia="宋体" w:cs="宋体"/>
          <w:color w:val="auto"/>
          <w:sz w:val="24"/>
          <w:szCs w:val="24"/>
          <w:highlight w:val="none"/>
          <w:lang w:eastAsia="zh-CN"/>
        </w:rPr>
        <w:t xml:space="preserve"> 。</w:t>
      </w:r>
    </w:p>
    <w:p w14:paraId="20341B8D">
      <w:pPr>
        <w:pStyle w:val="3"/>
        <w:tabs>
          <w:tab w:val="left" w:pos="0"/>
        </w:tabs>
        <w:spacing w:line="360" w:lineRule="auto"/>
        <w:ind w:firstLine="422" w:firstLineChars="175"/>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八、安全生产违约责任</w:t>
      </w:r>
    </w:p>
    <w:p w14:paraId="39B73B32">
      <w:pPr>
        <w:pStyle w:val="3"/>
        <w:tabs>
          <w:tab w:val="left" w:pos="0"/>
        </w:tabs>
        <w:spacing w:line="360" w:lineRule="auto"/>
        <w:ind w:firstLine="420" w:firstLineChars="17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1、若乙方未能实现本合同约定的安全生产管理目标，发生安全生产事故的，乙方同意，甲方从质保金中扣除一定金额作为违约金。</w:t>
      </w:r>
    </w:p>
    <w:p w14:paraId="6D7E7FA9">
      <w:pPr>
        <w:pStyle w:val="3"/>
        <w:tabs>
          <w:tab w:val="left" w:pos="0"/>
        </w:tabs>
        <w:spacing w:line="360" w:lineRule="auto"/>
        <w:ind w:firstLine="420" w:firstLineChars="17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甲方在进行安全生产检查与巡查过程中，若发现乙方违反本合同约定，甲方有权从质保金中扣除一定金额作为违约金。违约金金额由甲方根据乙方违约的事实、性质、情节及危害程度等因素综合计算确定，但每次违约金金额最高不超过乙方缴纳的质保金总金额。</w:t>
      </w:r>
    </w:p>
    <w:p w14:paraId="5B10BDEE">
      <w:pPr>
        <w:pStyle w:val="3"/>
        <w:tabs>
          <w:tab w:val="left" w:pos="0"/>
        </w:tabs>
        <w:spacing w:line="360" w:lineRule="auto"/>
        <w:ind w:firstLine="420" w:firstLineChars="17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3、甲方从质保金中扣除一定金额作为违约金时，应当以书面形式通知乙方。其中：</w:t>
      </w:r>
    </w:p>
    <w:p w14:paraId="290C602E">
      <w:pPr>
        <w:pStyle w:val="3"/>
        <w:tabs>
          <w:tab w:val="left" w:pos="0"/>
        </w:tabs>
        <w:spacing w:line="360" w:lineRule="auto"/>
        <w:ind w:firstLine="420" w:firstLineChars="17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（1）乙方有下列行为之一的，每次违约金金额为按本合同约定的缴纳标准缴纳的全部质保金。</w:t>
      </w:r>
    </w:p>
    <w:p w14:paraId="29B295DC">
      <w:pPr>
        <w:pStyle w:val="3"/>
        <w:tabs>
          <w:tab w:val="left" w:pos="0"/>
        </w:tabs>
        <w:spacing w:line="360" w:lineRule="auto"/>
        <w:ind w:firstLine="420" w:firstLineChars="17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① 发生人员死亡的生产安全事故；</w:t>
      </w:r>
    </w:p>
    <w:p w14:paraId="316EB58D">
      <w:pPr>
        <w:pStyle w:val="3"/>
        <w:tabs>
          <w:tab w:val="left" w:pos="0"/>
        </w:tabs>
        <w:spacing w:line="360" w:lineRule="auto"/>
        <w:ind w:firstLine="420" w:firstLineChars="17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② 发生人员重伤的生产安全事故。</w:t>
      </w:r>
    </w:p>
    <w:p w14:paraId="70E14F78">
      <w:pPr>
        <w:pStyle w:val="3"/>
        <w:tabs>
          <w:tab w:val="left" w:pos="0"/>
        </w:tabs>
        <w:spacing w:line="360" w:lineRule="auto"/>
        <w:ind w:firstLine="420" w:firstLineChars="17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（2）乙方有下列行为之一的，每次违约金金额为</w:t>
      </w:r>
      <w:r>
        <w:rPr>
          <w:rFonts w:hint="eastAsia" w:ascii="宋体" w:hAnsi="宋体" w:eastAsia="宋体" w:cs="宋体"/>
          <w:color w:val="auto"/>
          <w:sz w:val="24"/>
          <w:szCs w:val="24"/>
          <w:highlight w:val="none"/>
          <w:lang w:val="en-US" w:eastAsia="zh-CN"/>
        </w:rPr>
        <w:t>合同签约价3‰</w:t>
      </w:r>
      <w:r>
        <w:rPr>
          <w:rFonts w:hint="eastAsia" w:ascii="宋体" w:hAnsi="宋体" w:eastAsia="宋体" w:cs="宋体"/>
          <w:color w:val="auto"/>
          <w:sz w:val="24"/>
          <w:szCs w:val="24"/>
          <w:highlight w:val="none"/>
          <w:lang w:eastAsia="zh-CN"/>
        </w:rPr>
        <w:t>。</w:t>
      </w:r>
    </w:p>
    <w:p w14:paraId="31027F5F">
      <w:pPr>
        <w:pStyle w:val="3"/>
        <w:tabs>
          <w:tab w:val="left" w:pos="0"/>
        </w:tabs>
        <w:spacing w:line="360" w:lineRule="auto"/>
        <w:ind w:firstLine="420" w:firstLineChars="17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① 发生人员轻伤的生产安全事故累计超过三次或一个月内连续发生两次；</w:t>
      </w:r>
    </w:p>
    <w:p w14:paraId="3A9D85FA">
      <w:pPr>
        <w:pStyle w:val="3"/>
        <w:tabs>
          <w:tab w:val="left" w:pos="0"/>
        </w:tabs>
        <w:spacing w:line="360" w:lineRule="auto"/>
        <w:ind w:firstLine="420" w:firstLineChars="17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② 发生2万元以上的机械、设备、交通和火灾生产安全事故。</w:t>
      </w:r>
    </w:p>
    <w:p w14:paraId="5F478C7A">
      <w:pPr>
        <w:pStyle w:val="3"/>
        <w:tabs>
          <w:tab w:val="left" w:pos="0"/>
        </w:tabs>
        <w:spacing w:line="360" w:lineRule="auto"/>
        <w:ind w:firstLine="420" w:firstLineChars="17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4、甲方按本合同约定从质保金中扣除一定金额作为违约金，并不能免除乙方应承担的有关国家机关行政处罚与民事赔偿责任，以及应负的其他法律责任。</w:t>
      </w:r>
    </w:p>
    <w:p w14:paraId="4B2D60C5">
      <w:pPr>
        <w:pStyle w:val="3"/>
        <w:tabs>
          <w:tab w:val="left" w:pos="0"/>
        </w:tabs>
        <w:spacing w:line="360" w:lineRule="auto"/>
        <w:ind w:firstLine="422" w:firstLineChars="175"/>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九、附则</w:t>
      </w:r>
    </w:p>
    <w:p w14:paraId="294A9B6B">
      <w:pPr>
        <w:pStyle w:val="3"/>
        <w:tabs>
          <w:tab w:val="left" w:pos="0"/>
        </w:tabs>
        <w:spacing w:line="360" w:lineRule="auto"/>
        <w:ind w:firstLine="420" w:firstLineChars="17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1、本合同约定的甲方权利义务，除收款权利、付款义务、发生违约行为时的责任费用支付义务及诉权由甲方行使。</w:t>
      </w:r>
    </w:p>
    <w:p w14:paraId="15988646">
      <w:pPr>
        <w:pStyle w:val="3"/>
        <w:tabs>
          <w:tab w:val="left" w:pos="0"/>
        </w:tabs>
        <w:spacing w:line="360" w:lineRule="auto"/>
        <w:ind w:firstLine="420" w:firstLineChars="17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2、本合同所称安全生产保证金是指安全生产风险抵押金。</w:t>
      </w:r>
    </w:p>
    <w:p w14:paraId="5C66B483">
      <w:pPr>
        <w:pStyle w:val="3"/>
        <w:tabs>
          <w:tab w:val="left" w:pos="0"/>
        </w:tabs>
        <w:spacing w:line="360" w:lineRule="auto"/>
        <w:ind w:firstLine="420" w:firstLineChars="17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3、本合同与双方签订的工程施工合同具有同等法律效力。工程施工合同中没有约定或约定与本合同冲突的，均以本合同约定为准。</w:t>
      </w:r>
    </w:p>
    <w:p w14:paraId="6D3BBB2A">
      <w:pPr>
        <w:pStyle w:val="3"/>
        <w:tabs>
          <w:tab w:val="left" w:pos="0"/>
        </w:tabs>
        <w:spacing w:line="360" w:lineRule="auto"/>
        <w:ind w:firstLine="420" w:firstLineChars="17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4、本合同自双方签字盖章或盖章后即生效。</w:t>
      </w:r>
    </w:p>
    <w:p w14:paraId="7DF74BEF">
      <w:pPr>
        <w:tabs>
          <w:tab w:val="left" w:pos="0"/>
        </w:tabs>
        <w:spacing w:line="360" w:lineRule="auto"/>
        <w:ind w:firstLine="424" w:firstLineChars="177"/>
        <w:rPr>
          <w:rFonts w:hint="eastAsia" w:ascii="宋体" w:hAnsi="宋体" w:eastAsia="宋体" w:cs="宋体"/>
          <w:color w:val="auto"/>
          <w:sz w:val="24"/>
          <w:szCs w:val="24"/>
          <w:highlight w:val="none"/>
          <w:lang w:eastAsia="zh-CN"/>
        </w:rPr>
      </w:pPr>
    </w:p>
    <w:p w14:paraId="31C6461D">
      <w:pPr>
        <w:tabs>
          <w:tab w:val="left" w:pos="0"/>
        </w:tabs>
        <w:spacing w:line="360" w:lineRule="auto"/>
        <w:ind w:firstLine="424" w:firstLineChars="177"/>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甲方（盖章）：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 xml:space="preserve">乙方（盖章）：     </w:t>
      </w:r>
    </w:p>
    <w:p w14:paraId="38CECD0D">
      <w:pPr>
        <w:tabs>
          <w:tab w:val="left" w:pos="0"/>
        </w:tabs>
        <w:spacing w:line="360" w:lineRule="auto"/>
        <w:ind w:firstLine="424" w:firstLineChars="17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法定代表人或委托代理人             法定代表人或委托代理人    </w:t>
      </w:r>
    </w:p>
    <w:p w14:paraId="528D83FD">
      <w:pPr>
        <w:tabs>
          <w:tab w:val="left" w:pos="0"/>
        </w:tabs>
        <w:spacing w:line="360" w:lineRule="auto"/>
        <w:ind w:firstLine="424" w:firstLineChars="177"/>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（签字）：                          （签字）：</w:t>
      </w:r>
    </w:p>
    <w:p w14:paraId="5C7C77CB">
      <w:pPr>
        <w:spacing w:line="360" w:lineRule="auto"/>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lang w:eastAsia="zh-CN"/>
        </w:rPr>
        <w:t xml:space="preserve">年   月   日                       年   月   日         </w:t>
      </w:r>
    </w:p>
    <w:p w14:paraId="7CB528D3">
      <w:pPr>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br w:type="page"/>
      </w:r>
      <w:r>
        <w:rPr>
          <w:rFonts w:hint="eastAsia" w:ascii="宋体" w:hAnsi="宋体" w:eastAsia="宋体" w:cs="宋体"/>
          <w:b/>
          <w:color w:val="auto"/>
          <w:sz w:val="24"/>
          <w:szCs w:val="24"/>
          <w:highlight w:val="none"/>
          <w:lang w:eastAsia="zh-CN"/>
        </w:rPr>
        <w:t>附件3：</w:t>
      </w:r>
    </w:p>
    <w:p w14:paraId="572F3FD8">
      <w:pPr>
        <w:spacing w:line="360" w:lineRule="auto"/>
        <w:jc w:val="center"/>
        <w:outlineLvl w:val="1"/>
        <w:rPr>
          <w:rFonts w:hint="eastAsia" w:ascii="宋体" w:hAnsi="宋体" w:eastAsia="宋体" w:cs="宋体"/>
          <w:b/>
          <w:color w:val="auto"/>
          <w:sz w:val="24"/>
          <w:szCs w:val="24"/>
          <w:highlight w:val="none"/>
          <w:lang w:eastAsia="zh-CN"/>
        </w:rPr>
      </w:pPr>
      <w:bookmarkStart w:id="2" w:name="_Toc23908"/>
      <w:r>
        <w:rPr>
          <w:rFonts w:hint="eastAsia" w:ascii="宋体" w:hAnsi="宋体" w:eastAsia="宋体" w:cs="宋体"/>
          <w:b/>
          <w:color w:val="auto"/>
          <w:sz w:val="24"/>
          <w:szCs w:val="24"/>
          <w:highlight w:val="none"/>
          <w:lang w:eastAsia="zh-CN"/>
        </w:rPr>
        <w:t>工程项目廉政合同</w:t>
      </w:r>
      <w:bookmarkEnd w:id="2"/>
    </w:p>
    <w:p w14:paraId="2ED9F987">
      <w:pPr>
        <w:spacing w:line="360" w:lineRule="auto"/>
        <w:jc w:val="center"/>
        <w:rPr>
          <w:rFonts w:hint="eastAsia" w:ascii="宋体" w:hAnsi="宋体" w:eastAsia="宋体" w:cs="宋体"/>
          <w:b/>
          <w:bCs/>
          <w:color w:val="auto"/>
          <w:sz w:val="24"/>
          <w:szCs w:val="24"/>
          <w:highlight w:val="none"/>
          <w:lang w:eastAsia="zh-CN"/>
        </w:rPr>
      </w:pPr>
    </w:p>
    <w:p w14:paraId="450B52F7">
      <w:pPr>
        <w:spacing w:line="360" w:lineRule="auto"/>
        <w:ind w:firstLine="480" w:firstLineChars="2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为加强工程项目建设中的廉政建设，预防腐败现象的发生，规范工程项目承包、发包及监理等单位的各项活动，防止发生各种谋取不正当利益的违法违纪行为，保护国家、集体和当事人的合法权益，根据《反不正当竞争法》、《建筑法》、《招标投标法》等法律法规和廉政建设有关规定，</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（以下简称“甲方”）与</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（以下简称“乙方”），特订立本廉政合同。</w:t>
      </w:r>
    </w:p>
    <w:p w14:paraId="6050FC03">
      <w:pPr>
        <w:spacing w:line="360" w:lineRule="auto"/>
        <w:ind w:firstLine="480" w:firstLineChars="200"/>
        <w:outlineLvl w:val="1"/>
        <w:rPr>
          <w:rFonts w:hint="eastAsia" w:ascii="宋体" w:hAnsi="宋体" w:eastAsia="宋体" w:cs="宋体"/>
          <w:color w:val="auto"/>
          <w:sz w:val="24"/>
          <w:szCs w:val="24"/>
          <w:highlight w:val="none"/>
          <w:lang w:eastAsia="zh-CN"/>
        </w:rPr>
      </w:pPr>
      <w:bookmarkStart w:id="3" w:name="_Toc4534"/>
      <w:bookmarkStart w:id="4" w:name="_Toc10542"/>
      <w:bookmarkStart w:id="5" w:name="_Toc913"/>
      <w:bookmarkStart w:id="6" w:name="_Toc17019"/>
      <w:bookmarkStart w:id="7" w:name="_Toc1436"/>
      <w:bookmarkStart w:id="8" w:name="_Toc413154068"/>
      <w:bookmarkStart w:id="9" w:name="_Toc18752"/>
      <w:bookmarkStart w:id="10" w:name="_Toc14453"/>
      <w:bookmarkStart w:id="11" w:name="_Toc9191"/>
      <w:bookmarkStart w:id="12" w:name="_Toc415486315"/>
      <w:bookmarkStart w:id="13" w:name="_Toc15510"/>
      <w:bookmarkStart w:id="14" w:name="_Toc28072"/>
      <w:bookmarkStart w:id="15" w:name="_Toc422385744"/>
      <w:bookmarkStart w:id="16" w:name="_Toc22123"/>
      <w:r>
        <w:rPr>
          <w:rFonts w:hint="eastAsia" w:ascii="宋体" w:hAnsi="宋体" w:eastAsia="宋体" w:cs="宋体"/>
          <w:color w:val="auto"/>
          <w:sz w:val="24"/>
          <w:szCs w:val="24"/>
          <w:highlight w:val="none"/>
          <w:lang w:eastAsia="zh-CN"/>
        </w:rPr>
        <w:t>第一条  甲乙双方的权利和义务</w:t>
      </w:r>
      <w:bookmarkEnd w:id="3"/>
      <w:bookmarkEnd w:id="4"/>
      <w:bookmarkEnd w:id="5"/>
      <w:bookmarkEnd w:id="6"/>
      <w:bookmarkEnd w:id="7"/>
      <w:bookmarkEnd w:id="8"/>
      <w:bookmarkEnd w:id="9"/>
      <w:bookmarkEnd w:id="10"/>
      <w:bookmarkEnd w:id="11"/>
      <w:bookmarkEnd w:id="12"/>
      <w:bookmarkEnd w:id="13"/>
      <w:bookmarkEnd w:id="14"/>
      <w:bookmarkEnd w:id="15"/>
      <w:bookmarkEnd w:id="16"/>
    </w:p>
    <w:p w14:paraId="35DCCA49">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双方同意并声明，在业务活动中：</w:t>
      </w:r>
    </w:p>
    <w:p w14:paraId="63F61C4C">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（一）严格遵守国家关于市场准入、勘测设计、施工监理、招标投标、工程施工、设备安装和市场经营活动等有关法律法规及相关政策，以及廉政建设的各项规定；</w:t>
      </w:r>
    </w:p>
    <w:p w14:paraId="77F2D03E">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（二）严格执行本项目甲乙双方签订的施工合同文件，自觉按合同办事；</w:t>
      </w:r>
    </w:p>
    <w:p w14:paraId="7109FAC0">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三）业务活动坚持公开、公平、公正、诚信、透明的原则（除法律法规认定的商业秘密和合同文件另有规定之外），双方人员不得为获取不正当的利益，就工程费用、材料供应、工程量变动、工程验收、工程质量等问题进行私下商谈或达成默契，不得损害国家和集体利益，违反工程建设管理规章制度；</w:t>
      </w:r>
    </w:p>
    <w:p w14:paraId="1DEF74CB">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（四）建立健全廉政制度，开展廉政教育，设立廉政公示牌，公布举报电话。积极开展相互监督，发现对方在业务活动中有违反本合同行为的，有及时提醒对方纠正或向有关部门举报的权利和义务。</w:t>
      </w:r>
    </w:p>
    <w:p w14:paraId="1C17CAF5">
      <w:pPr>
        <w:spacing w:line="360" w:lineRule="auto"/>
        <w:ind w:firstLine="480" w:firstLineChars="200"/>
        <w:outlineLvl w:val="1"/>
        <w:rPr>
          <w:rFonts w:hint="eastAsia" w:ascii="宋体" w:hAnsi="宋体" w:eastAsia="宋体" w:cs="宋体"/>
          <w:color w:val="auto"/>
          <w:sz w:val="24"/>
          <w:szCs w:val="24"/>
          <w:highlight w:val="none"/>
          <w:lang w:eastAsia="zh-CN"/>
        </w:rPr>
      </w:pPr>
      <w:bookmarkStart w:id="17" w:name="_Toc20393"/>
      <w:bookmarkStart w:id="18" w:name="_Toc12370"/>
      <w:bookmarkStart w:id="19" w:name="_Toc32555"/>
      <w:bookmarkStart w:id="20" w:name="_Toc415486316"/>
      <w:bookmarkStart w:id="21" w:name="_Toc25417"/>
      <w:bookmarkStart w:id="22" w:name="_Toc141"/>
      <w:bookmarkStart w:id="23" w:name="_Toc21231"/>
      <w:bookmarkStart w:id="24" w:name="_Toc9446"/>
      <w:bookmarkStart w:id="25" w:name="_Toc31410"/>
      <w:bookmarkStart w:id="26" w:name="_Toc28835"/>
      <w:bookmarkStart w:id="27" w:name="_Toc422385745"/>
      <w:bookmarkStart w:id="28" w:name="_Toc413154069"/>
      <w:bookmarkStart w:id="29" w:name="_Toc24150"/>
      <w:bookmarkStart w:id="30" w:name="_Toc8341"/>
      <w:r>
        <w:rPr>
          <w:rFonts w:hint="eastAsia" w:ascii="宋体" w:hAnsi="宋体" w:eastAsia="宋体" w:cs="宋体"/>
          <w:color w:val="auto"/>
          <w:sz w:val="24"/>
          <w:szCs w:val="24"/>
          <w:highlight w:val="none"/>
          <w:lang w:eastAsia="zh-CN"/>
        </w:rPr>
        <w:t>第二条  甲方的责任</w:t>
      </w:r>
      <w:bookmarkEnd w:id="17"/>
      <w:bookmarkEnd w:id="18"/>
      <w:bookmarkEnd w:id="19"/>
      <w:bookmarkEnd w:id="20"/>
      <w:bookmarkEnd w:id="21"/>
      <w:bookmarkEnd w:id="22"/>
      <w:bookmarkEnd w:id="23"/>
      <w:bookmarkEnd w:id="24"/>
      <w:bookmarkEnd w:id="25"/>
      <w:bookmarkEnd w:id="26"/>
      <w:bookmarkEnd w:id="27"/>
      <w:bookmarkEnd w:id="28"/>
      <w:bookmarkEnd w:id="29"/>
      <w:bookmarkEnd w:id="30"/>
    </w:p>
    <w:p w14:paraId="085EA402">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甲方的领导和从事该工程项目的工作人员，在工程项目的事前、事中、事后应遵守以下规定：</w:t>
      </w:r>
    </w:p>
    <w:p w14:paraId="14729D04">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（一）禁止向乙方索要、接受回扣、礼金、有价证券、贵重物品和好处费、感谢费或在乙方报销任何应由甲方（个人）支付的费用；</w:t>
      </w:r>
    </w:p>
    <w:p w14:paraId="4BC0AE48">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（二）禁止参加乙方安排的宴请和健身、娱乐等活动或接受乙方提供的通讯工具、交通工具和高档办公用品等；</w:t>
      </w:r>
    </w:p>
    <w:p w14:paraId="108A2051">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（三）禁止要求、暗示和接受乙方为个人装修住房、婚丧嫁娶、配偶子女的工作安排以及出国（境）、旅游等提供方便；</w:t>
      </w:r>
    </w:p>
    <w:p w14:paraId="432763E9">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（四）禁止允许、纵容配偶、子女从事与乙方承包本工程有关的设备材料供应、工程分包、劳务等经济活动，并为其提供便利条件；</w:t>
      </w:r>
    </w:p>
    <w:p w14:paraId="00E03DA9">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（五）禁止以任何理由向乙方推荐分包单位和设备、材料供应商，不得要求乙方购买项目合同规定外的材料、设备和服务等；</w:t>
      </w:r>
    </w:p>
    <w:p w14:paraId="77C30CAF">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（六）不得为获取乙方回扣或其他谋取私利而多签或多算工程量、多结工程款；不得从乙方承包的工程中收受回扣，谋取私利；</w:t>
      </w:r>
    </w:p>
    <w:p w14:paraId="0B0FBE7F">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(七)不得因乙方拒绝本人的不合理要求，而故意刁难乙方；</w:t>
      </w:r>
    </w:p>
    <w:p w14:paraId="19E3AE62">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(八)其它有关违反廉政规定的行为。</w:t>
      </w:r>
    </w:p>
    <w:p w14:paraId="5CFF6785">
      <w:pPr>
        <w:spacing w:line="360" w:lineRule="auto"/>
        <w:ind w:firstLine="480" w:firstLineChars="200"/>
        <w:outlineLvl w:val="1"/>
        <w:rPr>
          <w:rFonts w:hint="eastAsia" w:ascii="宋体" w:hAnsi="宋体" w:eastAsia="宋体" w:cs="宋体"/>
          <w:color w:val="auto"/>
          <w:sz w:val="24"/>
          <w:szCs w:val="24"/>
          <w:highlight w:val="none"/>
          <w:lang w:eastAsia="zh-CN"/>
        </w:rPr>
      </w:pPr>
      <w:bookmarkStart w:id="31" w:name="_Toc29510"/>
      <w:bookmarkStart w:id="32" w:name="_Toc23197"/>
      <w:bookmarkStart w:id="33" w:name="_Toc32412"/>
      <w:bookmarkStart w:id="34" w:name="_Toc2684"/>
      <w:bookmarkStart w:id="35" w:name="_Toc7583"/>
      <w:bookmarkStart w:id="36" w:name="_Toc21695"/>
      <w:bookmarkStart w:id="37" w:name="_Toc6206"/>
      <w:bookmarkStart w:id="38" w:name="_Toc32519"/>
      <w:bookmarkStart w:id="39" w:name="_Toc415486317"/>
      <w:bookmarkStart w:id="40" w:name="_Toc14146"/>
      <w:bookmarkStart w:id="41" w:name="_Toc31347"/>
      <w:bookmarkStart w:id="42" w:name="_Toc28178"/>
      <w:bookmarkStart w:id="43" w:name="_Toc413154070"/>
      <w:bookmarkStart w:id="44" w:name="_Toc422385746"/>
      <w:r>
        <w:rPr>
          <w:rFonts w:hint="eastAsia" w:ascii="宋体" w:hAnsi="宋体" w:eastAsia="宋体" w:cs="宋体"/>
          <w:color w:val="auto"/>
          <w:sz w:val="24"/>
          <w:szCs w:val="24"/>
          <w:highlight w:val="none"/>
          <w:lang w:eastAsia="zh-CN"/>
        </w:rPr>
        <w:t>第三条  乙方的责任</w:t>
      </w:r>
      <w:bookmarkEnd w:id="31"/>
      <w:bookmarkEnd w:id="32"/>
      <w:bookmarkEnd w:id="33"/>
      <w:bookmarkEnd w:id="34"/>
      <w:bookmarkEnd w:id="35"/>
      <w:bookmarkEnd w:id="36"/>
      <w:bookmarkEnd w:id="37"/>
      <w:bookmarkEnd w:id="38"/>
      <w:bookmarkEnd w:id="39"/>
      <w:bookmarkEnd w:id="40"/>
      <w:bookmarkEnd w:id="41"/>
      <w:bookmarkEnd w:id="42"/>
      <w:bookmarkEnd w:id="43"/>
      <w:bookmarkEnd w:id="44"/>
    </w:p>
    <w:p w14:paraId="2E7E9ADE">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乙方应与甲方保持正常的业务交往，按照有关法律法规和程序开展业务工作，严格执行工程建设的有关方针、政策，尤其是有关强制性标准和规范，并遵守以下规定：</w:t>
      </w:r>
    </w:p>
    <w:p w14:paraId="3771DA03">
      <w:pPr>
        <w:spacing w:line="360" w:lineRule="auto"/>
        <w:ind w:firstLine="480" w:firstLineChars="200"/>
        <w:outlineLvl w:val="9"/>
        <w:rPr>
          <w:rFonts w:hint="eastAsia" w:ascii="宋体" w:hAnsi="宋体" w:eastAsia="宋体" w:cs="宋体"/>
          <w:color w:val="auto"/>
          <w:sz w:val="24"/>
          <w:szCs w:val="24"/>
          <w:highlight w:val="none"/>
          <w:lang w:eastAsia="zh-CN"/>
        </w:rPr>
      </w:pPr>
      <w:bookmarkStart w:id="45" w:name="_Toc25572"/>
      <w:bookmarkStart w:id="46" w:name="_Toc13064"/>
      <w:bookmarkStart w:id="47" w:name="_Toc31008"/>
      <w:bookmarkStart w:id="48" w:name="_Toc5055"/>
      <w:bookmarkStart w:id="49" w:name="_Toc17400"/>
      <w:bookmarkStart w:id="50" w:name="_Toc593"/>
      <w:bookmarkStart w:id="51" w:name="_Toc8905"/>
      <w:bookmarkStart w:id="52" w:name="_Toc32478"/>
      <w:bookmarkStart w:id="53" w:name="_Toc30492"/>
      <w:bookmarkStart w:id="54" w:name="_Toc26257"/>
      <w:bookmarkStart w:id="55" w:name="_Toc413154071"/>
      <w:bookmarkStart w:id="56" w:name="_Toc415486318"/>
      <w:bookmarkStart w:id="57" w:name="_Toc4022"/>
      <w:bookmarkStart w:id="58" w:name="_Toc21602"/>
      <w:bookmarkStart w:id="59" w:name="_Toc17467"/>
      <w:bookmarkStart w:id="60" w:name="_Toc23409"/>
      <w:bookmarkStart w:id="61" w:name="_Toc8553"/>
      <w:bookmarkStart w:id="62" w:name="_Toc19850"/>
      <w:bookmarkStart w:id="63" w:name="_Toc422385747"/>
      <w:bookmarkStart w:id="64" w:name="_Toc27935"/>
      <w:bookmarkStart w:id="65" w:name="_Toc18261"/>
      <w:r>
        <w:rPr>
          <w:rFonts w:hint="eastAsia" w:ascii="宋体" w:hAnsi="宋体" w:eastAsia="宋体" w:cs="宋体"/>
          <w:color w:val="auto"/>
          <w:sz w:val="24"/>
          <w:szCs w:val="24"/>
          <w:highlight w:val="none"/>
          <w:lang w:eastAsia="zh-CN"/>
        </w:rPr>
        <w:t>（一）不准以任何理由、任何形式向甲方、监理单位及其工作人员行贿或馈赠礼金、有价证券、贵重物品等；</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68BB29D7">
      <w:pPr>
        <w:spacing w:line="360" w:lineRule="auto"/>
        <w:ind w:firstLine="480" w:firstLineChars="200"/>
        <w:outlineLvl w:val="9"/>
        <w:rPr>
          <w:rFonts w:hint="eastAsia" w:ascii="宋体" w:hAnsi="宋体" w:eastAsia="宋体" w:cs="宋体"/>
          <w:color w:val="auto"/>
          <w:sz w:val="24"/>
          <w:szCs w:val="24"/>
          <w:highlight w:val="none"/>
          <w:lang w:eastAsia="zh-CN"/>
        </w:rPr>
      </w:pPr>
      <w:bookmarkStart w:id="66" w:name="_Toc18268"/>
      <w:bookmarkStart w:id="67" w:name="_Toc17135"/>
      <w:bookmarkStart w:id="68" w:name="_Toc25939"/>
      <w:bookmarkStart w:id="69" w:name="_Toc415486319"/>
      <w:bookmarkStart w:id="70" w:name="_Toc20043"/>
      <w:bookmarkStart w:id="71" w:name="_Toc22905"/>
      <w:bookmarkStart w:id="72" w:name="_Toc19950"/>
      <w:bookmarkStart w:id="73" w:name="_Toc3813"/>
      <w:bookmarkStart w:id="74" w:name="_Toc9694"/>
      <w:bookmarkStart w:id="75" w:name="_Toc8995"/>
      <w:bookmarkStart w:id="76" w:name="_Toc22886"/>
      <w:bookmarkStart w:id="77" w:name="_Toc413154072"/>
      <w:bookmarkStart w:id="78" w:name="_Toc26165"/>
      <w:bookmarkStart w:id="79" w:name="_Toc32263"/>
      <w:bookmarkStart w:id="80" w:name="_Toc2016"/>
      <w:bookmarkStart w:id="81" w:name="_Toc29070"/>
      <w:bookmarkStart w:id="82" w:name="_Toc31190"/>
      <w:bookmarkStart w:id="83" w:name="_Toc22664"/>
      <w:bookmarkStart w:id="84" w:name="_Toc422385748"/>
      <w:bookmarkStart w:id="85" w:name="_Toc3486"/>
      <w:bookmarkStart w:id="86" w:name="_Toc27670"/>
      <w:r>
        <w:rPr>
          <w:rFonts w:hint="eastAsia" w:ascii="宋体" w:hAnsi="宋体" w:eastAsia="宋体" w:cs="宋体"/>
          <w:color w:val="auto"/>
          <w:sz w:val="24"/>
          <w:szCs w:val="24"/>
          <w:highlight w:val="none"/>
          <w:lang w:eastAsia="zh-CN"/>
        </w:rPr>
        <w:t>（二）不准以任何名义为甲方、监理单位及其工作人员报销应由对方或个人支付的费用；</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51E834F8">
      <w:pPr>
        <w:spacing w:line="360" w:lineRule="auto"/>
        <w:ind w:firstLine="480" w:firstLineChars="200"/>
        <w:outlineLvl w:val="9"/>
        <w:rPr>
          <w:rFonts w:hint="eastAsia" w:ascii="宋体" w:hAnsi="宋体" w:eastAsia="宋体" w:cs="宋体"/>
          <w:color w:val="auto"/>
          <w:sz w:val="24"/>
          <w:szCs w:val="24"/>
          <w:highlight w:val="none"/>
          <w:lang w:eastAsia="zh-CN"/>
        </w:rPr>
      </w:pPr>
      <w:bookmarkStart w:id="87" w:name="_Toc32349"/>
      <w:bookmarkStart w:id="88" w:name="_Toc7238"/>
      <w:bookmarkStart w:id="89" w:name="_Toc6347"/>
      <w:bookmarkStart w:id="90" w:name="_Toc20669"/>
      <w:bookmarkStart w:id="91" w:name="_Toc9592"/>
      <w:bookmarkStart w:id="92" w:name="_Toc13553"/>
      <w:bookmarkStart w:id="93" w:name="_Toc9654"/>
      <w:bookmarkStart w:id="94" w:name="_Toc413154073"/>
      <w:bookmarkStart w:id="95" w:name="_Toc16297"/>
      <w:bookmarkStart w:id="96" w:name="_Toc16279"/>
      <w:bookmarkStart w:id="97" w:name="_Toc6840"/>
      <w:bookmarkStart w:id="98" w:name="_Toc7278"/>
      <w:bookmarkStart w:id="99" w:name="_Toc25078"/>
      <w:bookmarkStart w:id="100" w:name="_Toc22146"/>
      <w:bookmarkStart w:id="101" w:name="_Toc32454"/>
      <w:bookmarkStart w:id="102" w:name="_Toc30208"/>
      <w:bookmarkStart w:id="103" w:name="_Toc415486320"/>
      <w:bookmarkStart w:id="104" w:name="_Toc422385749"/>
      <w:bookmarkStart w:id="105" w:name="_Toc25972"/>
      <w:bookmarkStart w:id="106" w:name="_Toc13487"/>
      <w:bookmarkStart w:id="107" w:name="_Toc1283"/>
      <w:r>
        <w:rPr>
          <w:rFonts w:hint="eastAsia" w:ascii="宋体" w:hAnsi="宋体" w:eastAsia="宋体" w:cs="宋体"/>
          <w:color w:val="auto"/>
          <w:sz w:val="24"/>
          <w:szCs w:val="24"/>
          <w:highlight w:val="none"/>
          <w:lang w:eastAsia="zh-CN"/>
        </w:rPr>
        <w:t>（三）不准以任何理由为甲方、监理单位和其他相关单位及其工作人员提供有可能影响执行公务的宴请及健身、娱乐和旅游等活动；</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4D098763">
      <w:pPr>
        <w:spacing w:line="360" w:lineRule="auto"/>
        <w:ind w:firstLine="480" w:firstLineChars="200"/>
        <w:outlineLvl w:val="9"/>
        <w:rPr>
          <w:rFonts w:hint="eastAsia" w:ascii="宋体" w:hAnsi="宋体" w:eastAsia="宋体" w:cs="宋体"/>
          <w:color w:val="auto"/>
          <w:sz w:val="24"/>
          <w:szCs w:val="24"/>
          <w:highlight w:val="none"/>
          <w:lang w:eastAsia="zh-CN"/>
        </w:rPr>
      </w:pPr>
      <w:bookmarkStart w:id="108" w:name="_Toc32282"/>
      <w:bookmarkStart w:id="109" w:name="_Toc1732"/>
      <w:bookmarkStart w:id="110" w:name="_Toc413154074"/>
      <w:bookmarkStart w:id="111" w:name="_Toc32176"/>
      <w:bookmarkStart w:id="112" w:name="_Toc422385750"/>
      <w:bookmarkStart w:id="113" w:name="_Toc24555"/>
      <w:bookmarkStart w:id="114" w:name="_Toc568"/>
      <w:bookmarkStart w:id="115" w:name="_Toc15593"/>
      <w:bookmarkStart w:id="116" w:name="_Toc20572"/>
      <w:bookmarkStart w:id="117" w:name="_Toc2249"/>
      <w:bookmarkStart w:id="118" w:name="_Toc20582"/>
      <w:bookmarkStart w:id="119" w:name="_Toc9394"/>
      <w:bookmarkStart w:id="120" w:name="_Toc8181"/>
      <w:bookmarkStart w:id="121" w:name="_Toc107"/>
      <w:bookmarkStart w:id="122" w:name="_Toc19878"/>
      <w:bookmarkStart w:id="123" w:name="_Toc30459"/>
      <w:bookmarkStart w:id="124" w:name="_Toc8106"/>
      <w:bookmarkStart w:id="125" w:name="_Toc23772"/>
      <w:bookmarkStart w:id="126" w:name="_Toc415486321"/>
      <w:bookmarkStart w:id="127" w:name="_Toc8666"/>
      <w:r>
        <w:rPr>
          <w:rFonts w:hint="eastAsia" w:ascii="宋体" w:hAnsi="宋体" w:eastAsia="宋体" w:cs="宋体"/>
          <w:color w:val="auto"/>
          <w:sz w:val="24"/>
          <w:szCs w:val="24"/>
          <w:highlight w:val="none"/>
          <w:lang w:eastAsia="zh-CN"/>
        </w:rPr>
        <w:t>（四）不准为甲方和监理单位及其工作人员购置或提供通讯工具、交通工具和高档办公用品和装修住房等；</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14:paraId="282FB638">
      <w:pPr>
        <w:spacing w:line="360" w:lineRule="auto"/>
        <w:ind w:firstLine="480" w:firstLineChars="20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(五)不准接受或暗示为甲方、监理单位和其它相关单位及其工作人员装修房屋、婚丧嫁娶、配偶子女的工作安排以及出国（境）、旅游观光活动提供方便；</w:t>
      </w:r>
    </w:p>
    <w:p w14:paraId="7D5F43F8">
      <w:pPr>
        <w:spacing w:line="360" w:lineRule="auto"/>
        <w:ind w:firstLine="480" w:firstLineChars="20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(六)不准利用黄、赌、贿等各种手段拉拢腐蚀甲方工作人员；</w:t>
      </w:r>
    </w:p>
    <w:p w14:paraId="701C1C95">
      <w:pPr>
        <w:spacing w:line="360" w:lineRule="auto"/>
        <w:ind w:firstLine="480" w:firstLineChars="20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(七)其它有关违反廉政规定的行为。</w:t>
      </w:r>
    </w:p>
    <w:p w14:paraId="5B8FB9C8">
      <w:pPr>
        <w:spacing w:line="360" w:lineRule="auto"/>
        <w:ind w:firstLine="480" w:firstLineChars="200"/>
        <w:outlineLvl w:val="9"/>
        <w:rPr>
          <w:rFonts w:hint="eastAsia" w:ascii="宋体" w:hAnsi="宋体" w:eastAsia="宋体" w:cs="宋体"/>
          <w:color w:val="auto"/>
          <w:sz w:val="24"/>
          <w:szCs w:val="24"/>
          <w:highlight w:val="none"/>
          <w:lang w:eastAsia="zh-CN"/>
        </w:rPr>
      </w:pPr>
      <w:bookmarkStart w:id="128" w:name="_Toc16830"/>
      <w:bookmarkStart w:id="129" w:name="_Toc955"/>
      <w:bookmarkStart w:id="130" w:name="_Toc19167"/>
      <w:bookmarkStart w:id="131" w:name="_Toc415486322"/>
      <w:bookmarkStart w:id="132" w:name="_Toc30789"/>
      <w:bookmarkStart w:id="133" w:name="_Toc1319"/>
      <w:bookmarkStart w:id="134" w:name="_Toc413154075"/>
      <w:bookmarkStart w:id="135" w:name="_Toc24514"/>
      <w:bookmarkStart w:id="136" w:name="_Toc11546"/>
      <w:bookmarkStart w:id="137" w:name="_Toc31896"/>
      <w:bookmarkStart w:id="138" w:name="_Toc24845"/>
      <w:bookmarkStart w:id="139" w:name="_Toc17403"/>
      <w:bookmarkStart w:id="140" w:name="_Toc422385751"/>
      <w:bookmarkStart w:id="141" w:name="_Toc12408"/>
      <w:r>
        <w:rPr>
          <w:rFonts w:hint="eastAsia" w:ascii="宋体" w:hAnsi="宋体" w:eastAsia="宋体" w:cs="宋体"/>
          <w:color w:val="auto"/>
          <w:sz w:val="24"/>
          <w:szCs w:val="24"/>
          <w:highlight w:val="none"/>
          <w:lang w:eastAsia="zh-CN"/>
        </w:rPr>
        <w:t>第四条  违约责任</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14:paraId="30B91447">
      <w:pPr>
        <w:spacing w:line="360" w:lineRule="auto"/>
        <w:ind w:firstLine="480" w:firstLineChars="20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（一）甲方工作人员违反本合同第一、第二条责任行为的，按照管理权限，依据有关法律法规和规定给予党纪政纪处分或组织处理；涉嫌犯罪的，移交司法机关追究刑事责任；</w:t>
      </w:r>
    </w:p>
    <w:p w14:paraId="2C1A8104">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（二）乙方工作人员违反本合同第一、第三条责任行为的，</w:t>
      </w:r>
      <w:r>
        <w:rPr>
          <w:rFonts w:hint="eastAsia" w:ascii="宋体" w:hAnsi="宋体" w:eastAsia="宋体" w:cs="宋体"/>
          <w:color w:val="auto"/>
          <w:sz w:val="24"/>
          <w:szCs w:val="24"/>
          <w:highlight w:val="none"/>
          <w:lang w:val="zh-CN" w:eastAsia="zh-CN"/>
        </w:rPr>
        <w:t>有关行政主管部门有权中止工程项目建设合同</w:t>
      </w:r>
      <w:r>
        <w:rPr>
          <w:rFonts w:hint="eastAsia" w:ascii="宋体" w:hAnsi="宋体" w:eastAsia="宋体" w:cs="宋体"/>
          <w:color w:val="auto"/>
          <w:sz w:val="24"/>
          <w:szCs w:val="24"/>
          <w:highlight w:val="none"/>
          <w:lang w:eastAsia="zh-CN"/>
        </w:rPr>
        <w:t>；涉嫌犯罪的，移交司法机关追究刑事责任；情节严重的，限制乙方不得进入辖区建设市场并在新闻媒体曝光；</w:t>
      </w:r>
    </w:p>
    <w:p w14:paraId="713409F0">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（三）乙方如将部分辅助项目分包的，有责任向承包方交待本合同的具体内容，并要求其严格执行本合同规定；</w:t>
      </w:r>
    </w:p>
    <w:p w14:paraId="6838E1A5">
      <w:pPr>
        <w:tabs>
          <w:tab w:val="left" w:pos="158"/>
        </w:tabs>
        <w:spacing w:line="360" w:lineRule="auto"/>
        <w:ind w:firstLine="480" w:firstLineChars="200"/>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zh-CN" w:eastAsia="zh-CN"/>
        </w:rPr>
        <w:t>四）乙方在工程项目建设中贿赂甲方人员、工程监理及中介方人员，被纪检监察机关或司法机关立案查处的，甲方有权中止工程建设合同。由此给甲方造成的损失以及发生的一切费用均由乙方承担，可在工程结算款中扣除；</w:t>
      </w:r>
    </w:p>
    <w:p w14:paraId="384D8AA0">
      <w:pPr>
        <w:spacing w:line="360" w:lineRule="auto"/>
        <w:ind w:firstLine="480" w:firstLineChars="200"/>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（五）甲乙双方人员赠送、贿赂、接受或索要钱物的行为，如果一方发生，另一方当事人应立即主动报告本单位领导，或向纪委、监察局等有关部门举报。</w:t>
      </w:r>
    </w:p>
    <w:p w14:paraId="1A7FBCBB">
      <w:pPr>
        <w:tabs>
          <w:tab w:val="left" w:pos="628"/>
        </w:tabs>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第五条  本合同作为工程合同的附件，与工程施工合同具有同等法律效力，甲乙双方签署后立即生效。</w:t>
      </w:r>
    </w:p>
    <w:p w14:paraId="33EEE8FF">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第六条  本合同的有效期为双方签署之日起至该工程项目竣工验收合格、工程资金结清时止。</w:t>
      </w:r>
    </w:p>
    <w:p w14:paraId="1A711AE6">
      <w:pPr>
        <w:spacing w:line="360" w:lineRule="auto"/>
        <w:rPr>
          <w:rFonts w:hint="eastAsia" w:ascii="宋体" w:hAnsi="宋体" w:eastAsia="宋体" w:cs="宋体"/>
          <w:color w:val="auto"/>
          <w:sz w:val="24"/>
          <w:szCs w:val="24"/>
          <w:highlight w:val="none"/>
          <w:lang w:eastAsia="zh-CN"/>
        </w:rPr>
      </w:pPr>
    </w:p>
    <w:p w14:paraId="552E8BB1">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甲方单位：（盖章）                  乙方单位：（盖章）   </w:t>
      </w:r>
    </w:p>
    <w:p w14:paraId="1C33B883">
      <w:pPr>
        <w:spacing w:line="360" w:lineRule="auto"/>
        <w:rPr>
          <w:rFonts w:hint="eastAsia" w:ascii="宋体" w:hAnsi="宋体" w:eastAsia="宋体" w:cs="宋体"/>
          <w:color w:val="auto"/>
          <w:sz w:val="24"/>
          <w:szCs w:val="24"/>
          <w:highlight w:val="none"/>
          <w:lang w:eastAsia="zh-CN"/>
        </w:rPr>
      </w:pPr>
    </w:p>
    <w:p w14:paraId="5807BAC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法定代表人（委托代理人）：          法定代表人（委托代理人）：</w:t>
      </w:r>
    </w:p>
    <w:p w14:paraId="2B201CF0">
      <w:pPr>
        <w:spacing w:line="360" w:lineRule="auto"/>
        <w:rPr>
          <w:rFonts w:hint="eastAsia" w:ascii="宋体" w:hAnsi="宋体" w:eastAsia="宋体" w:cs="宋体"/>
          <w:color w:val="auto"/>
          <w:sz w:val="24"/>
          <w:szCs w:val="24"/>
          <w:highlight w:val="none"/>
        </w:rPr>
      </w:pPr>
    </w:p>
    <w:p w14:paraId="69F3171F">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地址：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 xml:space="preserve">      地址：</w:t>
      </w:r>
    </w:p>
    <w:p w14:paraId="62369F6D">
      <w:pPr>
        <w:spacing w:line="360" w:lineRule="auto"/>
        <w:rPr>
          <w:rFonts w:hint="eastAsia" w:ascii="宋体" w:hAnsi="宋体" w:eastAsia="宋体" w:cs="宋体"/>
          <w:color w:val="auto"/>
          <w:sz w:val="24"/>
          <w:szCs w:val="24"/>
          <w:highlight w:val="none"/>
          <w:lang w:eastAsia="zh-CN"/>
        </w:rPr>
      </w:pPr>
    </w:p>
    <w:p w14:paraId="611E4D28">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电话：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 xml:space="preserve">   电话：</w:t>
      </w:r>
    </w:p>
    <w:p w14:paraId="3E439871">
      <w:pPr>
        <w:spacing w:line="360" w:lineRule="auto"/>
        <w:ind w:firstLine="360" w:firstLineChars="15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w:t>
      </w:r>
    </w:p>
    <w:p w14:paraId="79C24937">
      <w:pPr>
        <w:spacing w:line="360" w:lineRule="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年   月   日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年   月   日</w:t>
      </w:r>
    </w:p>
    <w:p w14:paraId="36951D0E">
      <w:pPr>
        <w:pStyle w:val="8"/>
        <w:rPr>
          <w:rFonts w:hint="eastAsia" w:ascii="宋体" w:hAnsi="宋体" w:eastAsia="宋体" w:cs="宋体"/>
          <w:lang w:val="en-US" w:eastAsia="zh-Hans"/>
        </w:rPr>
      </w:pPr>
    </w:p>
    <w:p w14:paraId="45BB7B0D"/>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A07FAB"/>
    <w:rsid w:val="21A07F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微软雅黑" w:hAnsi="微软雅黑" w:eastAsia="微软雅黑" w:cs="微软雅黑"/>
      <w:sz w:val="31"/>
      <w:szCs w:val="31"/>
      <w:lang w:val="en-US" w:eastAsia="en-US" w:bidi="ar-SA"/>
    </w:rPr>
  </w:style>
  <w:style w:type="paragraph" w:styleId="3">
    <w:name w:val="Body Text Indent"/>
    <w:basedOn w:val="1"/>
    <w:next w:val="4"/>
    <w:qFormat/>
    <w:uiPriority w:val="0"/>
    <w:pPr>
      <w:widowControl/>
      <w:ind w:firstLine="652" w:firstLineChars="233"/>
    </w:pPr>
    <w:rPr>
      <w:rFonts w:ascii="Times New Roman"/>
      <w:sz w:val="28"/>
    </w:rPr>
  </w:style>
  <w:style w:type="paragraph" w:customStyle="1" w:styleId="4">
    <w:name w:val="font5"/>
    <w:basedOn w:val="1"/>
    <w:qFormat/>
    <w:uiPriority w:val="99"/>
    <w:pPr>
      <w:widowControl/>
      <w:spacing w:before="100" w:beforeAutospacing="1" w:after="100" w:afterAutospacing="1"/>
      <w:jc w:val="left"/>
    </w:pPr>
    <w:rPr>
      <w:rFonts w:hint="eastAsia" w:hAnsi="宋体"/>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2025-06-04T05:53:00Z</dcterms:created>
  <dc:creator>pepper</dc:creator>
  <cp:lastModifiedBy>pepper</cp:lastModifiedBy>
  <dcterms:modified xsi:type="dcterms:W3CDTF">2025-06-04T05:54:45Z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60050A425D574A56BF750F3EC132F70E_11</vt:lpwstr>
  </property>
  <property fmtid="{D5CDD505-2E9C-101B-9397-08002B2CF9AE}" pid="4" name="KSOTemplateDocerSaveRecord">
    <vt:lpwstr>eyJoZGlkIjoiMTUxZGQ5MTE1OTdkZGZjOWU0NTU0NmIxMDIwMzQzMWYiLCJ1c2VySWQiOiIzOTg3MDA0MjIifQ==</vt:lpwstr>
  </property>
</Properties>
</file>