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版本号：XBZB-2025-06420250604001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西安市碑林区2025年度非市政开挖恢复工程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XBZB-2025-064</w:t>
      </w:r>
      <w:r>
        <w:br/>
      </w:r>
      <w:r>
        <w:br/>
      </w:r>
      <w:r>
        <w:br/>
      </w:r>
    </w:p>
    <w:p>
      <w:pPr>
        <w:pStyle w:val="null3"/>
        <w:jc w:val="center"/>
        <w:outlineLvl w:val="2"/>
      </w:pPr>
      <w:r>
        <w:rPr>
          <w:rFonts w:ascii="仿宋_GB2312" w:hAnsi="仿宋_GB2312" w:cs="仿宋_GB2312" w:eastAsia="仿宋_GB2312"/>
          <w:sz w:val="28"/>
          <w:b/>
        </w:rPr>
        <w:t>西安市碑林区城市管理局（本级）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西安市碑林区城市管理局（本级）</w:t>
      </w:r>
      <w:r>
        <w:rPr>
          <w:rFonts w:ascii="仿宋_GB2312" w:hAnsi="仿宋_GB2312" w:cs="仿宋_GB2312" w:eastAsia="仿宋_GB2312"/>
        </w:rPr>
        <w:t>委托，拟对</w:t>
      </w:r>
      <w:r>
        <w:rPr>
          <w:rFonts w:ascii="仿宋_GB2312" w:hAnsi="仿宋_GB2312" w:cs="仿宋_GB2312" w:eastAsia="仿宋_GB2312"/>
        </w:rPr>
        <w:t>西安市碑林区2025年度非市政开挖恢复工程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西安市碑林区2025年度非市政开挖恢复工程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西安市碑林区2025年度非市政开挖恢复工程，对碑林区区管道路非市政开挖工程现场进行验收及道路修复。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采购包1（西安市碑林区2025年度非市政开挖恢复工程）：属于专门面向中小企业采购。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1、企业资质：供应商须具备建设部门颁发的市政公用工程施工总承包三级及以上资质；具备有效的安全生产许可证；</w:t>
      </w:r>
    </w:p>
    <w:p>
      <w:pPr>
        <w:pStyle w:val="null3"/>
      </w:pPr>
      <w:r>
        <w:rPr>
          <w:rFonts w:ascii="仿宋_GB2312" w:hAnsi="仿宋_GB2312" w:cs="仿宋_GB2312" w:eastAsia="仿宋_GB2312"/>
        </w:rPr>
        <w:t>2、法定代表人授权书：被授权人参加投标，须提供法定代表人授权书（附法定代表人、被授权人身份证复印件）；法定代表人直接参加投标，须提供法定代表人身份证明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3、项目经理 拟派项目负责人资质和专业要求：项目经理具有市政公用工程专业二级及以上注册建造师证，具备有效的安全生产考核合格证书（建安B证），在本单位注册，且未担任其他在建工程项目的项目经理（提供承诺书）；</w:t>
      </w:r>
    </w:p>
    <w:p>
      <w:pPr>
        <w:pStyle w:val="null3"/>
      </w:pPr>
      <w:r>
        <w:rPr>
          <w:rFonts w:ascii="仿宋_GB2312" w:hAnsi="仿宋_GB2312" w:cs="仿宋_GB2312" w:eastAsia="仿宋_GB2312"/>
        </w:rPr>
        <w:t>4、信用信息：供应商未被中国政府采购网（www.ccgp.gov.cn）列入政府采购严重违法失信行为记录名单，未被“信用中国”网站（www.creditchina.gov.cn）列入失信被执行人和重大税收违法失信主体（以现场查询结果为准）</w:t>
      </w:r>
    </w:p>
    <w:p>
      <w:pPr>
        <w:pStyle w:val="null3"/>
      </w:pPr>
      <w:r>
        <w:rPr>
          <w:rFonts w:ascii="仿宋_GB2312" w:hAnsi="仿宋_GB2312" w:cs="仿宋_GB2312" w:eastAsia="仿宋_GB2312"/>
        </w:rPr>
        <w:t>5、本项目不接受联合体磋商：本项目不接受联合体磋商，按要求上传相应证明文件并进行电子签章。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西安市碑林区城市管理局（本级）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029-83238303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张戈、朱柯伟、王薇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029-85221302/13299036777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代理服务费收费标准：代理服务费用收取对象：成交/成交供应商 代理服务费收费标准：1.参照国家计委2002年颁发的《招标代理服务收费管理暂行办法》(计价格〔2002〕1980号)文件的规定计算。 2.支付方式：成交供应商应在领取成交通知书前，一次性支付本项目采购代理服务费。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西安市碑林区城市管理局（本级）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西安市碑林区城市管理局（本级）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西安市碑林区城市管理局（本级）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《城镇道路养护技术规范》CJJ36-2016 《公路沥青路面养护技术规范》JTJ073.2-2017 《道路施工安全设施设置示例》GB5768-2009 《城市道路养护作业安全设施设置技术规程》DBJ13/T－149－2012。</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联系人：张戈、朱柯伟、王薇</w:t>
      </w:r>
    </w:p>
    <w:p>
      <w:pPr>
        <w:pStyle w:val="null3"/>
      </w:pPr>
      <w:r>
        <w:rPr>
          <w:rFonts w:ascii="仿宋_GB2312" w:hAnsi="仿宋_GB2312" w:cs="仿宋_GB2312" w:eastAsia="仿宋_GB2312"/>
        </w:rPr>
        <w:t>联系电话：029-85221302/13299036777</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3,497,513.58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西安市碑林区2025年度非市政开挖恢复工程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标的名称：西安市碑林区2025年度非市政开挖恢复工程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jc w:val="left"/>
            </w:pPr>
            <w:r>
              <w:rPr>
                <w:rFonts w:ascii="仿宋_GB2312" w:hAnsi="仿宋_GB2312" w:cs="仿宋_GB2312" w:eastAsia="仿宋_GB2312"/>
                <w:sz w:val="21"/>
                <w:color w:val="000000"/>
              </w:rPr>
              <w:t>西安市碑林区</w:t>
            </w:r>
            <w:r>
              <w:rPr>
                <w:rFonts w:ascii="仿宋_GB2312" w:hAnsi="仿宋_GB2312" w:cs="仿宋_GB2312" w:eastAsia="仿宋_GB2312"/>
                <w:sz w:val="21"/>
                <w:color w:val="000000"/>
              </w:rPr>
              <w:t>2025年度非市政开挖恢复工程，对碑林区区管道路非市政开挖工程现场进行验收及道路修复。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二、工程内容</w:t>
            </w:r>
          </w:p>
          <w:p>
            <w:pPr>
              <w:pStyle w:val="null3"/>
              <w:jc w:val="left"/>
            </w:pPr>
            <w:r>
              <w:rPr>
                <w:rFonts w:ascii="仿宋_GB2312" w:hAnsi="仿宋_GB2312" w:cs="仿宋_GB2312" w:eastAsia="仿宋_GB2312"/>
                <w:sz w:val="21"/>
                <w:color w:val="000000"/>
              </w:rPr>
              <w:t>对碑林区区管道路非市政开挖工程现场进行验收及道路修复。</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三、工程量清单和计价依据</w:t>
            </w:r>
          </w:p>
          <w:p>
            <w:pPr>
              <w:pStyle w:val="null3"/>
              <w:jc w:val="both"/>
            </w:pPr>
            <w:r>
              <w:rPr>
                <w:rFonts w:ascii="仿宋_GB2312" w:hAnsi="仿宋_GB2312" w:cs="仿宋_GB2312" w:eastAsia="仿宋_GB2312"/>
                <w:sz w:val="21"/>
              </w:rPr>
              <w:t>1.工程量清单详见附件</w:t>
            </w:r>
          </w:p>
          <w:p>
            <w:pPr>
              <w:pStyle w:val="null3"/>
              <w:jc w:val="left"/>
            </w:pPr>
            <w:r>
              <w:rPr>
                <w:rFonts w:ascii="仿宋_GB2312" w:hAnsi="仿宋_GB2312" w:cs="仿宋_GB2312" w:eastAsia="仿宋_GB2312"/>
                <w:sz w:val="21"/>
                <w:color w:val="000000"/>
              </w:rPr>
              <w:t>2.计价依据根据陕西省市政设施维修养护定额（2012）及其配套文件；执行陕建发〔2018〕2019号；执行陕建价发〔2019〕45号文件规定，材料价格执行同期的《陕西造价管理信息材料信息价》；参照《陕西省市政工程消耗量定额》，报价以给定的工程量清单及现场情况自主编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四、施工要求</w:t>
            </w:r>
          </w:p>
          <w:p>
            <w:pPr>
              <w:pStyle w:val="null3"/>
              <w:spacing w:before="60"/>
              <w:jc w:val="both"/>
            </w:pPr>
            <w:r>
              <w:rPr>
                <w:rFonts w:ascii="仿宋_GB2312" w:hAnsi="仿宋_GB2312" w:cs="仿宋_GB2312" w:eastAsia="仿宋_GB2312"/>
                <w:sz w:val="21"/>
              </w:rPr>
              <w:t>1、办公场所要求：</w:t>
            </w:r>
          </w:p>
          <w:p>
            <w:pPr>
              <w:pStyle w:val="null3"/>
              <w:spacing w:before="60"/>
              <w:jc w:val="both"/>
            </w:pPr>
            <w:r>
              <w:rPr>
                <w:rFonts w:ascii="仿宋_GB2312" w:hAnsi="仿宋_GB2312" w:cs="仿宋_GB2312" w:eastAsia="仿宋_GB2312"/>
                <w:sz w:val="21"/>
              </w:rPr>
              <w:t>为保证服务的质量及便捷性，乙方应在碑林区辖区设置固定项目管理部，必须配备满足项目开展的办公室、物资材料仓储室、机械设备停放场以及相应的生活区。</w:t>
            </w:r>
          </w:p>
          <w:p>
            <w:pPr>
              <w:pStyle w:val="null3"/>
              <w:spacing w:before="60"/>
              <w:jc w:val="both"/>
            </w:pPr>
            <w:r>
              <w:rPr>
                <w:rFonts w:ascii="仿宋_GB2312" w:hAnsi="仿宋_GB2312" w:cs="仿宋_GB2312" w:eastAsia="仿宋_GB2312"/>
                <w:sz w:val="21"/>
              </w:rPr>
              <w:t>2、项目团队成员配备要求：</w:t>
            </w:r>
          </w:p>
          <w:p>
            <w:pPr>
              <w:pStyle w:val="null3"/>
              <w:spacing w:before="60"/>
              <w:jc w:val="both"/>
            </w:pPr>
            <w:r>
              <w:rPr>
                <w:rFonts w:ascii="仿宋_GB2312" w:hAnsi="仿宋_GB2312" w:cs="仿宋_GB2312" w:eastAsia="仿宋_GB2312"/>
                <w:sz w:val="21"/>
              </w:rPr>
              <w:t>乙方应成立项目管理组织机构，要求项目组成员结构合理、分工明确，并保证项目组成员具有相应资格或职称证书，持证上岗。项目组人员必须包含项目负责人、技术负责人、技术管理人员、安全专职人员</w:t>
            </w:r>
            <w:r>
              <w:rPr>
                <w:rFonts w:ascii="仿宋_GB2312" w:hAnsi="仿宋_GB2312" w:cs="仿宋_GB2312" w:eastAsia="仿宋_GB2312"/>
                <w:sz w:val="21"/>
              </w:rPr>
              <w:t>(2人以上)、质检人员、资料员、专业的维修人员。项目所需的机械设备及工具都为乙方自备，甲方不提供任何机械设备及工具。</w:t>
            </w:r>
          </w:p>
          <w:p>
            <w:pPr>
              <w:pStyle w:val="null3"/>
              <w:spacing w:before="60"/>
              <w:jc w:val="both"/>
            </w:pPr>
            <w:r>
              <w:rPr>
                <w:rFonts w:ascii="仿宋_GB2312" w:hAnsi="仿宋_GB2312" w:cs="仿宋_GB2312" w:eastAsia="仿宋_GB2312"/>
                <w:sz w:val="21"/>
              </w:rPr>
              <w:t>3.非市政开挖修复内容和要求：</w:t>
            </w:r>
          </w:p>
          <w:p>
            <w:pPr>
              <w:pStyle w:val="null3"/>
              <w:spacing w:before="60"/>
              <w:jc w:val="both"/>
            </w:pPr>
            <w:r>
              <w:rPr>
                <w:rFonts w:ascii="仿宋_GB2312" w:hAnsi="仿宋_GB2312" w:cs="仿宋_GB2312" w:eastAsia="仿宋_GB2312"/>
                <w:sz w:val="21"/>
              </w:rPr>
              <w:t>乙方根据《审批表》的面积核实产权单位移交的施工区域。</w:t>
            </w:r>
          </w:p>
          <w:p>
            <w:pPr>
              <w:pStyle w:val="null3"/>
              <w:spacing w:before="60"/>
              <w:jc w:val="both"/>
            </w:pPr>
            <w:r>
              <w:rPr>
                <w:rFonts w:ascii="仿宋_GB2312" w:hAnsi="仿宋_GB2312" w:cs="仿宋_GB2312" w:eastAsia="仿宋_GB2312"/>
                <w:sz w:val="21"/>
              </w:rPr>
              <w:t>乙方对产权单位施工的路面灰土（含灰土）层以下的回填质量进行现场抽查，验证外观质量，核查技术资料。</w:t>
            </w:r>
          </w:p>
          <w:p>
            <w:pPr>
              <w:pStyle w:val="null3"/>
              <w:spacing w:before="60"/>
              <w:jc w:val="both"/>
            </w:pPr>
            <w:r>
              <w:rPr>
                <w:rFonts w:ascii="仿宋_GB2312" w:hAnsi="仿宋_GB2312" w:cs="仿宋_GB2312" w:eastAsia="仿宋_GB2312"/>
                <w:sz w:val="21"/>
              </w:rPr>
              <w:t>乙方对二灰石层进行压实度检测合格后方可进行沥青混凝土面层的摊铺。</w:t>
            </w:r>
          </w:p>
          <w:p>
            <w:pPr>
              <w:pStyle w:val="null3"/>
              <w:spacing w:before="60"/>
              <w:jc w:val="both"/>
            </w:pPr>
            <w:r>
              <w:rPr>
                <w:rFonts w:ascii="仿宋_GB2312" w:hAnsi="仿宋_GB2312" w:cs="仿宋_GB2312" w:eastAsia="仿宋_GB2312"/>
                <w:sz w:val="21"/>
              </w:rPr>
              <w:t>乙方按要求进行安全文明施工，加强安全教育、安全管理，在施工期间因乙方责任发生的安全事故均由乙方自行解决处理，甲方概不负责。</w:t>
            </w:r>
          </w:p>
          <w:p>
            <w:pPr>
              <w:pStyle w:val="null3"/>
              <w:spacing w:before="60"/>
              <w:jc w:val="both"/>
            </w:pPr>
            <w:r>
              <w:rPr>
                <w:rFonts w:ascii="仿宋_GB2312" w:hAnsi="仿宋_GB2312" w:cs="仿宋_GB2312" w:eastAsia="仿宋_GB2312"/>
                <w:sz w:val="21"/>
              </w:rPr>
              <w:t>因乙方原因造成的工期延误和损失，工期不顺延，并承担甲方的全部损失。不可抗力因素，工期应顺延。</w:t>
            </w:r>
          </w:p>
          <w:p>
            <w:pPr>
              <w:pStyle w:val="null3"/>
              <w:spacing w:before="60"/>
              <w:jc w:val="both"/>
            </w:pPr>
            <w:r>
              <w:rPr>
                <w:rFonts w:ascii="仿宋_GB2312" w:hAnsi="仿宋_GB2312" w:cs="仿宋_GB2312" w:eastAsia="仿宋_GB2312"/>
                <w:sz w:val="21"/>
              </w:rPr>
              <w:t>乙方验收并接收产权单位移交的施工区域后，因乙方修复不及时或修复质量不合格导致的第三方损害，产生的一切责任及后果由乙方承担。</w:t>
            </w:r>
          </w:p>
          <w:p>
            <w:pPr>
              <w:pStyle w:val="null3"/>
              <w:spacing w:before="60"/>
              <w:jc w:val="both"/>
            </w:pPr>
            <w:r>
              <w:rPr>
                <w:rFonts w:ascii="仿宋_GB2312" w:hAnsi="仿宋_GB2312" w:cs="仿宋_GB2312" w:eastAsia="仿宋_GB2312"/>
                <w:sz w:val="21"/>
              </w:rPr>
              <w:t>沥青路面恢复（按道路原结构）、二灰石基层、沥青混凝土面层、人行道、底基层</w:t>
            </w:r>
            <w:r>
              <w:rPr>
                <w:rFonts w:ascii="仿宋_GB2312" w:hAnsi="仿宋_GB2312" w:cs="仿宋_GB2312" w:eastAsia="仿宋_GB2312"/>
                <w:sz w:val="21"/>
              </w:rPr>
              <w:t>15cm 1:6灰土、C20细粒式混凝土底层厚5cm，M10砂浆厚2cm、人行道面砖、道牙等。</w:t>
            </w:r>
          </w:p>
          <w:p>
            <w:pPr>
              <w:pStyle w:val="null3"/>
              <w:spacing w:before="60"/>
              <w:jc w:val="both"/>
            </w:pPr>
            <w:r>
              <w:rPr>
                <w:rFonts w:ascii="仿宋_GB2312" w:hAnsi="仿宋_GB2312" w:cs="仿宋_GB2312" w:eastAsia="仿宋_GB2312"/>
                <w:sz w:val="21"/>
              </w:rPr>
              <w:t>4.安全文明施工要求：</w:t>
            </w:r>
          </w:p>
          <w:p>
            <w:pPr>
              <w:pStyle w:val="null3"/>
              <w:spacing w:before="60"/>
              <w:jc w:val="both"/>
            </w:pPr>
            <w:r>
              <w:rPr>
                <w:rFonts w:ascii="仿宋_GB2312" w:hAnsi="仿宋_GB2312" w:cs="仿宋_GB2312" w:eastAsia="仿宋_GB2312"/>
                <w:sz w:val="21"/>
              </w:rPr>
              <w:t>必须作好施工现场组织管理、文明施工，维护现场秩序，做到工完场清、道路畅通。根据施工现场采取不同的围挡方式进行围挡作业，对短时间内或小面积（</w:t>
            </w:r>
            <w:r>
              <w:rPr>
                <w:rFonts w:ascii="仿宋_GB2312" w:hAnsi="仿宋_GB2312" w:cs="仿宋_GB2312" w:eastAsia="仿宋_GB2312"/>
                <w:sz w:val="21"/>
              </w:rPr>
              <w:t>1M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pPr>
              <w:pStyle w:val="null3"/>
              <w:jc w:val="left"/>
            </w:pPr>
            <w:r>
              <w:rPr>
                <w:rFonts w:ascii="仿宋_GB2312" w:hAnsi="仿宋_GB2312" w:cs="仿宋_GB2312" w:eastAsia="仿宋_GB2312"/>
                <w:sz w:val="21"/>
                <w:color w:val="000000"/>
              </w:rPr>
              <w:t>乙方对自有的施工人员人身及财产安全负责，对自己的人和机械设备购买保险及相应的劳保用具。维修作业人员需穿有印制</w:t>
            </w:r>
            <w:r>
              <w:rPr>
                <w:rFonts w:ascii="仿宋_GB2312" w:hAnsi="仿宋_GB2312" w:cs="仿宋_GB2312" w:eastAsia="仿宋_GB2312"/>
                <w:sz w:val="21"/>
                <w:color w:val="000000"/>
              </w:rPr>
              <w:t>“市政维护”标识字样统一样式的橘色醒目制服，并根据实际情况穿戴反光服、高温鞋、安全帽等安全防护用品。巡查及养护人员均应严格按照相关技术规范进行施工，做到安全施工且不影响交通。</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五、商务要求</w:t>
            </w:r>
          </w:p>
          <w:p>
            <w:pPr>
              <w:pStyle w:val="null3"/>
              <w:jc w:val="both"/>
            </w:pPr>
            <w:r>
              <w:rPr>
                <w:rFonts w:ascii="仿宋_GB2312" w:hAnsi="仿宋_GB2312" w:cs="仿宋_GB2312" w:eastAsia="仿宋_GB2312"/>
                <w:sz w:val="21"/>
              </w:rPr>
              <w:t>1.工程地点：西安市碑林区</w:t>
            </w:r>
          </w:p>
          <w:p>
            <w:pPr>
              <w:pStyle w:val="null3"/>
              <w:jc w:val="both"/>
            </w:pPr>
            <w:r>
              <w:rPr>
                <w:rFonts w:ascii="仿宋_GB2312" w:hAnsi="仿宋_GB2312" w:cs="仿宋_GB2312" w:eastAsia="仿宋_GB2312"/>
                <w:sz w:val="21"/>
              </w:rPr>
              <w:t>2.工期：自合同签订之日起365日历天</w:t>
            </w:r>
          </w:p>
          <w:p>
            <w:pPr>
              <w:pStyle w:val="null3"/>
              <w:jc w:val="both"/>
            </w:pPr>
            <w:r>
              <w:rPr>
                <w:rFonts w:ascii="仿宋_GB2312" w:hAnsi="仿宋_GB2312" w:cs="仿宋_GB2312" w:eastAsia="仿宋_GB2312"/>
                <w:sz w:val="21"/>
              </w:rPr>
              <w:t>3.缺陷责任期：本工程缺陷责任期为12个月，缺陷责任期自工程通过竣工验收之日计算。</w:t>
            </w:r>
          </w:p>
          <w:p>
            <w:pPr>
              <w:pStyle w:val="null3"/>
              <w:jc w:val="both"/>
            </w:pPr>
            <w:r>
              <w:rPr>
                <w:rFonts w:ascii="仿宋_GB2312" w:hAnsi="仿宋_GB2312" w:cs="仿宋_GB2312" w:eastAsia="仿宋_GB2312"/>
                <w:sz w:val="21"/>
              </w:rPr>
              <w:t>4.质量保修期：本工程质量保修期为一年。</w:t>
            </w:r>
          </w:p>
          <w:p>
            <w:pPr>
              <w:pStyle w:val="null3"/>
              <w:jc w:val="both"/>
            </w:pPr>
            <w:r>
              <w:rPr>
                <w:rFonts w:ascii="仿宋_GB2312" w:hAnsi="仿宋_GB2312" w:cs="仿宋_GB2312" w:eastAsia="仿宋_GB2312"/>
                <w:sz w:val="21"/>
              </w:rPr>
              <w:t>5.质量验收标准：符合国家现行有关施工质量验收规范“合格”要求。</w:t>
            </w:r>
          </w:p>
          <w:p>
            <w:pPr>
              <w:pStyle w:val="null3"/>
              <w:jc w:val="both"/>
            </w:pPr>
            <w:r>
              <w:rPr>
                <w:rFonts w:ascii="仿宋_GB2312" w:hAnsi="仿宋_GB2312" w:cs="仿宋_GB2312" w:eastAsia="仿宋_GB2312"/>
                <w:sz w:val="21"/>
              </w:rPr>
              <w:t>6.款项结算：</w:t>
            </w:r>
          </w:p>
          <w:p>
            <w:pPr>
              <w:pStyle w:val="null3"/>
              <w:jc w:val="both"/>
            </w:pPr>
            <w:r>
              <w:rPr>
                <w:rFonts w:ascii="仿宋_GB2312" w:hAnsi="仿宋_GB2312" w:cs="仿宋_GB2312" w:eastAsia="仿宋_GB2312"/>
                <w:sz w:val="21"/>
              </w:rPr>
              <w:t>①合同签订后10日内，支付合同总价款的40%作为预付款；</w:t>
            </w:r>
          </w:p>
          <w:p>
            <w:pPr>
              <w:pStyle w:val="null3"/>
              <w:jc w:val="both"/>
            </w:pPr>
            <w:r>
              <w:rPr>
                <w:rFonts w:ascii="仿宋_GB2312" w:hAnsi="仿宋_GB2312" w:cs="仿宋_GB2312" w:eastAsia="仿宋_GB2312"/>
                <w:sz w:val="21"/>
              </w:rPr>
              <w:t>②结算审计完成、资金到账后10日内，付至审定金额的100%。</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①每月初上报上月完成情况，经监理及甲方确认完成工程量。合同到期后由政府审计部门或甲方委托的第三方审计对全部工程量进行审计得到结算评审价（审定金额），成果交付验收合格后,采购人根据最终决算价款支付合同尾款(以审计结算评审价为准)。</w:t>
            </w:r>
          </w:p>
          <w:p>
            <w:pPr>
              <w:pStyle w:val="null3"/>
              <w:jc w:val="left"/>
            </w:pPr>
            <w:r>
              <w:rPr>
                <w:rFonts w:ascii="仿宋_GB2312" w:hAnsi="仿宋_GB2312" w:cs="仿宋_GB2312" w:eastAsia="仿宋_GB2312"/>
                <w:sz w:val="21"/>
                <w:color w:val="000000"/>
              </w:rPr>
              <w:t>②在付款前，供应商应当先开具符合采购人要求的等额发票给采购人（附详细清单）。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六、质量保证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供应商必须依据磋商要求，按照有关规范施工，确保工程优良，一次性验收交接。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供应商必须向采购人及时提供合格证及材料检验单。在征得有关方面认可后，方可进行施工，并做好相应的检验环节。</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质量保证期为各供应商承诺的期限。施工单位的售后服务要完善、可靠、及时，并派遣相关技术人员配合采购人检查、维修。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成交供应商在领取成交通知书时需提供纸质版响应文件贰份、电子版U盘壹份。纸质版响应文件应与政府采购电子化交易平台中上传的内容保持一致。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可提供2023年或2024年度经审计的财务报告（包含审计报告和审计报告中所涉及的财务报表和报表附注）；②可提供2023或2024年度供应商完整的全套财务报表（应当包括资产负债表、利润表、现金流量表、所有者权益变动表、附注）；③可提供截至响应文件递交截止日前一年内银行出具的资信证明；④供应商注册时间截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供应商须具备建设部门颁发的市政公用工程施工总承包三级及以上资质；具备有效的安全生产许可证；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法定代表人身份证明.docx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 拟派项目负责人资质和专业要求</w:t>
            </w:r>
          </w:p>
        </w:tc>
        <w:tc>
          <w:tcPr>
            <w:tcW w:type="dxa" w:w="3322"/>
          </w:tcPr>
          <w:p>
            <w:pPr>
              <w:pStyle w:val="null3"/>
            </w:pPr>
            <w:r>
              <w:rPr>
                <w:rFonts w:ascii="仿宋_GB2312" w:hAnsi="仿宋_GB2312" w:cs="仿宋_GB2312" w:eastAsia="仿宋_GB2312"/>
              </w:rPr>
              <w:t>项目经理具有市政公用工程专业二级及以上注册建造师证，具备有效的安全生产考核合格证书（建安B证），在本单位注册，且未担任其他在建工程项目的项目经理（提供承诺书）；</w:t>
            </w:r>
          </w:p>
        </w:tc>
        <w:tc>
          <w:tcPr>
            <w:tcW w:type="dxa" w:w="1661"/>
          </w:tcPr>
          <w:p>
            <w:pPr>
              <w:pStyle w:val="null3"/>
            </w:pPr>
            <w:r>
              <w:rPr>
                <w:rFonts w:ascii="仿宋_GB2312" w:hAnsi="仿宋_GB2312" w:cs="仿宋_GB2312" w:eastAsia="仿宋_GB2312"/>
              </w:rPr>
              <w:t>项目管理机构组成表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供应商未被中国政府采购网（www.ccgp.gov.cn）列入政府采购严重违法失信行为记录名单，未被“信用中国”网站（www.creditchina.gov.cn）列入失信被执行人和重大税收违法失信主体（以现场查询结果为准）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本项目不接受联合体磋商，按要求上传相应证明文件并进行电子签章。</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投标报价表.docx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已标价工程量清单 投标报价表.docx 法定代表人身份证明.docx 中小企业声明函 供应商承诺书.docx 响应文件封面 技术响应与说明.docx 非联合体声明.docx 项目管理机构组成表 残疾人福利性单位声明函 报价函 标的清单 其他资料.docx 供应商资格证明文件.docx 响应函 主要人员简历表 监狱企业的证明文件 商务响应与说明.docx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投标报价表.docx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技术响应与说明.docx 商务响应与说明.docx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不存在法律、法规和采购文件规定的其他无效磋商情形</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A.方案详细完善、合理可行、针对性强，得8分； B.方案较详细，基本合理可行、有针对性，得6分； C.方案较详细、基本合理可行，针对性欠缺，得4分； D.方案简单，可行性及针对性欠缺，得2分；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A.安全作业方案及安全配套措施完善、合理可行、针对性强，得6分； B.安全作业方案及安全配套措施基本合理可行，针对性欠缺，得4分； C.安全作业方案及安全配套措施简单，可行性及针对性欠缺，得2分。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A.措施详细完善、合理可行、针对性强，得6分； B.措施较详细、基本合理可行，针对性欠缺，得4分； C.措施简单，可行性及针对性欠缺，得2分；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针对本项目全部工程内容提供具体的质量保修承诺及保障措施、工期承诺及保障措施、后续服务方案。 以上3部分方案内容全面详细、阐述条理清晰详尽、符合本项目采购需求，能有效保障本项目实施的得12分，每有一项方案缺失扣4分，每一项方案内容存在缺陷扣2分。 说明：缺陷是指①内容不合理、虽有内容但内容稀疏、不完善、内容表述前后不一致；②套用其他项目方案或与项目需求不匹配及其他不利于项目实施的等任意一种情形。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针对本项目的项目组织管理机构配备。 A.人员组织架构完整，岗位设置合理、明确，技术人员专业性、经验性强，得6分； B.人员组织架构有待优化，岗位设置基本合理，技术人员专业性、经验性欠缺，得4分； C.人员组织架构不完整，岗位设置紧张，技术人员专业性、经验性欠缺，得2分；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根据供应商提供的施工机械、设备和材料投入计划等进行评审。 A.主要机械配置齐全，设备型号、参数及用途清晰，针对性强，材料投入合理，得6分； B. 主要机械配置紧张，设备型号、参数及用途基本清晰，缺乏针对性，材料投入基本合理，得4分； C. 主要机械配置紧张，设备型号、参数及用途不清晰，材料投入有欠缺，得2分；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A.劳动力安排详细、合理、充分，组织有序，分工明确，得6分； B.劳动力安排合理、充分，有组织和分工，得4分； C.劳动力安排笼统，得2分；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 A.应急处理方案全面、合理、规范、可实施性强，得6分； B.应急处理方案合理，具有一定实施性，得4分； C.应急处理方案基本合理，可实施性欠缺，得2分；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A.描述详细、完整可行、有针对性，得4分； B.描述简单、缺乏针对性，得2分； 其他或未提供得0分。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技术响应与说明.docx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供应商2022年1月1日至截标时间前类似项目业绩；每提供1份计2分，最高得10分。 业绩证明（时间以合同签订时间为准，须在响应文件中附合同协议书扫描件并加盖单位公章，证明材料不符合要求或未提供的不得分）弄虚作假者，取消其成交资格。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详见附件：商务响应与说明.docx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详见附件：技术响应与说明.docx</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