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9B083">
      <w:pPr>
        <w:widowControl w:val="0"/>
        <w:tabs>
          <w:tab w:val="center" w:pos="4153"/>
          <w:tab w:val="right" w:pos="8306"/>
        </w:tabs>
        <w:snapToGrid w:val="0"/>
        <w:spacing w:beforeLines="10" w:afterLines="10" w:line="360" w:lineRule="auto"/>
        <w:jc w:val="both"/>
        <w:rPr>
          <w:rFonts w:hint="eastAsia" w:ascii="宋体" w:hAnsi="宋体" w:eastAsia="宋体" w:cs="宋体"/>
          <w:b/>
          <w:bCs/>
          <w:sz w:val="48"/>
          <w:szCs w:val="48"/>
          <w:lang w:val="en-US" w:eastAsia="zh-CN"/>
        </w:rPr>
      </w:pPr>
    </w:p>
    <w:p w14:paraId="61B54A58">
      <w:pPr>
        <w:widowControl w:val="0"/>
        <w:tabs>
          <w:tab w:val="center" w:pos="4153"/>
          <w:tab w:val="right" w:pos="8306"/>
        </w:tabs>
        <w:snapToGrid w:val="0"/>
        <w:spacing w:beforeLines="10" w:afterLines="10" w:line="360" w:lineRule="auto"/>
        <w:jc w:val="center"/>
        <w:rPr>
          <w:rFonts w:hint="eastAsia" w:ascii="宋体" w:hAnsi="宋体" w:eastAsia="宋体" w:cs="宋体"/>
          <w:color w:val="auto"/>
          <w:kern w:val="0"/>
          <w:sz w:val="11"/>
          <w:szCs w:val="13"/>
          <w:highlight w:val="none"/>
          <w:lang w:val="en-US" w:eastAsia="zh-CN" w:bidi="ar-SA"/>
        </w:rPr>
      </w:pPr>
      <w:r>
        <w:rPr>
          <w:rFonts w:hint="eastAsia" w:ascii="宋体" w:hAnsi="宋体" w:eastAsia="宋体" w:cs="宋体"/>
          <w:b/>
          <w:bCs/>
          <w:sz w:val="48"/>
          <w:szCs w:val="48"/>
          <w:lang w:val="en-US" w:eastAsia="zh-CN"/>
        </w:rPr>
        <w:t>机关</w:t>
      </w:r>
      <w:r>
        <w:rPr>
          <w:rFonts w:hint="eastAsia" w:ascii="宋体" w:hAnsi="宋体" w:eastAsia="宋体" w:cs="宋体"/>
          <w:b/>
          <w:bCs/>
          <w:sz w:val="48"/>
          <w:szCs w:val="48"/>
        </w:rPr>
        <w:t>食堂食材采购</w:t>
      </w:r>
      <w:r>
        <w:rPr>
          <w:rFonts w:hint="eastAsia" w:ascii="宋体" w:hAnsi="宋体" w:cs="宋体"/>
          <w:b/>
          <w:bCs/>
          <w:sz w:val="48"/>
          <w:szCs w:val="48"/>
          <w:lang w:eastAsia="zh-CN"/>
        </w:rPr>
        <w:t>（</w:t>
      </w:r>
      <w:r>
        <w:rPr>
          <w:rFonts w:hint="eastAsia" w:ascii="宋体" w:hAnsi="宋体" w:cs="宋体"/>
          <w:b/>
          <w:bCs/>
          <w:sz w:val="48"/>
          <w:szCs w:val="48"/>
          <w:lang w:val="en-US" w:eastAsia="zh-CN"/>
        </w:rPr>
        <w:t>二次</w:t>
      </w:r>
      <w:r>
        <w:rPr>
          <w:rFonts w:hint="eastAsia" w:ascii="宋体" w:hAnsi="宋体" w:cs="宋体"/>
          <w:b/>
          <w:bCs/>
          <w:sz w:val="48"/>
          <w:szCs w:val="48"/>
          <w:lang w:eastAsia="zh-CN"/>
        </w:rPr>
        <w:t>）</w:t>
      </w:r>
    </w:p>
    <w:p w14:paraId="07904DC9">
      <w:pPr>
        <w:widowControl w:val="0"/>
        <w:kinsoku/>
        <w:autoSpaceDE/>
        <w:autoSpaceDN/>
        <w:adjustRightInd/>
        <w:snapToGrid/>
        <w:spacing w:before="120" w:beforeLines="10" w:afterLines="10" w:line="360" w:lineRule="auto"/>
        <w:jc w:val="center"/>
        <w:textAlignment w:val="auto"/>
        <w:outlineLvl w:val="1"/>
        <w:rPr>
          <w:rFonts w:hint="eastAsia" w:ascii="宋体" w:hAnsi="宋体" w:eastAsia="宋体" w:cs="宋体"/>
          <w:b/>
          <w:bCs/>
          <w:snapToGrid/>
          <w:color w:val="auto"/>
          <w:kern w:val="2"/>
          <w:sz w:val="44"/>
          <w:szCs w:val="44"/>
          <w:highlight w:val="none"/>
          <w:lang w:eastAsia="zh-CN"/>
        </w:rPr>
      </w:pPr>
      <w:r>
        <w:rPr>
          <w:rFonts w:hint="eastAsia" w:ascii="宋体" w:hAnsi="宋体" w:eastAsia="宋体" w:cs="宋体"/>
          <w:b/>
          <w:bCs/>
          <w:sz w:val="48"/>
          <w:szCs w:val="48"/>
          <w:lang w:eastAsia="zh-CN"/>
        </w:rPr>
        <w:t>合</w:t>
      </w:r>
      <w:r>
        <w:rPr>
          <w:rFonts w:hint="eastAsia" w:ascii="宋体" w:hAnsi="宋体" w:eastAsia="宋体" w:cs="宋体"/>
          <w:b/>
          <w:bCs/>
          <w:sz w:val="48"/>
          <w:szCs w:val="48"/>
          <w:lang w:val="en-US" w:eastAsia="zh-CN"/>
        </w:rPr>
        <w:t xml:space="preserve"> </w:t>
      </w:r>
      <w:r>
        <w:rPr>
          <w:rFonts w:hint="eastAsia" w:ascii="宋体" w:hAnsi="宋体" w:eastAsia="宋体" w:cs="宋体"/>
          <w:b/>
          <w:bCs/>
          <w:sz w:val="48"/>
          <w:szCs w:val="48"/>
          <w:lang w:eastAsia="zh-CN"/>
        </w:rPr>
        <w:t>同</w:t>
      </w:r>
    </w:p>
    <w:p w14:paraId="29D0B0D3">
      <w:pPr>
        <w:widowControl w:val="0"/>
        <w:spacing w:beforeLines="10" w:afterLines="10" w:line="360" w:lineRule="auto"/>
        <w:jc w:val="both"/>
        <w:rPr>
          <w:rFonts w:hint="eastAsia" w:ascii="宋体" w:hAnsi="宋体" w:eastAsia="宋体" w:cs="宋体"/>
          <w:color w:val="auto"/>
          <w:kern w:val="2"/>
          <w:sz w:val="24"/>
          <w:highlight w:val="none"/>
          <w:lang w:val="en-US" w:eastAsia="zh-CN" w:bidi="ar-SA"/>
        </w:rPr>
      </w:pPr>
    </w:p>
    <w:p w14:paraId="766134D1">
      <w:pPr>
        <w:widowControl w:val="0"/>
        <w:spacing w:before="120" w:beforeLines="10" w:afterLines="10" w:line="360" w:lineRule="auto"/>
        <w:ind w:firstLine="560" w:firstLineChars="200"/>
        <w:jc w:val="both"/>
        <w:rPr>
          <w:rFonts w:hint="eastAsia" w:ascii="宋体" w:hAnsi="宋体" w:eastAsia="宋体" w:cs="宋体"/>
          <w:color w:val="auto"/>
          <w:kern w:val="2"/>
          <w:sz w:val="28"/>
          <w:szCs w:val="28"/>
          <w:highlight w:val="none"/>
          <w:lang w:val="en-US" w:eastAsia="zh-CN" w:bidi="ar-SA"/>
        </w:rPr>
      </w:pPr>
    </w:p>
    <w:p w14:paraId="6113B301">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59A70E7E">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19F35A5E">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788240B4">
      <w:pPr>
        <w:widowControl w:val="0"/>
        <w:spacing w:beforeLines="0" w:afterLines="0" w:line="240" w:lineRule="auto"/>
        <w:jc w:val="both"/>
        <w:rPr>
          <w:rFonts w:hint="eastAsia" w:ascii="宋体" w:hAnsi="宋体" w:eastAsia="宋体" w:cs="宋体"/>
          <w:b/>
          <w:bCs/>
          <w:color w:val="auto"/>
          <w:kern w:val="0"/>
          <w:sz w:val="24"/>
          <w:szCs w:val="28"/>
          <w:highlight w:val="none"/>
          <w:lang w:val="en-US" w:eastAsia="zh-CN" w:bidi="ar-SA"/>
        </w:rPr>
      </w:pPr>
    </w:p>
    <w:p w14:paraId="70BE2799">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38E3A418">
      <w:pPr>
        <w:widowControl w:val="0"/>
        <w:spacing w:beforeLines="10" w:afterLines="10" w:line="360" w:lineRule="auto"/>
        <w:jc w:val="both"/>
        <w:rPr>
          <w:rFonts w:hint="eastAsia" w:ascii="宋体" w:hAnsi="宋体" w:eastAsia="宋体" w:cs="宋体"/>
          <w:b/>
          <w:bCs/>
          <w:color w:val="auto"/>
          <w:kern w:val="2"/>
          <w:sz w:val="28"/>
          <w:szCs w:val="28"/>
          <w:highlight w:val="none"/>
          <w:lang w:val="en-US" w:eastAsia="zh-CN" w:bidi="ar-SA"/>
        </w:rPr>
      </w:pPr>
    </w:p>
    <w:p w14:paraId="587C47E4">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2E727225">
      <w:pPr>
        <w:widowControl w:val="0"/>
        <w:tabs>
          <w:tab w:val="center" w:pos="4153"/>
          <w:tab w:val="right" w:pos="8306"/>
        </w:tabs>
        <w:snapToGrid w:val="0"/>
        <w:spacing w:beforeLines="10" w:afterLines="10" w:line="360" w:lineRule="auto"/>
        <w:jc w:val="left"/>
        <w:rPr>
          <w:rFonts w:hint="eastAsia" w:ascii="宋体" w:hAnsi="宋体" w:eastAsia="宋体" w:cs="宋体"/>
          <w:color w:val="auto"/>
          <w:kern w:val="0"/>
          <w:sz w:val="18"/>
          <w:highlight w:val="none"/>
          <w:lang w:val="en-US" w:eastAsia="zh-CN" w:bidi="ar-SA"/>
        </w:rPr>
      </w:pPr>
    </w:p>
    <w:p w14:paraId="6BE24A80">
      <w:pPr>
        <w:widowControl w:val="0"/>
        <w:kinsoku/>
        <w:autoSpaceDE/>
        <w:autoSpaceDN/>
        <w:adjustRightInd/>
        <w:snapToGrid/>
        <w:spacing w:beforeLines="10" w:afterLines="10" w:line="360" w:lineRule="auto"/>
        <w:jc w:val="both"/>
        <w:textAlignment w:val="auto"/>
        <w:rPr>
          <w:rFonts w:hint="eastAsia" w:ascii="宋体" w:hAnsi="宋体" w:eastAsia="宋体" w:cs="宋体"/>
          <w:snapToGrid/>
          <w:color w:val="auto"/>
          <w:kern w:val="2"/>
          <w:sz w:val="24"/>
          <w:szCs w:val="20"/>
          <w:highlight w:val="none"/>
          <w:lang w:eastAsia="zh-CN"/>
        </w:rPr>
      </w:pPr>
    </w:p>
    <w:p w14:paraId="0DF4B396">
      <w:pPr>
        <w:widowControl w:val="0"/>
        <w:spacing w:beforeLines="0" w:afterLines="0" w:line="240" w:lineRule="auto"/>
        <w:jc w:val="both"/>
        <w:rPr>
          <w:rFonts w:hint="eastAsia" w:ascii="宋体" w:hAnsi="宋体" w:eastAsia="宋体" w:cs="宋体"/>
          <w:color w:val="auto"/>
          <w:kern w:val="0"/>
          <w:sz w:val="24"/>
          <w:highlight w:val="none"/>
          <w:lang w:val="en-US" w:eastAsia="zh-CN" w:bidi="ar-SA"/>
        </w:rPr>
      </w:pPr>
    </w:p>
    <w:p w14:paraId="0F6D1B86">
      <w:pPr>
        <w:widowControl w:val="0"/>
        <w:kinsoku/>
        <w:autoSpaceDE w:val="0"/>
        <w:autoSpaceDN w:val="0"/>
        <w:adjustRightInd w:val="0"/>
        <w:snapToGrid/>
        <w:spacing w:beforeLines="10" w:afterLines="10" w:line="360" w:lineRule="auto"/>
        <w:ind w:firstLine="1205" w:firstLineChars="500"/>
        <w:jc w:val="left"/>
        <w:textAlignment w:val="auto"/>
        <w:rPr>
          <w:rFonts w:hint="eastAsia" w:ascii="宋体" w:hAnsi="宋体" w:eastAsia="宋体" w:cs="宋体"/>
          <w:b/>
          <w:snapToGrid/>
          <w:color w:val="auto"/>
          <w:kern w:val="0"/>
          <w:sz w:val="24"/>
          <w:szCs w:val="24"/>
          <w:highlight w:val="none"/>
          <w:u w:val="single"/>
          <w:lang w:eastAsia="zh-CN"/>
        </w:rPr>
      </w:pPr>
      <w:bookmarkStart w:id="0" w:name="_Hlk85534092"/>
      <w:r>
        <w:rPr>
          <w:rFonts w:hint="eastAsia" w:ascii="宋体" w:hAnsi="宋体" w:eastAsia="宋体" w:cs="宋体"/>
          <w:b/>
          <w:snapToGrid/>
          <w:color w:val="auto"/>
          <w:kern w:val="0"/>
          <w:sz w:val="24"/>
          <w:szCs w:val="24"/>
          <w:highlight w:val="none"/>
          <w:lang w:val="en-US" w:eastAsia="zh-CN"/>
        </w:rPr>
        <w:t>采   购   人</w:t>
      </w:r>
      <w:r>
        <w:rPr>
          <w:rFonts w:hint="eastAsia" w:ascii="宋体" w:hAnsi="宋体" w:eastAsia="宋体" w:cs="宋体"/>
          <w:b/>
          <w:snapToGrid/>
          <w:color w:val="auto"/>
          <w:kern w:val="0"/>
          <w:sz w:val="24"/>
          <w:szCs w:val="24"/>
          <w:highlight w:val="none"/>
          <w:lang w:eastAsia="zh-CN"/>
        </w:rPr>
        <w:t>：</w:t>
      </w:r>
      <w:r>
        <w:rPr>
          <w:rFonts w:hint="eastAsia" w:ascii="宋体" w:hAnsi="宋体" w:eastAsia="宋体" w:cs="宋体"/>
          <w:b/>
          <w:snapToGrid/>
          <w:color w:val="auto"/>
          <w:kern w:val="0"/>
          <w:sz w:val="24"/>
          <w:szCs w:val="24"/>
          <w:highlight w:val="none"/>
          <w:u w:val="single"/>
          <w:lang w:eastAsia="zh-CN"/>
        </w:rPr>
        <w:t xml:space="preserve">         </w:t>
      </w:r>
      <w:r>
        <w:rPr>
          <w:rFonts w:hint="eastAsia" w:ascii="宋体" w:hAnsi="宋体" w:eastAsia="宋体" w:cs="宋体"/>
          <w:b/>
          <w:snapToGrid/>
          <w:color w:val="auto"/>
          <w:kern w:val="0"/>
          <w:sz w:val="24"/>
          <w:szCs w:val="24"/>
          <w:highlight w:val="none"/>
          <w:u w:val="single"/>
          <w:lang w:val="en-US" w:eastAsia="zh-CN"/>
        </w:rPr>
        <w:t xml:space="preserve">    </w:t>
      </w:r>
      <w:r>
        <w:rPr>
          <w:rFonts w:hint="eastAsia" w:ascii="宋体" w:hAnsi="宋体" w:eastAsia="宋体" w:cs="宋体"/>
          <w:b/>
          <w:snapToGrid/>
          <w:color w:val="auto"/>
          <w:kern w:val="0"/>
          <w:sz w:val="24"/>
          <w:szCs w:val="24"/>
          <w:highlight w:val="none"/>
          <w:u w:val="single"/>
          <w:lang w:eastAsia="zh-CN"/>
        </w:rPr>
        <w:t xml:space="preserve">       </w:t>
      </w:r>
    </w:p>
    <w:p w14:paraId="1C0808F9">
      <w:pPr>
        <w:widowControl w:val="0"/>
        <w:kinsoku/>
        <w:autoSpaceDE w:val="0"/>
        <w:autoSpaceDN w:val="0"/>
        <w:adjustRightInd w:val="0"/>
        <w:snapToGrid/>
        <w:spacing w:beforeLines="10" w:afterLines="10" w:line="360" w:lineRule="auto"/>
        <w:ind w:firstLine="1205" w:firstLineChars="500"/>
        <w:jc w:val="left"/>
        <w:textAlignment w:val="auto"/>
        <w:rPr>
          <w:rFonts w:hint="eastAsia" w:ascii="宋体" w:hAnsi="宋体" w:eastAsia="宋体" w:cs="宋体"/>
          <w:b/>
          <w:snapToGrid/>
          <w:color w:val="auto"/>
          <w:kern w:val="0"/>
          <w:sz w:val="24"/>
          <w:szCs w:val="24"/>
          <w:highlight w:val="none"/>
          <w:u w:val="single"/>
          <w:lang w:eastAsia="zh-CN"/>
        </w:rPr>
      </w:pPr>
      <w:r>
        <w:rPr>
          <w:rFonts w:hint="eastAsia" w:ascii="宋体" w:hAnsi="宋体" w:eastAsia="宋体" w:cs="宋体"/>
          <w:b/>
          <w:snapToGrid/>
          <w:color w:val="auto"/>
          <w:kern w:val="0"/>
          <w:sz w:val="24"/>
          <w:szCs w:val="24"/>
          <w:highlight w:val="none"/>
          <w:lang w:val="en-US" w:eastAsia="zh-CN"/>
        </w:rPr>
        <w:t>供   应   商</w:t>
      </w:r>
      <w:r>
        <w:rPr>
          <w:rFonts w:hint="eastAsia" w:ascii="宋体" w:hAnsi="宋体" w:eastAsia="宋体" w:cs="宋体"/>
          <w:b/>
          <w:snapToGrid/>
          <w:color w:val="auto"/>
          <w:kern w:val="0"/>
          <w:sz w:val="24"/>
          <w:szCs w:val="24"/>
          <w:highlight w:val="none"/>
          <w:lang w:eastAsia="zh-CN"/>
        </w:rPr>
        <w:t>：</w:t>
      </w:r>
      <w:r>
        <w:rPr>
          <w:rFonts w:hint="eastAsia" w:ascii="宋体" w:hAnsi="宋体" w:eastAsia="宋体" w:cs="宋体"/>
          <w:b/>
          <w:snapToGrid/>
          <w:color w:val="auto"/>
          <w:kern w:val="0"/>
          <w:sz w:val="24"/>
          <w:szCs w:val="24"/>
          <w:highlight w:val="none"/>
          <w:u w:val="single"/>
          <w:lang w:eastAsia="zh-CN"/>
        </w:rPr>
        <w:t xml:space="preserve">        </w:t>
      </w:r>
      <w:r>
        <w:rPr>
          <w:rFonts w:hint="eastAsia" w:ascii="宋体" w:hAnsi="宋体" w:eastAsia="宋体" w:cs="宋体"/>
          <w:b/>
          <w:snapToGrid/>
          <w:color w:val="auto"/>
          <w:kern w:val="0"/>
          <w:sz w:val="24"/>
          <w:szCs w:val="24"/>
          <w:highlight w:val="none"/>
          <w:u w:val="single"/>
          <w:lang w:val="en-US" w:eastAsia="zh-CN"/>
        </w:rPr>
        <w:t xml:space="preserve">    </w:t>
      </w:r>
      <w:r>
        <w:rPr>
          <w:rFonts w:hint="eastAsia" w:ascii="宋体" w:hAnsi="宋体" w:eastAsia="宋体" w:cs="宋体"/>
          <w:b/>
          <w:snapToGrid/>
          <w:color w:val="auto"/>
          <w:kern w:val="0"/>
          <w:sz w:val="24"/>
          <w:szCs w:val="24"/>
          <w:highlight w:val="none"/>
          <w:u w:val="single"/>
          <w:lang w:eastAsia="zh-CN"/>
        </w:rPr>
        <w:t xml:space="preserve">        </w:t>
      </w:r>
    </w:p>
    <w:p w14:paraId="70193CD5">
      <w:pPr>
        <w:widowControl w:val="0"/>
        <w:kinsoku/>
        <w:autoSpaceDE w:val="0"/>
        <w:autoSpaceDN w:val="0"/>
        <w:adjustRightInd w:val="0"/>
        <w:snapToGrid/>
        <w:spacing w:beforeLines="10" w:afterLines="10" w:line="360" w:lineRule="auto"/>
        <w:ind w:firstLine="1205" w:firstLineChars="500"/>
        <w:jc w:val="left"/>
        <w:textAlignment w:val="auto"/>
        <w:rPr>
          <w:rFonts w:hint="eastAsia" w:ascii="宋体" w:hAnsi="宋体" w:eastAsia="宋体" w:cs="宋体"/>
          <w:b/>
          <w:snapToGrid/>
          <w:color w:val="auto"/>
          <w:kern w:val="0"/>
          <w:sz w:val="24"/>
          <w:szCs w:val="24"/>
          <w:highlight w:val="none"/>
          <w:u w:val="single"/>
          <w:lang w:eastAsia="zh-CN"/>
        </w:rPr>
      </w:pPr>
      <w:bookmarkStart w:id="1" w:name="_Hlk85534012"/>
      <w:r>
        <w:rPr>
          <w:rFonts w:hint="eastAsia" w:ascii="宋体" w:hAnsi="宋体" w:eastAsia="宋体" w:cs="宋体"/>
          <w:b/>
          <w:snapToGrid/>
          <w:color w:val="auto"/>
          <w:kern w:val="0"/>
          <w:sz w:val="24"/>
          <w:szCs w:val="24"/>
          <w:highlight w:val="none"/>
          <w:lang w:eastAsia="zh-CN"/>
        </w:rPr>
        <w:t>合同订立地点：</w:t>
      </w:r>
      <w:r>
        <w:rPr>
          <w:rFonts w:hint="eastAsia" w:ascii="宋体" w:hAnsi="宋体" w:eastAsia="宋体" w:cs="宋体"/>
          <w:b/>
          <w:snapToGrid/>
          <w:color w:val="auto"/>
          <w:kern w:val="0"/>
          <w:sz w:val="24"/>
          <w:szCs w:val="24"/>
          <w:highlight w:val="none"/>
          <w:u w:val="single"/>
          <w:lang w:eastAsia="zh-CN"/>
        </w:rPr>
        <w:t xml:space="preserve">                    </w:t>
      </w:r>
    </w:p>
    <w:bookmarkEnd w:id="1"/>
    <w:p w14:paraId="2AC847AC">
      <w:pPr>
        <w:widowControl w:val="0"/>
        <w:kinsoku/>
        <w:autoSpaceDE w:val="0"/>
        <w:autoSpaceDN w:val="0"/>
        <w:adjustRightInd w:val="0"/>
        <w:snapToGrid/>
        <w:spacing w:beforeLines="10" w:afterLines="10" w:line="360" w:lineRule="auto"/>
        <w:ind w:firstLine="1205" w:firstLineChars="500"/>
        <w:jc w:val="left"/>
        <w:textAlignment w:val="auto"/>
        <w:rPr>
          <w:rFonts w:hint="eastAsia" w:ascii="宋体" w:hAnsi="宋体" w:eastAsia="宋体" w:cs="宋体"/>
          <w:b/>
          <w:snapToGrid/>
          <w:color w:val="auto"/>
          <w:kern w:val="0"/>
          <w:sz w:val="24"/>
          <w:szCs w:val="24"/>
          <w:highlight w:val="none"/>
          <w:u w:val="single"/>
          <w:lang w:eastAsia="zh-CN"/>
        </w:rPr>
      </w:pPr>
      <w:r>
        <w:rPr>
          <w:rFonts w:hint="eastAsia" w:ascii="宋体" w:hAnsi="宋体" w:eastAsia="宋体" w:cs="宋体"/>
          <w:b/>
          <w:snapToGrid/>
          <w:color w:val="auto"/>
          <w:kern w:val="0"/>
          <w:sz w:val="24"/>
          <w:szCs w:val="24"/>
          <w:highlight w:val="none"/>
          <w:lang w:eastAsia="zh-CN"/>
        </w:rPr>
        <w:t>合同订立时间：</w:t>
      </w:r>
      <w:r>
        <w:rPr>
          <w:rFonts w:hint="eastAsia" w:ascii="宋体" w:hAnsi="宋体" w:eastAsia="宋体" w:cs="宋体"/>
          <w:b/>
          <w:snapToGrid/>
          <w:color w:val="auto"/>
          <w:kern w:val="0"/>
          <w:sz w:val="24"/>
          <w:szCs w:val="24"/>
          <w:highlight w:val="none"/>
          <w:u w:val="single"/>
          <w:lang w:eastAsia="zh-CN"/>
        </w:rPr>
        <w:t xml:space="preserve">                    </w:t>
      </w:r>
      <w:bookmarkEnd w:id="0"/>
    </w:p>
    <w:p w14:paraId="0C8E9E01">
      <w:pPr>
        <w:widowControl w:val="0"/>
        <w:kinsoku/>
        <w:autoSpaceDE/>
        <w:autoSpaceDN/>
        <w:adjustRightInd/>
        <w:snapToGrid/>
        <w:spacing w:beforeLines="10" w:afterLines="10" w:line="360" w:lineRule="auto"/>
        <w:jc w:val="both"/>
        <w:textAlignment w:val="auto"/>
        <w:rPr>
          <w:rFonts w:hint="eastAsia" w:ascii="宋体" w:hAnsi="宋体" w:eastAsia="宋体" w:cs="宋体"/>
          <w:snapToGrid/>
          <w:color w:val="auto"/>
          <w:kern w:val="2"/>
          <w:sz w:val="24"/>
          <w:szCs w:val="20"/>
          <w:highlight w:val="none"/>
          <w:lang w:eastAsia="zh-CN"/>
        </w:rPr>
      </w:pPr>
    </w:p>
    <w:p w14:paraId="50FF61AE">
      <w:pPr>
        <w:pStyle w:val="4"/>
        <w:keepNext/>
        <w:keepLines/>
        <w:spacing w:line="360" w:lineRule="auto"/>
        <w:ind w:firstLine="400"/>
        <w:jc w:val="both"/>
        <w:rPr>
          <w:rFonts w:hint="eastAsia" w:ascii="宋体" w:hAnsi="宋体" w:eastAsia="宋体" w:cs="宋体"/>
          <w:sz w:val="24"/>
          <w:szCs w:val="24"/>
        </w:rPr>
      </w:pPr>
      <w:r>
        <w:rPr>
          <w:rFonts w:hint="eastAsia" w:ascii="宋体" w:hAnsi="宋体" w:eastAsia="宋体" w:cs="宋体"/>
          <w:b/>
          <w:bCs/>
          <w:snapToGrid/>
          <w:color w:val="auto"/>
          <w:kern w:val="0"/>
          <w:sz w:val="28"/>
          <w:szCs w:val="28"/>
          <w:highlight w:val="none"/>
          <w:lang w:val="en-US" w:eastAsia="zh-CN"/>
        </w:rPr>
        <w:br w:type="page"/>
      </w:r>
      <w:bookmarkStart w:id="2" w:name="bookmark2"/>
      <w:bookmarkStart w:id="3" w:name="bookmark0"/>
      <w:bookmarkStart w:id="4" w:name="bookmark1"/>
      <w:r>
        <w:rPr>
          <w:rFonts w:hint="eastAsia" w:ascii="宋体" w:hAnsi="宋体" w:eastAsia="宋体" w:cs="宋体"/>
          <w:sz w:val="24"/>
          <w:szCs w:val="24"/>
        </w:rPr>
        <w:t>釆购人（甲方）：</w:t>
      </w:r>
      <w:bookmarkEnd w:id="2"/>
    </w:p>
    <w:p w14:paraId="650558DC">
      <w:pPr>
        <w:pStyle w:val="4"/>
        <w:keepNext/>
        <w:keepLines/>
        <w:spacing w:line="360" w:lineRule="auto"/>
        <w:ind w:firstLine="400"/>
        <w:jc w:val="both"/>
        <w:rPr>
          <w:rFonts w:hint="eastAsia" w:ascii="宋体" w:hAnsi="宋体" w:eastAsia="宋体" w:cs="宋体"/>
          <w:sz w:val="24"/>
          <w:szCs w:val="24"/>
          <w:lang w:val="en-US" w:eastAsia="zh-CN"/>
        </w:rPr>
      </w:pPr>
      <w:bookmarkStart w:id="5" w:name="bookmark3"/>
      <w:r>
        <w:rPr>
          <w:rFonts w:hint="eastAsia" w:ascii="宋体" w:hAnsi="宋体" w:eastAsia="宋体" w:cs="宋体"/>
          <w:sz w:val="24"/>
          <w:szCs w:val="24"/>
        </w:rPr>
        <w:t>供应商（乙方）：</w:t>
      </w:r>
      <w:bookmarkEnd w:id="3"/>
      <w:bookmarkEnd w:id="4"/>
      <w:bookmarkEnd w:id="5"/>
    </w:p>
    <w:p w14:paraId="4CB7B1D1">
      <w:pPr>
        <w:pStyle w:val="5"/>
        <w:spacing w:line="360" w:lineRule="auto"/>
        <w:jc w:val="both"/>
        <w:rPr>
          <w:rFonts w:hint="eastAsia" w:ascii="宋体" w:hAnsi="宋体" w:eastAsia="宋体" w:cs="宋体"/>
          <w:sz w:val="24"/>
          <w:szCs w:val="24"/>
        </w:rPr>
      </w:pPr>
    </w:p>
    <w:p w14:paraId="1DE7B7C2">
      <w:pPr>
        <w:pStyle w:val="5"/>
        <w:spacing w:line="360" w:lineRule="auto"/>
        <w:jc w:val="both"/>
        <w:rPr>
          <w:rFonts w:hint="eastAsia" w:ascii="宋体" w:hAnsi="宋体" w:eastAsia="宋体" w:cs="宋体"/>
          <w:sz w:val="24"/>
          <w:szCs w:val="24"/>
        </w:rPr>
      </w:pPr>
      <w:r>
        <w:rPr>
          <w:rFonts w:hint="eastAsia" w:ascii="宋体" w:hAnsi="宋体" w:eastAsia="宋体" w:cs="宋体"/>
          <w:sz w:val="24"/>
          <w:szCs w:val="24"/>
        </w:rPr>
        <w:t>根据《中华人民共和国民法典》、《中华人民共和国政府采购法》与项目行业有关的法律法规，以及本项目（项目编号：</w:t>
      </w:r>
      <w:r>
        <w:rPr>
          <w:rFonts w:hint="eastAsia" w:ascii="宋体" w:hAnsi="宋体" w:eastAsia="宋体" w:cs="宋体"/>
          <w:sz w:val="24"/>
          <w:szCs w:val="24"/>
          <w:lang w:val="en-US" w:eastAsia="zh-CN"/>
        </w:rPr>
        <w:t>XBZB-2025-040</w:t>
      </w:r>
      <w:r>
        <w:rPr>
          <w:rFonts w:hint="eastAsia" w:ascii="宋体" w:hAnsi="宋体" w:eastAsia="宋体" w:cs="宋体"/>
          <w:sz w:val="24"/>
          <w:szCs w:val="24"/>
        </w:rPr>
        <w:t>）相关采购要求的规定，合同双方就乙方向甲方提供</w:t>
      </w:r>
      <w:r>
        <w:rPr>
          <w:rFonts w:hint="eastAsia" w:cs="宋体"/>
          <w:sz w:val="24"/>
          <w:szCs w:val="24"/>
          <w:u w:val="single"/>
          <w:lang w:val="en-US" w:eastAsia="zh-CN"/>
        </w:rPr>
        <w:t>机关</w:t>
      </w:r>
      <w:r>
        <w:rPr>
          <w:rFonts w:hint="eastAsia" w:ascii="宋体" w:hAnsi="宋体" w:eastAsia="宋体" w:cs="宋体"/>
          <w:sz w:val="24"/>
          <w:szCs w:val="24"/>
          <w:u w:val="single"/>
        </w:rPr>
        <w:t>食堂食材采购</w:t>
      </w:r>
      <w:r>
        <w:rPr>
          <w:rFonts w:hint="eastAsia" w:cs="宋体"/>
          <w:sz w:val="24"/>
          <w:szCs w:val="24"/>
          <w:u w:val="single"/>
          <w:lang w:eastAsia="zh-CN"/>
        </w:rPr>
        <w:t>（</w:t>
      </w:r>
      <w:r>
        <w:rPr>
          <w:rFonts w:hint="eastAsia" w:cs="宋体"/>
          <w:sz w:val="24"/>
          <w:szCs w:val="24"/>
          <w:u w:val="single"/>
          <w:lang w:val="en-US" w:eastAsia="zh-CN"/>
        </w:rPr>
        <w:t>二次</w:t>
      </w:r>
      <w:r>
        <w:rPr>
          <w:rFonts w:hint="eastAsia" w:cs="宋体"/>
          <w:sz w:val="24"/>
          <w:szCs w:val="24"/>
          <w:u w:val="single"/>
          <w:lang w:eastAsia="zh-CN"/>
        </w:rPr>
        <w:t>）</w:t>
      </w:r>
      <w:r>
        <w:rPr>
          <w:rFonts w:hint="eastAsia" w:ascii="宋体" w:hAnsi="宋体" w:eastAsia="宋体" w:cs="宋体"/>
          <w:sz w:val="24"/>
          <w:szCs w:val="24"/>
        </w:rPr>
        <w:t>服务事宜,经协商达成一致，确立本合同。</w:t>
      </w:r>
    </w:p>
    <w:p w14:paraId="19B767D5">
      <w:pPr>
        <w:pStyle w:val="4"/>
        <w:keepNext/>
        <w:keepLines/>
        <w:spacing w:line="360" w:lineRule="auto"/>
        <w:rPr>
          <w:rFonts w:hint="eastAsia" w:ascii="宋体" w:hAnsi="宋体" w:eastAsia="宋体" w:cs="宋体"/>
          <w:sz w:val="24"/>
          <w:szCs w:val="24"/>
        </w:rPr>
      </w:pPr>
      <w:bookmarkStart w:id="6" w:name="bookmark6"/>
      <w:bookmarkStart w:id="7" w:name="bookmark4"/>
      <w:bookmarkStart w:id="8" w:name="bookmark5"/>
      <w:r>
        <w:rPr>
          <w:rFonts w:hint="eastAsia" w:ascii="宋体" w:hAnsi="宋体" w:eastAsia="宋体" w:cs="宋体"/>
          <w:sz w:val="24"/>
          <w:szCs w:val="24"/>
        </w:rPr>
        <w:t>第一条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项目概况</w:t>
      </w:r>
      <w:bookmarkEnd w:id="6"/>
      <w:bookmarkEnd w:id="7"/>
      <w:bookmarkEnd w:id="8"/>
    </w:p>
    <w:p w14:paraId="01F5EEB4">
      <w:pPr>
        <w:pStyle w:val="5"/>
        <w:tabs>
          <w:tab w:val="left" w:pos="878"/>
          <w:tab w:val="left" w:pos="5391"/>
        </w:tabs>
        <w:spacing w:line="360" w:lineRule="auto"/>
        <w:ind w:left="420" w:leftChars="200" w:firstLine="19" w:firstLineChars="8"/>
        <w:jc w:val="both"/>
        <w:rPr>
          <w:rFonts w:hint="eastAsia" w:ascii="宋体" w:hAnsi="宋体" w:eastAsia="宋体" w:cs="宋体"/>
          <w:sz w:val="24"/>
          <w:szCs w:val="24"/>
          <w:lang w:eastAsia="zh-CN"/>
        </w:rPr>
      </w:pPr>
      <w:bookmarkStart w:id="9" w:name="bookmark7"/>
      <w:r>
        <w:rPr>
          <w:rFonts w:hint="eastAsia" w:ascii="宋体" w:hAnsi="宋体" w:eastAsia="宋体" w:cs="宋体"/>
          <w:sz w:val="24"/>
          <w:szCs w:val="24"/>
        </w:rPr>
        <w:t>1</w:t>
      </w:r>
      <w:bookmarkEnd w:id="9"/>
      <w:r>
        <w:rPr>
          <w:rFonts w:hint="eastAsia" w:ascii="宋体" w:hAnsi="宋体" w:eastAsia="宋体" w:cs="宋体"/>
          <w:sz w:val="24"/>
          <w:szCs w:val="24"/>
        </w:rPr>
        <w:t>、</w:t>
      </w:r>
      <w:r>
        <w:rPr>
          <w:rFonts w:hint="eastAsia" w:ascii="宋体" w:hAnsi="宋体" w:eastAsia="宋体" w:cs="宋体"/>
          <w:sz w:val="24"/>
          <w:szCs w:val="24"/>
        </w:rPr>
        <w:tab/>
      </w:r>
      <w:r>
        <w:rPr>
          <w:rFonts w:hint="eastAsia" w:ascii="宋体" w:hAnsi="宋体" w:eastAsia="宋体" w:cs="宋体"/>
          <w:sz w:val="24"/>
          <w:szCs w:val="24"/>
        </w:rPr>
        <w:t>项目名称：</w:t>
      </w:r>
      <w:r>
        <w:rPr>
          <w:rFonts w:hint="eastAsia" w:cs="宋体"/>
          <w:kern w:val="2"/>
          <w:sz w:val="24"/>
          <w:szCs w:val="24"/>
          <w:u w:val="single"/>
          <w:lang w:val="en-US" w:eastAsia="zh-CN"/>
        </w:rPr>
        <w:t>机关</w:t>
      </w:r>
      <w:r>
        <w:rPr>
          <w:rFonts w:hint="eastAsia" w:ascii="宋体" w:hAnsi="宋体" w:eastAsia="宋体" w:cs="宋体"/>
          <w:kern w:val="2"/>
          <w:sz w:val="24"/>
          <w:szCs w:val="24"/>
          <w:u w:val="single"/>
        </w:rPr>
        <w:t>食堂食材采购</w:t>
      </w:r>
      <w:r>
        <w:rPr>
          <w:rFonts w:hint="eastAsia" w:cs="宋体"/>
          <w:kern w:val="2"/>
          <w:sz w:val="24"/>
          <w:szCs w:val="24"/>
          <w:u w:val="single"/>
          <w:lang w:eastAsia="zh-CN"/>
        </w:rPr>
        <w:t>（</w:t>
      </w:r>
      <w:r>
        <w:rPr>
          <w:rFonts w:hint="eastAsia" w:cs="宋体"/>
          <w:kern w:val="2"/>
          <w:sz w:val="24"/>
          <w:szCs w:val="24"/>
          <w:u w:val="single"/>
          <w:lang w:val="en-US" w:eastAsia="zh-CN"/>
        </w:rPr>
        <w:t>二次</w:t>
      </w:r>
      <w:r>
        <w:rPr>
          <w:rFonts w:hint="eastAsia" w:cs="宋体"/>
          <w:kern w:val="2"/>
          <w:sz w:val="24"/>
          <w:szCs w:val="24"/>
          <w:u w:val="single"/>
          <w:lang w:eastAsia="zh-CN"/>
        </w:rPr>
        <w:t>）</w:t>
      </w:r>
      <w:r>
        <w:rPr>
          <w:rFonts w:hint="eastAsia" w:ascii="宋体" w:hAnsi="宋体" w:eastAsia="宋体" w:cs="宋体"/>
          <w:kern w:val="2"/>
          <w:sz w:val="24"/>
          <w:szCs w:val="24"/>
          <w:u w:val="single"/>
          <w:lang w:eastAsia="zh-CN"/>
        </w:rPr>
        <w:t>。</w:t>
      </w:r>
    </w:p>
    <w:p w14:paraId="73C9CA9E">
      <w:pPr>
        <w:pStyle w:val="5"/>
        <w:tabs>
          <w:tab w:val="left" w:pos="878"/>
          <w:tab w:val="left" w:pos="5391"/>
        </w:tabs>
        <w:spacing w:line="360" w:lineRule="auto"/>
        <w:ind w:left="0" w:leftChars="0"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rPr>
        <w:tab/>
      </w:r>
      <w:r>
        <w:rPr>
          <w:rFonts w:hint="eastAsia" w:ascii="宋体" w:hAnsi="宋体" w:eastAsia="宋体" w:cs="宋体"/>
          <w:sz w:val="24"/>
          <w:szCs w:val="24"/>
        </w:rPr>
        <w:t>项目地点：</w:t>
      </w:r>
      <w:r>
        <w:rPr>
          <w:rFonts w:hint="eastAsia" w:ascii="宋体" w:hAnsi="宋体" w:eastAsia="宋体" w:cs="宋体"/>
          <w:sz w:val="24"/>
          <w:szCs w:val="24"/>
          <w:u w:val="single"/>
          <w:lang w:val="en-US" w:eastAsia="zh-CN"/>
        </w:rPr>
        <w:t>机关食堂（位于文艺南路付8号）、市场监管综合执法支队碑林大队食堂（位于开通巷67号）及部分市场监管所职工灶</w:t>
      </w:r>
      <w:r>
        <w:rPr>
          <w:rFonts w:hint="eastAsia" w:ascii="宋体" w:hAnsi="宋体" w:eastAsia="宋体" w:cs="宋体"/>
          <w:sz w:val="24"/>
          <w:szCs w:val="24"/>
        </w:rPr>
        <w:t>。</w:t>
      </w:r>
    </w:p>
    <w:p w14:paraId="58B7C32F">
      <w:pPr>
        <w:pStyle w:val="5"/>
        <w:tabs>
          <w:tab w:val="left" w:pos="892"/>
          <w:tab w:val="left" w:pos="5406"/>
        </w:tabs>
        <w:spacing w:line="360" w:lineRule="auto"/>
        <w:ind w:firstLine="500"/>
        <w:jc w:val="both"/>
        <w:rPr>
          <w:rFonts w:hint="eastAsia" w:ascii="宋体" w:hAnsi="宋体" w:eastAsia="宋体" w:cs="宋体"/>
          <w:sz w:val="24"/>
          <w:szCs w:val="24"/>
        </w:rPr>
      </w:pPr>
      <w:bookmarkStart w:id="10" w:name="bookmark9"/>
      <w:r>
        <w:rPr>
          <w:rFonts w:hint="eastAsia" w:ascii="宋体" w:hAnsi="宋体" w:eastAsia="宋体" w:cs="宋体"/>
          <w:sz w:val="24"/>
          <w:szCs w:val="24"/>
        </w:rPr>
        <w:t>3</w:t>
      </w:r>
      <w:bookmarkEnd w:id="10"/>
      <w:r>
        <w:rPr>
          <w:rFonts w:hint="eastAsia" w:ascii="宋体" w:hAnsi="宋体" w:eastAsia="宋体" w:cs="宋体"/>
          <w:sz w:val="24"/>
          <w:szCs w:val="24"/>
        </w:rPr>
        <w:t>、</w:t>
      </w:r>
      <w:r>
        <w:rPr>
          <w:rFonts w:hint="eastAsia" w:ascii="宋体" w:hAnsi="宋体" w:eastAsia="宋体" w:cs="宋体"/>
          <w:sz w:val="24"/>
          <w:szCs w:val="24"/>
        </w:rPr>
        <w:tab/>
      </w:r>
      <w:r>
        <w:rPr>
          <w:rFonts w:hint="eastAsia" w:ascii="宋体" w:hAnsi="宋体" w:eastAsia="宋体" w:cs="宋体"/>
          <w:sz w:val="24"/>
          <w:szCs w:val="24"/>
        </w:rPr>
        <w:t>采购内容：</w:t>
      </w:r>
      <w:r>
        <w:rPr>
          <w:rFonts w:hint="eastAsia" w:ascii="宋体" w:hAnsi="宋体" w:eastAsia="宋体" w:cs="宋体"/>
          <w:sz w:val="24"/>
          <w:szCs w:val="24"/>
          <w:u w:val="single"/>
          <w:lang w:val="en-US" w:eastAsia="zh-CN"/>
        </w:rPr>
        <w:t>食堂食材</w:t>
      </w:r>
      <w:r>
        <w:rPr>
          <w:rFonts w:hint="eastAsia" w:ascii="宋体" w:hAnsi="宋体" w:eastAsia="宋体" w:cs="宋体"/>
          <w:sz w:val="24"/>
          <w:szCs w:val="24"/>
          <w:u w:val="single"/>
        </w:rPr>
        <w:tab/>
      </w:r>
    </w:p>
    <w:p w14:paraId="42D5E064">
      <w:pPr>
        <w:pStyle w:val="5"/>
        <w:tabs>
          <w:tab w:val="left" w:pos="837"/>
          <w:tab w:val="left" w:pos="5338"/>
        </w:tabs>
        <w:spacing w:line="360" w:lineRule="auto"/>
        <w:ind w:firstLine="500"/>
        <w:jc w:val="both"/>
        <w:rPr>
          <w:rFonts w:hint="eastAsia" w:ascii="宋体" w:hAnsi="宋体" w:eastAsia="宋体" w:cs="宋体"/>
          <w:sz w:val="24"/>
          <w:szCs w:val="24"/>
        </w:rPr>
      </w:pPr>
      <w:bookmarkStart w:id="11" w:name="bookmark10"/>
      <w:r>
        <w:rPr>
          <w:rFonts w:hint="eastAsia" w:ascii="宋体" w:hAnsi="宋体" w:eastAsia="宋体" w:cs="宋体"/>
          <w:sz w:val="24"/>
          <w:szCs w:val="24"/>
        </w:rPr>
        <w:t>4</w:t>
      </w:r>
      <w:bookmarkEnd w:id="11"/>
      <w:r>
        <w:rPr>
          <w:rFonts w:hint="eastAsia" w:ascii="宋体" w:hAnsi="宋体" w:eastAsia="宋体" w:cs="宋体"/>
          <w:sz w:val="24"/>
          <w:szCs w:val="24"/>
        </w:rPr>
        <w:t>、服务期限：自合同签订之日起至202</w:t>
      </w: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年12月31日止 </w:t>
      </w:r>
    </w:p>
    <w:p w14:paraId="2905C2F9">
      <w:pPr>
        <w:pStyle w:val="5"/>
        <w:tabs>
          <w:tab w:val="left" w:pos="837"/>
          <w:tab w:val="left" w:pos="5338"/>
        </w:tabs>
        <w:spacing w:line="360" w:lineRule="auto"/>
        <w:ind w:firstLine="0"/>
        <w:jc w:val="both"/>
        <w:rPr>
          <w:rFonts w:hint="eastAsia" w:ascii="宋体" w:hAnsi="宋体" w:eastAsia="宋体" w:cs="宋体"/>
          <w:b/>
          <w:bCs/>
          <w:sz w:val="24"/>
          <w:szCs w:val="24"/>
        </w:rPr>
      </w:pPr>
      <w:r>
        <w:rPr>
          <w:rFonts w:hint="eastAsia" w:ascii="宋体" w:hAnsi="宋体" w:eastAsia="宋体" w:cs="宋体"/>
          <w:b/>
          <w:bCs/>
          <w:sz w:val="24"/>
          <w:szCs w:val="24"/>
        </w:rPr>
        <w:t>第二条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合同金额</w:t>
      </w:r>
    </w:p>
    <w:p w14:paraId="3035C20A">
      <w:pPr>
        <w:pStyle w:val="5"/>
        <w:tabs>
          <w:tab w:val="left" w:pos="3375"/>
        </w:tabs>
        <w:spacing w:line="360" w:lineRule="auto"/>
        <w:ind w:firstLine="500"/>
        <w:jc w:val="both"/>
        <w:rPr>
          <w:rFonts w:hint="eastAsia" w:ascii="宋体" w:hAnsi="宋体" w:eastAsia="宋体" w:cs="宋体"/>
          <w:sz w:val="24"/>
          <w:szCs w:val="24"/>
          <w:u w:val="single"/>
          <w:lang w:val="en-US"/>
        </w:rPr>
      </w:pPr>
      <w:r>
        <w:rPr>
          <w:rFonts w:hint="eastAsia" w:ascii="宋体" w:hAnsi="宋体" w:eastAsia="宋体" w:cs="宋体"/>
          <w:sz w:val="24"/>
          <w:szCs w:val="24"/>
        </w:rPr>
        <w:t>合同金额：</w:t>
      </w:r>
      <w:r>
        <w:rPr>
          <w:rFonts w:hint="eastAsia" w:cs="宋体"/>
          <w:sz w:val="24"/>
          <w:szCs w:val="24"/>
          <w:lang w:val="en-US" w:eastAsia="zh-CN"/>
        </w:rPr>
        <w:t>下浮率</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14:paraId="59F49708">
      <w:pPr>
        <w:pStyle w:val="5"/>
        <w:spacing w:line="360" w:lineRule="auto"/>
        <w:ind w:firstLine="500"/>
        <w:jc w:val="both"/>
        <w:rPr>
          <w:rFonts w:hint="eastAsia" w:ascii="宋体" w:hAnsi="宋体" w:eastAsia="宋体" w:cs="宋体"/>
          <w:sz w:val="24"/>
          <w:szCs w:val="24"/>
        </w:rPr>
      </w:pPr>
      <w:r>
        <w:rPr>
          <w:rFonts w:hint="eastAsia" w:ascii="宋体" w:hAnsi="宋体" w:eastAsia="宋体" w:cs="宋体"/>
          <w:sz w:val="24"/>
          <w:szCs w:val="24"/>
        </w:rPr>
        <w:t>本合同金额为一次性报价，不受市场价变化或实际工作量变化的影响。合同价格为含税价，乙方提供产品、服务所发生的一切税（包括增值税）费等都已包含于合同价款中。</w:t>
      </w:r>
    </w:p>
    <w:p w14:paraId="022A561C">
      <w:pPr>
        <w:pStyle w:val="4"/>
        <w:keepNext/>
        <w:keepLines/>
        <w:spacing w:line="360" w:lineRule="auto"/>
        <w:rPr>
          <w:rFonts w:hint="eastAsia" w:ascii="宋体" w:hAnsi="宋体" w:eastAsia="宋体" w:cs="宋体"/>
          <w:sz w:val="24"/>
          <w:szCs w:val="24"/>
        </w:rPr>
      </w:pPr>
      <w:bookmarkStart w:id="12" w:name="bookmark13"/>
      <w:bookmarkStart w:id="13" w:name="bookmark11"/>
      <w:bookmarkStart w:id="14" w:name="bookmark12"/>
      <w:r>
        <w:rPr>
          <w:rFonts w:hint="eastAsia" w:ascii="宋体" w:hAnsi="宋体" w:eastAsia="宋体" w:cs="宋体"/>
          <w:sz w:val="24"/>
          <w:szCs w:val="24"/>
        </w:rPr>
        <w:t>第三条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结算方式与付款方式</w:t>
      </w:r>
      <w:bookmarkEnd w:id="12"/>
      <w:bookmarkEnd w:id="13"/>
      <w:bookmarkEnd w:id="14"/>
    </w:p>
    <w:p w14:paraId="1D8F481D">
      <w:pPr>
        <w:pStyle w:val="5"/>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、结算方式：</w:t>
      </w:r>
      <w:r>
        <w:rPr>
          <w:rFonts w:hint="eastAsia" w:ascii="宋体" w:hAnsi="宋体" w:eastAsia="宋体" w:cs="宋体"/>
          <w:sz w:val="24"/>
          <w:szCs w:val="24"/>
          <w:lang w:val="en-US" w:eastAsia="zh-CN"/>
        </w:rPr>
        <w:t>分批次结算，</w:t>
      </w:r>
      <w:r>
        <w:rPr>
          <w:rFonts w:hint="eastAsia" w:ascii="宋体" w:hAnsi="宋体" w:eastAsia="宋体" w:cs="宋体"/>
          <w:sz w:val="24"/>
          <w:szCs w:val="24"/>
        </w:rPr>
        <w:t>采购人按照供应商供货商品市场平均价格*</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1-下浮率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*实际供货量</w:t>
      </w:r>
      <w:r>
        <w:rPr>
          <w:rFonts w:hint="eastAsia" w:ascii="宋体" w:hAnsi="宋体" w:eastAsia="宋体" w:cs="宋体"/>
          <w:sz w:val="24"/>
          <w:szCs w:val="24"/>
        </w:rPr>
        <w:t>核定结算价格。</w:t>
      </w:r>
    </w:p>
    <w:p w14:paraId="337C1987">
      <w:pPr>
        <w:pStyle w:val="5"/>
        <w:spacing w:line="360" w:lineRule="auto"/>
        <w:ind w:firstLine="48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2、付款方式：</w:t>
      </w:r>
    </w:p>
    <w:p w14:paraId="38A83A3C">
      <w:pPr>
        <w:pStyle w:val="5"/>
        <w:spacing w:line="360" w:lineRule="auto"/>
        <w:ind w:firstLine="48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（1）由采购人负责结算，付款前，供应商必须开具等额发票给采购人（附详细供货清单）。</w:t>
      </w:r>
    </w:p>
    <w:p w14:paraId="0A1D4CBC">
      <w:pPr>
        <w:pStyle w:val="5"/>
        <w:spacing w:line="360" w:lineRule="auto"/>
        <w:ind w:firstLine="48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乙方应按照甲方要求，提前一天配送到指定地点，经甲方验收合格后，乙方提供所供货物清单，甲方对所供货物的价格进行核实，经核实无误后在供货单上签字确认。结算时按甲方签字确认的供货单据实结算。</w:t>
      </w:r>
    </w:p>
    <w:p w14:paraId="2035867F">
      <w:pPr>
        <w:pStyle w:val="5"/>
        <w:spacing w:line="360" w:lineRule="auto"/>
        <w:ind w:firstLine="48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（3）次月甲方在验收合格后，根据供货单据实结算，若遇年终预决算等特殊原因，延期结算。</w:t>
      </w:r>
    </w:p>
    <w:p w14:paraId="526958E6">
      <w:pPr>
        <w:pStyle w:val="5"/>
        <w:spacing w:line="360" w:lineRule="auto"/>
        <w:ind w:firstLine="48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（4）达到付款条件起25日内，支付合同总金额的</w:t>
      </w:r>
      <w:r>
        <w:rPr>
          <w:rFonts w:hint="eastAsia" w:cs="宋体"/>
          <w:color w:val="000000"/>
          <w:kern w:val="0"/>
          <w:sz w:val="24"/>
          <w:szCs w:val="24"/>
          <w:lang w:val="en-US" w:eastAsia="zh-CN"/>
        </w:rPr>
        <w:t>12.5</w:t>
      </w:r>
      <w:r>
        <w:rPr>
          <w:rFonts w:hint="eastAsia" w:ascii="宋体" w:hAnsi="宋体" w:eastAsia="宋体" w:cs="宋体"/>
          <w:color w:val="000000"/>
          <w:kern w:val="0"/>
          <w:sz w:val="24"/>
          <w:szCs w:val="24"/>
          <w:lang w:val="en-US" w:eastAsia="zh-CN"/>
        </w:rPr>
        <w:t>%。</w:t>
      </w:r>
    </w:p>
    <w:p w14:paraId="2BB4A055">
      <w:pPr>
        <w:pStyle w:val="4"/>
        <w:keepNext/>
        <w:keepLines/>
        <w:spacing w:line="360" w:lineRule="auto"/>
        <w:ind w:firstLine="482" w:firstLineChars="200"/>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rPr>
        <w:t>3、支付方式：银行转账。</w:t>
      </w:r>
      <w:bookmarkStart w:id="42" w:name="_GoBack"/>
      <w:bookmarkEnd w:id="42"/>
      <w:bookmarkStart w:id="15" w:name="bookmark16"/>
      <w:bookmarkStart w:id="16" w:name="bookmark15"/>
      <w:bookmarkStart w:id="17" w:name="bookmark14"/>
    </w:p>
    <w:p w14:paraId="46279DB0">
      <w:pPr>
        <w:pStyle w:val="4"/>
        <w:keepNext/>
        <w:keepLines/>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第四条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服务内容及要求</w:t>
      </w:r>
      <w:bookmarkEnd w:id="15"/>
      <w:bookmarkEnd w:id="16"/>
      <w:bookmarkEnd w:id="17"/>
    </w:p>
    <w:p w14:paraId="4E7D32B7">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bidi="ar"/>
        </w:rPr>
        <w:t>1、</w:t>
      </w:r>
      <w:r>
        <w:rPr>
          <w:rFonts w:hint="eastAsia" w:ascii="宋体" w:hAnsi="宋体" w:eastAsia="宋体" w:cs="宋体"/>
          <w:color w:val="000000"/>
          <w:kern w:val="0"/>
          <w:sz w:val="24"/>
          <w:szCs w:val="24"/>
          <w:lang w:val="en-US" w:eastAsia="zh-CN"/>
        </w:rPr>
        <w:t xml:space="preserve">须有冷链配送服务，鲜活物品保证在送达指定地点后依旧新鲜。 </w:t>
      </w:r>
    </w:p>
    <w:p w14:paraId="44C0233F">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 xml:space="preserve">2、乙方将货物按要求保质保量送到甲方指定地点，并提供本批次货物的货物清单（含货物种类、数量、价格等）。 </w:t>
      </w:r>
    </w:p>
    <w:p w14:paraId="703700F7">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 xml:space="preserve">3、乙方提供的产品若出现不合格产品或在运输途中出现破损的，应在接到甲方通知后12小时内响应并进行处理。 </w:t>
      </w:r>
    </w:p>
    <w:p w14:paraId="4DBE8458">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 xml:space="preserve">4、乙方必须将所报项目的服务人员在甲方相关科室备案，保证甲方在有供货需求时能顺利联系到服务人员。 </w:t>
      </w:r>
    </w:p>
    <w:p w14:paraId="38959B98">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 xml:space="preserve">5、乙方提供的产品必须是通过正规渠道采购，若发现成交乙方提供的产品属于假货，甲方有权进行处罚并终止合同。 </w:t>
      </w:r>
    </w:p>
    <w:p w14:paraId="087667F9">
      <w:pPr>
        <w:pStyle w:val="5"/>
        <w:shd w:val="clear" w:color="auto" w:fill="auto"/>
        <w:spacing w:line="360" w:lineRule="auto"/>
        <w:ind w:firstLine="480"/>
        <w:jc w:val="both"/>
        <w:rPr>
          <w:rFonts w:hint="eastAsia" w:ascii="宋体" w:hAnsi="宋体" w:eastAsia="宋体" w:cs="宋体"/>
          <w:color w:val="000000"/>
          <w:kern w:val="0"/>
          <w:sz w:val="24"/>
          <w:szCs w:val="24"/>
          <w:lang w:val="zh-TW" w:eastAsia="zh-TW"/>
        </w:rPr>
      </w:pPr>
      <w:r>
        <w:rPr>
          <w:rFonts w:hint="eastAsia" w:ascii="宋体" w:hAnsi="宋体" w:eastAsia="宋体" w:cs="宋体"/>
          <w:color w:val="000000"/>
          <w:kern w:val="0"/>
          <w:sz w:val="24"/>
          <w:szCs w:val="24"/>
          <w:lang w:val="en-US" w:eastAsia="zh-CN"/>
        </w:rPr>
        <w:t>6、成交乙方供货应及时，若出现一次供货不及时的情况，甲方发出警告并有权要求进行公对公赔偿，若出现两次或两次以上供货不及时的情况，甲方有权单方面解除合同。</w:t>
      </w:r>
      <w:r>
        <w:rPr>
          <w:rFonts w:hint="eastAsia" w:ascii="宋体" w:hAnsi="宋体" w:eastAsia="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rPr>
        <w:t xml:space="preserve"> </w:t>
      </w:r>
    </w:p>
    <w:p w14:paraId="0162252C">
      <w:pPr>
        <w:pStyle w:val="4"/>
        <w:keepNext/>
        <w:keepLines/>
        <w:spacing w:line="360" w:lineRule="auto"/>
        <w:rPr>
          <w:rFonts w:hint="eastAsia" w:ascii="宋体" w:hAnsi="宋体" w:eastAsia="宋体" w:cs="宋体"/>
          <w:sz w:val="24"/>
          <w:szCs w:val="24"/>
        </w:rPr>
      </w:pPr>
      <w:bookmarkStart w:id="18" w:name="bookmark19"/>
      <w:bookmarkStart w:id="19" w:name="bookmark18"/>
      <w:bookmarkStart w:id="20" w:name="bookmark17"/>
      <w:r>
        <w:rPr>
          <w:rFonts w:hint="eastAsia" w:ascii="宋体" w:hAnsi="宋体" w:eastAsia="宋体" w:cs="宋体"/>
          <w:sz w:val="24"/>
          <w:szCs w:val="24"/>
        </w:rPr>
        <w:t>第五条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服务地点</w:t>
      </w:r>
      <w:bookmarkEnd w:id="18"/>
      <w:bookmarkEnd w:id="19"/>
      <w:bookmarkEnd w:id="20"/>
    </w:p>
    <w:p w14:paraId="7C010786">
      <w:pPr>
        <w:pStyle w:val="5"/>
        <w:spacing w:line="360" w:lineRule="auto"/>
        <w:ind w:firstLine="480"/>
        <w:jc w:val="both"/>
        <w:rPr>
          <w:rFonts w:hint="eastAsia" w:ascii="宋体" w:hAnsi="宋体" w:eastAsia="宋体" w:cs="宋体"/>
          <w:sz w:val="24"/>
          <w:szCs w:val="24"/>
        </w:rPr>
      </w:pPr>
      <w:r>
        <w:rPr>
          <w:rFonts w:hint="eastAsia" w:ascii="宋体" w:hAnsi="宋体" w:eastAsia="宋体" w:cs="宋体"/>
          <w:color w:val="000000"/>
          <w:kern w:val="0"/>
          <w:sz w:val="24"/>
          <w:szCs w:val="24"/>
          <w:u w:val="none"/>
          <w:shd w:val="clear" w:color="auto" w:fill="auto"/>
          <w:lang w:val="en-US" w:eastAsia="zh-CN" w:bidi="zh-TW"/>
        </w:rPr>
        <w:t>机关食堂（位于文艺南路付8号）、市场监管综合执法支队碑林大队食堂（位于开通巷67号）及部分市场监管所职工灶。</w:t>
      </w:r>
    </w:p>
    <w:p w14:paraId="789DC4B3">
      <w:pPr>
        <w:pStyle w:val="4"/>
        <w:keepNext/>
        <w:keepLines/>
        <w:spacing w:line="360" w:lineRule="auto"/>
        <w:rPr>
          <w:rFonts w:hint="eastAsia" w:ascii="宋体" w:hAnsi="宋体" w:eastAsia="宋体" w:cs="宋体"/>
          <w:sz w:val="24"/>
          <w:szCs w:val="24"/>
        </w:rPr>
      </w:pPr>
      <w:bookmarkStart w:id="21" w:name="bookmark22"/>
      <w:bookmarkStart w:id="22" w:name="bookmark21"/>
      <w:bookmarkStart w:id="23" w:name="bookmark20"/>
      <w:r>
        <w:rPr>
          <w:rFonts w:hint="eastAsia" w:ascii="宋体" w:hAnsi="宋体" w:eastAsia="宋体" w:cs="宋体"/>
          <w:sz w:val="24"/>
          <w:szCs w:val="24"/>
        </w:rPr>
        <w:t>第六条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双方的权利和义务</w:t>
      </w:r>
      <w:bookmarkEnd w:id="21"/>
      <w:bookmarkEnd w:id="22"/>
      <w:bookmarkEnd w:id="23"/>
    </w:p>
    <w:p w14:paraId="1D5AE613">
      <w:pPr>
        <w:pStyle w:val="5"/>
        <w:numPr>
          <w:ilvl w:val="0"/>
          <w:numId w:val="1"/>
        </w:numPr>
        <w:shd w:val="clear" w:color="auto" w:fill="auto"/>
        <w:spacing w:line="360" w:lineRule="auto"/>
        <w:ind w:firstLine="480"/>
        <w:jc w:val="both"/>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甲方权利</w:t>
      </w:r>
    </w:p>
    <w:p w14:paraId="3DDE16B0">
      <w:pPr>
        <w:pStyle w:val="5"/>
        <w:numPr>
          <w:ilvl w:val="0"/>
          <w:numId w:val="2"/>
        </w:numPr>
        <w:shd w:val="clear" w:color="auto" w:fill="auto"/>
        <w:spacing w:line="360" w:lineRule="auto"/>
        <w:ind w:firstLine="480" w:firstLineChars="20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甲方保留要求乙方变更、增加或减少服务范围、实施人员和日程安排的权利。</w:t>
      </w:r>
    </w:p>
    <w:p w14:paraId="0BCA9460">
      <w:pPr>
        <w:pStyle w:val="5"/>
        <w:numPr>
          <w:ilvl w:val="0"/>
          <w:numId w:val="2"/>
        </w:numPr>
        <w:shd w:val="clear" w:color="auto" w:fill="auto"/>
        <w:spacing w:line="360" w:lineRule="auto"/>
        <w:ind w:firstLine="480" w:firstLineChars="20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送货不及时或货物质量不合格，甲方提出警告，乙方限期作出整改并赔偿甲方所受损失。警告两次或整改不得当，甲方有权单方终止合同。</w:t>
      </w:r>
    </w:p>
    <w:p w14:paraId="052B2A9A">
      <w:pPr>
        <w:pStyle w:val="5"/>
        <w:numPr>
          <w:ilvl w:val="0"/>
          <w:numId w:val="2"/>
        </w:numPr>
        <w:shd w:val="clear" w:color="auto" w:fill="auto"/>
        <w:spacing w:line="360" w:lineRule="auto"/>
        <w:ind w:firstLine="480" w:firstLineChars="20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乙方所供货物经甲方核实，累计有10次单批次所供货50%以上的单项价格高于甲方考察的市场均价10%以上的，甲方要求乙方按合同总金额的0.5%支付违约金，违约金不足以弥补损失的，乙方按全额赔偿，甲方有权单方终止合同。</w:t>
      </w:r>
    </w:p>
    <w:p w14:paraId="5037D88E">
      <w:pPr>
        <w:pStyle w:val="5"/>
        <w:shd w:val="clear" w:color="auto" w:fill="auto"/>
        <w:spacing w:line="360" w:lineRule="auto"/>
        <w:ind w:firstLine="48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2、甲方义务</w:t>
      </w:r>
    </w:p>
    <w:p w14:paraId="745B3977">
      <w:pPr>
        <w:pStyle w:val="5"/>
        <w:shd w:val="clear" w:color="auto" w:fill="auto"/>
        <w:spacing w:line="360" w:lineRule="auto"/>
        <w:ind w:firstLine="48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（1）甲方向乙方提供明确的服务要求，以便乙方开展工作。</w:t>
      </w:r>
    </w:p>
    <w:p w14:paraId="10BB06A5">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 xml:space="preserve">（2）乙方向甲方提出配合完成项目工作的合理请求，甲方应及时做出答复并给予协助。 </w:t>
      </w:r>
    </w:p>
    <w:p w14:paraId="35F73EE4">
      <w:pPr>
        <w:pStyle w:val="5"/>
        <w:shd w:val="clear" w:color="auto" w:fill="auto"/>
        <w:spacing w:line="360" w:lineRule="auto"/>
        <w:ind w:firstLine="480" w:firstLineChars="20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3、乙方义务</w:t>
      </w:r>
    </w:p>
    <w:p w14:paraId="293DAD83">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（1）</w:t>
      </w:r>
      <w:r>
        <w:rPr>
          <w:rFonts w:hint="eastAsia" w:ascii="宋体" w:hAnsi="宋体" w:eastAsia="宋体" w:cs="宋体"/>
          <w:color w:val="auto"/>
          <w:kern w:val="0"/>
          <w:sz w:val="24"/>
          <w:szCs w:val="24"/>
          <w:lang w:val="en-US" w:eastAsia="zh-CN"/>
        </w:rPr>
        <w:t>乙方按照甲方要求指定配送点分批次送货，每批次甲方验收质量及数量并签字，货物按照竞争性磋商文件要求配送</w:t>
      </w:r>
      <w:r>
        <w:rPr>
          <w:rFonts w:hint="eastAsia" w:ascii="宋体" w:hAnsi="宋体" w:eastAsia="宋体" w:cs="宋体"/>
          <w:color w:val="000000"/>
          <w:kern w:val="0"/>
          <w:sz w:val="24"/>
          <w:szCs w:val="24"/>
          <w:lang w:val="en-US" w:eastAsia="zh-CN"/>
        </w:rPr>
        <w:t xml:space="preserve">完后依据验收单按月结算货款。若供货验收时出现质量问题或菜品不新鲜，甲方有权拒签供货单，拒收货物。因产品质量问题引起的一切责任事故，均由乙方全权负责，甲方不承担任何责任。 </w:t>
      </w:r>
    </w:p>
    <w:p w14:paraId="1E5CA7BE">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 xml:space="preserve">（2）乙方工作人员的行为与人身、财产安全由乙方负责。 </w:t>
      </w:r>
    </w:p>
    <w:p w14:paraId="0AA6EBE3">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 xml:space="preserve">（3）如有重大问题或发生重要变更，乙方须采取合理的措施避免给甲方造成损失，在3天内向甲方做出书面报告并在合理时间内回复甲方提出的与本项目相关的询问。如乙方违反本条的规定而给甲方造成损失，乙方应承担全部的赔偿责任。 </w:t>
      </w:r>
    </w:p>
    <w:p w14:paraId="42A2A7EE">
      <w:pPr>
        <w:pStyle w:val="5"/>
        <w:shd w:val="clear" w:color="auto" w:fill="auto"/>
        <w:spacing w:line="360" w:lineRule="auto"/>
        <w:ind w:firstLine="480"/>
        <w:jc w:val="both"/>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 xml:space="preserve">（4）因乙方提供不合格或过期产品，造成集体食物中毒等安全事故的，甲方有权单方解除合同，并要求赔偿因此给甲方造成的损失，追究乙方的法律责任。 </w:t>
      </w:r>
    </w:p>
    <w:p w14:paraId="3076C275">
      <w:pPr>
        <w:pStyle w:val="4"/>
        <w:keepNext/>
        <w:keepLines/>
        <w:spacing w:line="360" w:lineRule="auto"/>
        <w:ind w:firstLine="482" w:firstLineChars="200"/>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rPr>
        <w:t>5、国家法律、法规所规定由甲乙双方承担的其它责任。</w:t>
      </w:r>
      <w:bookmarkStart w:id="24" w:name="bookmark24"/>
      <w:bookmarkStart w:id="25" w:name="bookmark23"/>
      <w:bookmarkStart w:id="26" w:name="bookmark25"/>
    </w:p>
    <w:p w14:paraId="10F31417">
      <w:pPr>
        <w:pStyle w:val="4"/>
        <w:keepNext/>
        <w:keepLines/>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第七条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验收和评价方式</w:t>
      </w:r>
      <w:bookmarkEnd w:id="24"/>
      <w:bookmarkEnd w:id="25"/>
      <w:bookmarkEnd w:id="26"/>
    </w:p>
    <w:p w14:paraId="0A6141DC">
      <w:pPr>
        <w:pStyle w:val="5"/>
        <w:shd w:val="clear" w:color="auto" w:fill="auto"/>
        <w:spacing w:line="360" w:lineRule="auto"/>
        <w:ind w:firstLine="480"/>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1、所验食材及服务最终验收达不到磋商文件要求和磋商响应文件承诺及国家或行业标准，将视为验收不合格，除全部退货外，将取消乙方的供货资格，并由乙方承担由此造成的经济责任和法律责任。 </w:t>
      </w:r>
    </w:p>
    <w:p w14:paraId="65343B96">
      <w:pPr>
        <w:pStyle w:val="5"/>
        <w:shd w:val="clear" w:color="auto" w:fill="auto"/>
        <w:spacing w:line="360" w:lineRule="auto"/>
        <w:ind w:firstLine="480"/>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2、若发现乙方有弄虚作假现象、在项目实施阶段故意或随意夸大服务，则本合同解除，且乙方赔偿甲方相应的损失。 </w:t>
      </w:r>
    </w:p>
    <w:p w14:paraId="67307855">
      <w:pPr>
        <w:pStyle w:val="5"/>
        <w:shd w:val="clear" w:color="auto" w:fill="auto"/>
        <w:spacing w:line="360" w:lineRule="auto"/>
        <w:ind w:firstLine="480"/>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3、验收标准：按磋商文件、磋商响应文件等技术指标进行逐项验收。产品送到指定地点后由甲方和乙方共同验收，核对数量，检查产品的外观和质量等并留存样品，经检验无误共同签署产品配送单（二联单）、甲方、乙方各执一份，验收不合格的不予接收。乙方对最终的产品质量负全部责任。 </w:t>
      </w:r>
    </w:p>
    <w:p w14:paraId="6D12D611">
      <w:pPr>
        <w:pStyle w:val="5"/>
        <w:shd w:val="clear" w:color="auto" w:fill="auto"/>
        <w:spacing w:line="360" w:lineRule="auto"/>
        <w:ind w:firstLine="480"/>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4、验收合格后，填写验收单，双方签字生效。 </w:t>
      </w:r>
    </w:p>
    <w:p w14:paraId="460C1A20">
      <w:pPr>
        <w:pStyle w:val="5"/>
        <w:shd w:val="clear" w:color="auto" w:fill="auto"/>
        <w:spacing w:line="360" w:lineRule="auto"/>
        <w:ind w:firstLine="480"/>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5、验收依据： </w:t>
      </w:r>
    </w:p>
    <w:p w14:paraId="792CC052">
      <w:pPr>
        <w:pStyle w:val="5"/>
        <w:shd w:val="clear" w:color="auto" w:fill="auto"/>
        <w:spacing w:line="360" w:lineRule="auto"/>
        <w:ind w:firstLine="480"/>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（1）合同文本； </w:t>
      </w:r>
    </w:p>
    <w:p w14:paraId="3F157659">
      <w:pPr>
        <w:pStyle w:val="5"/>
        <w:shd w:val="clear" w:color="auto" w:fill="auto"/>
        <w:spacing w:line="360" w:lineRule="auto"/>
        <w:ind w:firstLine="480"/>
        <w:jc w:val="both"/>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（2）磋商响应文件及磋商文件；</w:t>
      </w:r>
    </w:p>
    <w:p w14:paraId="7F5C43B0">
      <w:pPr>
        <w:pStyle w:val="5"/>
        <w:shd w:val="clear" w:color="auto" w:fill="auto"/>
        <w:spacing w:line="360" w:lineRule="auto"/>
        <w:ind w:firstLine="480"/>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（3）国家和行业制定的相应的标准和规范。</w:t>
      </w:r>
    </w:p>
    <w:p w14:paraId="457E64F9">
      <w:pPr>
        <w:pStyle w:val="4"/>
        <w:keepNext/>
        <w:keepLines/>
        <w:spacing w:line="360" w:lineRule="auto"/>
        <w:rPr>
          <w:rFonts w:hint="eastAsia" w:ascii="宋体" w:hAnsi="宋体" w:eastAsia="宋体" w:cs="宋体"/>
          <w:sz w:val="24"/>
          <w:szCs w:val="24"/>
          <w:lang w:val="en-US" w:eastAsia="zh-CN"/>
        </w:rPr>
      </w:pPr>
      <w:bookmarkStart w:id="27" w:name="bookmark26"/>
      <w:bookmarkStart w:id="28" w:name="bookmark28"/>
      <w:bookmarkStart w:id="29" w:name="bookmark27"/>
      <w:r>
        <w:rPr>
          <w:rFonts w:hint="eastAsia" w:ascii="宋体" w:hAnsi="宋体" w:eastAsia="宋体" w:cs="宋体"/>
          <w:sz w:val="24"/>
          <w:szCs w:val="24"/>
        </w:rPr>
        <w:t>第八条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保密</w:t>
      </w:r>
      <w:bookmarkEnd w:id="27"/>
      <w:bookmarkEnd w:id="28"/>
      <w:bookmarkEnd w:id="29"/>
      <w:r>
        <w:rPr>
          <w:rFonts w:hint="eastAsia" w:ascii="宋体" w:hAnsi="宋体" w:eastAsia="宋体" w:cs="宋体"/>
          <w:sz w:val="24"/>
          <w:szCs w:val="24"/>
          <w:lang w:val="en-US" w:eastAsia="zh-CN"/>
        </w:rPr>
        <w:t>条款</w:t>
      </w:r>
    </w:p>
    <w:p w14:paraId="6D0968D8">
      <w:pPr>
        <w:pStyle w:val="5"/>
        <w:spacing w:line="360" w:lineRule="auto"/>
        <w:ind w:firstLine="500"/>
        <w:jc w:val="both"/>
        <w:rPr>
          <w:rFonts w:hint="eastAsia" w:ascii="宋体" w:hAnsi="宋体" w:eastAsia="宋体" w:cs="宋体"/>
          <w:sz w:val="24"/>
          <w:szCs w:val="24"/>
        </w:rPr>
      </w:pPr>
      <w:r>
        <w:rPr>
          <w:rFonts w:hint="eastAsia" w:ascii="宋体" w:hAnsi="宋体" w:eastAsia="宋体" w:cs="宋体"/>
          <w:sz w:val="24"/>
          <w:szCs w:val="24"/>
        </w:rPr>
        <w:t>对工作中了解到的甲方的技术、机密等进行严格保密，不得向他人泄漏。本合同的解除或终止不免除乙方应承担的保密义务。</w:t>
      </w:r>
    </w:p>
    <w:p w14:paraId="3515C3A9">
      <w:pPr>
        <w:pStyle w:val="4"/>
        <w:keepNext/>
        <w:keepLines/>
        <w:spacing w:line="360" w:lineRule="auto"/>
        <w:ind w:firstLine="500"/>
        <w:rPr>
          <w:rFonts w:hint="eastAsia" w:ascii="宋体" w:hAnsi="宋体" w:eastAsia="宋体" w:cs="宋体"/>
          <w:sz w:val="24"/>
          <w:szCs w:val="24"/>
        </w:rPr>
      </w:pPr>
      <w:bookmarkStart w:id="30" w:name="bookmark30"/>
      <w:bookmarkStart w:id="31" w:name="bookmark31"/>
      <w:bookmarkStart w:id="32" w:name="bookmark29"/>
      <w:r>
        <w:rPr>
          <w:rFonts w:hint="eastAsia" w:ascii="宋体" w:hAnsi="宋体" w:eastAsia="宋体" w:cs="宋体"/>
          <w:sz w:val="24"/>
          <w:szCs w:val="24"/>
        </w:rPr>
        <w:t>第九条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知识产权</w:t>
      </w:r>
      <w:bookmarkEnd w:id="30"/>
      <w:bookmarkEnd w:id="31"/>
      <w:bookmarkEnd w:id="32"/>
    </w:p>
    <w:p w14:paraId="65394CD8">
      <w:pPr>
        <w:pStyle w:val="5"/>
        <w:shd w:val="clear" w:color="auto" w:fill="auto"/>
        <w:spacing w:line="360" w:lineRule="auto"/>
        <w:ind w:firstLine="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乙方应对所供产品具有或已取得合法知识产权，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w:t>
      </w:r>
    </w:p>
    <w:p w14:paraId="32A65DED">
      <w:pPr>
        <w:pStyle w:val="4"/>
        <w:keepNext/>
        <w:keepLines/>
        <w:spacing w:line="360" w:lineRule="auto"/>
        <w:rPr>
          <w:rFonts w:hint="eastAsia" w:ascii="宋体" w:hAnsi="宋体" w:eastAsia="宋体" w:cs="宋体"/>
          <w:sz w:val="24"/>
          <w:szCs w:val="24"/>
        </w:rPr>
      </w:pPr>
      <w:bookmarkStart w:id="33" w:name="bookmark34"/>
      <w:bookmarkStart w:id="34" w:name="bookmark33"/>
      <w:bookmarkStart w:id="35" w:name="bookmark32"/>
      <w:r>
        <w:rPr>
          <w:rFonts w:hint="eastAsia" w:ascii="宋体" w:hAnsi="宋体" w:eastAsia="宋体" w:cs="宋体"/>
          <w:sz w:val="24"/>
          <w:szCs w:val="24"/>
        </w:rPr>
        <w:t>第十条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合同争议的解决</w:t>
      </w:r>
      <w:bookmarkEnd w:id="33"/>
      <w:bookmarkEnd w:id="34"/>
      <w:bookmarkEnd w:id="35"/>
    </w:p>
    <w:p w14:paraId="7A305AD8">
      <w:pPr>
        <w:pStyle w:val="5"/>
        <w:spacing w:line="360" w:lineRule="auto"/>
        <w:ind w:firstLine="500"/>
        <w:rPr>
          <w:rFonts w:hint="eastAsia" w:ascii="宋体" w:hAnsi="宋体" w:eastAsia="宋体" w:cs="宋体"/>
          <w:sz w:val="24"/>
          <w:szCs w:val="24"/>
        </w:rPr>
      </w:pPr>
      <w:r>
        <w:rPr>
          <w:rFonts w:hint="eastAsia" w:ascii="宋体" w:hAnsi="宋体" w:eastAsia="宋体" w:cs="宋体"/>
          <w:sz w:val="24"/>
          <w:szCs w:val="24"/>
        </w:rPr>
        <w:t>因本合同引起或与本合同有关的任何争议，甲、乙双方友好协商解决。协商不成的，向甲方所在地人民法院提起诉讼。</w:t>
      </w:r>
    </w:p>
    <w:p w14:paraId="29890489">
      <w:pPr>
        <w:pStyle w:val="4"/>
        <w:keepNext/>
        <w:keepLines/>
        <w:spacing w:line="360" w:lineRule="auto"/>
        <w:rPr>
          <w:rFonts w:hint="eastAsia" w:ascii="宋体" w:hAnsi="宋体" w:eastAsia="宋体" w:cs="宋体"/>
          <w:sz w:val="24"/>
          <w:szCs w:val="24"/>
        </w:rPr>
      </w:pPr>
      <w:bookmarkStart w:id="36" w:name="bookmark35"/>
      <w:bookmarkStart w:id="37" w:name="bookmark37"/>
      <w:bookmarkStart w:id="38" w:name="bookmark36"/>
      <w:r>
        <w:rPr>
          <w:rFonts w:hint="eastAsia" w:ascii="宋体" w:hAnsi="宋体" w:eastAsia="宋体" w:cs="宋体"/>
          <w:sz w:val="24"/>
          <w:szCs w:val="24"/>
        </w:rPr>
        <w:t>第十一条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免责条款</w:t>
      </w:r>
      <w:bookmarkEnd w:id="36"/>
      <w:bookmarkEnd w:id="37"/>
      <w:bookmarkEnd w:id="38"/>
    </w:p>
    <w:p w14:paraId="3543B898">
      <w:pPr>
        <w:pStyle w:val="5"/>
        <w:spacing w:line="360" w:lineRule="auto"/>
        <w:ind w:firstLine="500"/>
        <w:rPr>
          <w:rFonts w:hint="eastAsia" w:ascii="宋体" w:hAnsi="宋体" w:eastAsia="宋体" w:cs="宋体"/>
          <w:sz w:val="24"/>
          <w:szCs w:val="24"/>
        </w:rPr>
      </w:pPr>
      <w:r>
        <w:rPr>
          <w:rFonts w:hint="eastAsia" w:ascii="宋体" w:hAnsi="宋体" w:eastAsia="宋体" w:cs="宋体"/>
          <w:sz w:val="24"/>
          <w:szCs w:val="24"/>
        </w:rPr>
        <w:t>如因国家政策、市政建设、自然灾害以及其它不可抗力因素造成本合同确需提前终止的，双方互不视为违约。双方可协商变更或解除合同，甲、乙双方均不负责任。</w:t>
      </w:r>
    </w:p>
    <w:p w14:paraId="0829D77A">
      <w:pPr>
        <w:pStyle w:val="5"/>
        <w:spacing w:line="360" w:lineRule="auto"/>
        <w:ind w:firstLine="500"/>
        <w:rPr>
          <w:rFonts w:hint="eastAsia" w:ascii="宋体" w:hAnsi="宋体" w:eastAsia="宋体" w:cs="宋体"/>
          <w:sz w:val="24"/>
          <w:szCs w:val="24"/>
        </w:rPr>
      </w:pPr>
      <w:r>
        <w:rPr>
          <w:rFonts w:hint="eastAsia" w:ascii="宋体" w:hAnsi="宋体" w:eastAsia="宋体" w:cs="宋体"/>
          <w:sz w:val="24"/>
          <w:szCs w:val="24"/>
        </w:rPr>
        <w:t>双方约定不可抗力因素情况指：双方不可预见、不可避免、不可克服的客观情况，但不包括双方的违约或疏忽。这些事件包括但不限于：战争、严重火灾、洪水、台风、地震等。</w:t>
      </w:r>
    </w:p>
    <w:p w14:paraId="18672097">
      <w:pPr>
        <w:pStyle w:val="5"/>
        <w:spacing w:line="360" w:lineRule="auto"/>
        <w:ind w:firstLine="0"/>
        <w:rPr>
          <w:rFonts w:hint="eastAsia" w:ascii="宋体" w:hAnsi="宋体" w:eastAsia="宋体" w:cs="宋体"/>
          <w:b/>
          <w:bCs/>
          <w:sz w:val="24"/>
          <w:szCs w:val="24"/>
          <w:u w:val="none"/>
          <w:shd w:val="clear" w:color="auto" w:fill="auto"/>
          <w:lang w:val="en-US" w:eastAsia="zh-CN" w:bidi="zh-TW"/>
        </w:rPr>
      </w:pPr>
      <w:r>
        <w:rPr>
          <w:rFonts w:hint="eastAsia" w:ascii="宋体" w:hAnsi="宋体" w:eastAsia="宋体" w:cs="宋体"/>
          <w:b/>
          <w:bCs/>
          <w:sz w:val="24"/>
          <w:szCs w:val="24"/>
          <w:u w:val="none"/>
          <w:shd w:val="clear" w:color="auto" w:fill="auto"/>
          <w:lang w:val="en-US" w:eastAsia="zh-CN" w:bidi="zh-TW"/>
        </w:rPr>
        <w:t>第十二条 违约责任</w:t>
      </w:r>
    </w:p>
    <w:p w14:paraId="606D8832">
      <w:pPr>
        <w:pStyle w:val="5"/>
        <w:shd w:val="clear" w:color="auto" w:fill="auto"/>
        <w:spacing w:line="360" w:lineRule="auto"/>
        <w:ind w:firstLine="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按《中华人民共和国政府采购法》、《中华人民共和国民法典》中的相关条款执行。 </w:t>
      </w:r>
    </w:p>
    <w:p w14:paraId="1D2B2AF9">
      <w:pPr>
        <w:pStyle w:val="5"/>
        <w:shd w:val="clear" w:color="auto" w:fill="auto"/>
        <w:spacing w:line="360" w:lineRule="auto"/>
        <w:ind w:firstLine="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1、乙方未按合同或磋商文件要求提供服务或供应的服务质量不能满足甲方技术要求，甲方有权终止合同，并对乙方违约行为进行追究。 </w:t>
      </w:r>
    </w:p>
    <w:p w14:paraId="4CB85A31">
      <w:pPr>
        <w:pStyle w:val="5"/>
        <w:shd w:val="clear" w:color="auto" w:fill="auto"/>
        <w:spacing w:line="360" w:lineRule="auto"/>
        <w:ind w:firstLine="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2、如因双方过错造成合同不能履行、不能完全履行或不适当履行，应根据实际情况由双方分别承担各自应负的违约责任。 </w:t>
      </w:r>
    </w:p>
    <w:p w14:paraId="524738CB">
      <w:pPr>
        <w:pStyle w:val="5"/>
        <w:shd w:val="clear" w:color="auto" w:fill="auto"/>
        <w:spacing w:line="360" w:lineRule="auto"/>
        <w:ind w:firstLine="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 xml:space="preserve">3、如因任何一方过错造成合同不能履行、不能完全履行或不适当履行，由有过错的一方负责并承担由此造成的一切损失和费用以及另一方采取合理补救措施的一切费用。 </w:t>
      </w:r>
    </w:p>
    <w:p w14:paraId="51707CD5">
      <w:pPr>
        <w:pStyle w:val="5"/>
        <w:spacing w:line="360" w:lineRule="auto"/>
        <w:ind w:firstLine="500"/>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rPr>
        <w:t>4、甲方单方解除合同的，合同自甲方解除合同通知书送达乙方之日起自动终止。造成的甲方经济损失由乙方承担。</w:t>
      </w:r>
    </w:p>
    <w:p w14:paraId="360CA17E">
      <w:pPr>
        <w:pStyle w:val="4"/>
        <w:keepNext/>
        <w:keepLines/>
        <w:spacing w:line="360" w:lineRule="auto"/>
        <w:rPr>
          <w:rFonts w:hint="eastAsia" w:ascii="宋体" w:hAnsi="宋体" w:eastAsia="宋体" w:cs="宋体"/>
          <w:sz w:val="24"/>
          <w:szCs w:val="24"/>
        </w:rPr>
      </w:pPr>
      <w:r>
        <w:rPr>
          <w:rFonts w:hint="eastAsia" w:ascii="宋体" w:hAnsi="宋体" w:eastAsia="宋体" w:cs="宋体"/>
          <w:sz w:val="24"/>
          <w:szCs w:val="24"/>
        </w:rPr>
        <w:t>第十三条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其他</w:t>
      </w:r>
    </w:p>
    <w:p w14:paraId="157BFE95">
      <w:pPr>
        <w:pStyle w:val="5"/>
        <w:numPr>
          <w:ilvl w:val="0"/>
          <w:numId w:val="0"/>
        </w:numPr>
        <w:tabs>
          <w:tab w:val="left" w:pos="834"/>
        </w:tabs>
        <w:spacing w:line="360" w:lineRule="auto"/>
        <w:ind w:firstLine="480" w:firstLineChars="200"/>
        <w:jc w:val="both"/>
        <w:rPr>
          <w:rFonts w:hint="eastAsia" w:ascii="宋体" w:hAnsi="宋体" w:eastAsia="宋体" w:cs="宋体"/>
          <w:sz w:val="24"/>
          <w:szCs w:val="24"/>
        </w:rPr>
      </w:pPr>
      <w:bookmarkStart w:id="39" w:name="bookmark41"/>
      <w:bookmarkEnd w:id="39"/>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本合同一式肆份，具有同等法律效力，</w:t>
      </w:r>
      <w:r>
        <w:rPr>
          <w:rFonts w:hint="eastAsia" w:ascii="宋体" w:hAnsi="宋体" w:eastAsia="宋体" w:cs="宋体"/>
          <w:sz w:val="24"/>
          <w:szCs w:val="24"/>
          <w:lang w:val="en-US" w:eastAsia="zh-CN"/>
        </w:rPr>
        <w:t>甲乙</w:t>
      </w:r>
      <w:r>
        <w:rPr>
          <w:rFonts w:hint="eastAsia" w:ascii="宋体" w:hAnsi="宋体" w:eastAsia="宋体" w:cs="宋体"/>
          <w:sz w:val="24"/>
          <w:szCs w:val="24"/>
        </w:rPr>
        <w:t>双方各执壹份，监管部门备案壹份、采购代理机构存档壹份。各方签字并盖章后生效，合同执行完毕自动失效。（合同的服务承诺则长期有效）。</w:t>
      </w:r>
    </w:p>
    <w:p w14:paraId="358B720E">
      <w:pPr>
        <w:pStyle w:val="5"/>
        <w:numPr>
          <w:ilvl w:val="0"/>
          <w:numId w:val="0"/>
        </w:numPr>
        <w:tabs>
          <w:tab w:val="left" w:pos="834"/>
        </w:tabs>
        <w:spacing w:line="360" w:lineRule="auto"/>
        <w:ind w:firstLine="480" w:firstLineChars="200"/>
        <w:jc w:val="both"/>
        <w:rPr>
          <w:rFonts w:hint="eastAsia" w:ascii="宋体" w:hAnsi="宋体" w:eastAsia="宋体" w:cs="宋体"/>
          <w:sz w:val="24"/>
          <w:szCs w:val="24"/>
        </w:rPr>
      </w:pPr>
      <w:bookmarkStart w:id="40" w:name="bookmark42"/>
      <w:bookmarkEnd w:id="40"/>
      <w:r>
        <w:rPr>
          <w:rFonts w:hint="eastAsia" w:ascii="宋体" w:hAnsi="宋体" w:eastAsia="宋体" w:cs="宋体"/>
          <w:sz w:val="24"/>
          <w:szCs w:val="24"/>
          <w:lang w:val="en-US" w:eastAsia="zh-CN"/>
        </w:rPr>
        <w:t>2、</w:t>
      </w:r>
      <w:r>
        <w:rPr>
          <w:rFonts w:hint="eastAsia" w:ascii="宋体" w:hAnsi="宋体" w:eastAsia="宋体" w:cs="宋体"/>
          <w:sz w:val="24"/>
          <w:szCs w:val="24"/>
        </w:rPr>
        <w:t>本合同尾页甲乙双方的通讯地址及电话为双方联系的真实固定通讯地址，若在履行本合 同中双方有任何争议，甚至涉及诉讼时，该地址为双方通讯的地址。若其中一方通讯地址发生变化，应立即书面通知另一方，否则，造成双方联系障碍，由有过错的一方负责。</w:t>
      </w:r>
    </w:p>
    <w:p w14:paraId="2AA73994">
      <w:pPr>
        <w:pStyle w:val="5"/>
        <w:numPr>
          <w:ilvl w:val="0"/>
          <w:numId w:val="0"/>
        </w:numPr>
        <w:tabs>
          <w:tab w:val="left" w:pos="829"/>
        </w:tabs>
        <w:spacing w:line="360" w:lineRule="auto"/>
        <w:ind w:firstLine="480" w:firstLineChars="200"/>
        <w:jc w:val="both"/>
        <w:rPr>
          <w:rFonts w:hint="eastAsia" w:ascii="宋体" w:hAnsi="宋体" w:eastAsia="宋体" w:cs="宋体"/>
          <w:sz w:val="24"/>
          <w:szCs w:val="24"/>
        </w:rPr>
      </w:pPr>
      <w:bookmarkStart w:id="41" w:name="bookmark43"/>
      <w:bookmarkEnd w:id="41"/>
      <w:r>
        <w:rPr>
          <w:rFonts w:hint="eastAsia" w:ascii="宋体" w:hAnsi="宋体" w:eastAsia="宋体" w:cs="宋体"/>
          <w:sz w:val="24"/>
          <w:szCs w:val="24"/>
          <w:lang w:val="en-US" w:eastAsia="zh-CN"/>
        </w:rPr>
        <w:t>3、</w:t>
      </w:r>
      <w:r>
        <w:rPr>
          <w:rFonts w:hint="eastAsia" w:ascii="宋体" w:hAnsi="宋体" w:eastAsia="宋体" w:cs="宋体"/>
          <w:sz w:val="24"/>
          <w:szCs w:val="24"/>
        </w:rPr>
        <w:t>本合同履行期限为自合同签订之日至</w:t>
      </w:r>
      <w:r>
        <w:rPr>
          <w:rFonts w:hint="eastAsia" w:ascii="宋体" w:hAnsi="宋体" w:eastAsia="宋体" w:cs="宋体"/>
          <w:sz w:val="24"/>
          <w:szCs w:val="24"/>
          <w:u w:val="single"/>
          <w:lang w:val="en-US" w:eastAsia="zh-CN"/>
        </w:rPr>
        <w:t>2025年12月31日止</w:t>
      </w:r>
      <w:r>
        <w:rPr>
          <w:rFonts w:hint="eastAsia" w:ascii="宋体" w:hAnsi="宋体" w:eastAsia="宋体" w:cs="宋体"/>
          <w:sz w:val="24"/>
          <w:szCs w:val="24"/>
        </w:rPr>
        <w:t>。在本合同签订之日起3个月为乙方试用期，试用期间如乙方提供的产品或服务被甲方提出警告，乙方应限期作出整改并赔偿甲方所受损失。如警告两次或整改不得当，甲方有权单方终止合同。</w:t>
      </w:r>
    </w:p>
    <w:p w14:paraId="0B465405">
      <w:pPr>
        <w:pStyle w:val="5"/>
        <w:numPr>
          <w:ilvl w:val="0"/>
          <w:numId w:val="0"/>
        </w:numPr>
        <w:tabs>
          <w:tab w:val="left" w:pos="829"/>
        </w:tabs>
        <w:spacing w:line="360" w:lineRule="auto"/>
        <w:ind w:firstLine="0"/>
        <w:jc w:val="both"/>
        <w:rPr>
          <w:rFonts w:hint="eastAsia" w:ascii="宋体" w:hAnsi="宋体" w:eastAsia="宋体" w:cs="宋体"/>
          <w:sz w:val="24"/>
          <w:szCs w:val="24"/>
        </w:rPr>
      </w:pPr>
    </w:p>
    <w:p w14:paraId="7F340252">
      <w:pPr>
        <w:pStyle w:val="5"/>
        <w:numPr>
          <w:ilvl w:val="0"/>
          <w:numId w:val="0"/>
        </w:numPr>
        <w:tabs>
          <w:tab w:val="left" w:pos="829"/>
        </w:tabs>
        <w:spacing w:line="360" w:lineRule="auto"/>
        <w:ind w:firstLine="0"/>
        <w:jc w:val="both"/>
        <w:rPr>
          <w:rFonts w:hint="eastAsia" w:ascii="宋体" w:hAnsi="宋体" w:eastAsia="宋体" w:cs="宋体"/>
          <w:sz w:val="24"/>
          <w:szCs w:val="24"/>
        </w:rPr>
      </w:pPr>
    </w:p>
    <w:p w14:paraId="479B7605">
      <w:pPr>
        <w:pStyle w:val="5"/>
        <w:numPr>
          <w:ilvl w:val="0"/>
          <w:numId w:val="0"/>
        </w:numPr>
        <w:tabs>
          <w:tab w:val="left" w:pos="829"/>
        </w:tabs>
        <w:spacing w:line="360" w:lineRule="auto"/>
        <w:ind w:firstLine="0"/>
        <w:jc w:val="both"/>
        <w:rPr>
          <w:rFonts w:hint="eastAsia" w:ascii="宋体" w:hAnsi="宋体" w:eastAsia="宋体" w:cs="宋体"/>
          <w:sz w:val="24"/>
          <w:szCs w:val="24"/>
        </w:rPr>
      </w:pPr>
    </w:p>
    <w:p w14:paraId="3B03447C">
      <w:pPr>
        <w:pStyle w:val="5"/>
        <w:tabs>
          <w:tab w:val="left" w:pos="4723"/>
        </w:tabs>
        <w:spacing w:line="469" w:lineRule="exact"/>
        <w:ind w:firstLine="0"/>
        <w:rPr>
          <w:rFonts w:hint="eastAsia" w:ascii="宋体" w:hAnsi="宋体" w:eastAsia="宋体" w:cs="宋体"/>
          <w:sz w:val="24"/>
          <w:szCs w:val="24"/>
          <w:lang w:val="en-US" w:eastAsia="zh-CN"/>
        </w:rPr>
      </w:pPr>
      <w:r>
        <w:rPr>
          <w:rFonts w:hint="eastAsia" w:ascii="宋体" w:hAnsi="宋体" w:eastAsia="宋体" w:cs="宋体"/>
          <w:sz w:val="24"/>
          <w:szCs w:val="24"/>
        </w:rPr>
        <w:t>甲方：（盖章）</w:t>
      </w:r>
      <w:r>
        <w:rPr>
          <w:rFonts w:hint="eastAsia" w:ascii="宋体" w:hAnsi="宋体" w:eastAsia="宋体" w:cs="宋体"/>
          <w:sz w:val="24"/>
          <w:szCs w:val="24"/>
        </w:rPr>
        <w:tab/>
      </w:r>
      <w:r>
        <w:rPr>
          <w:rFonts w:hint="eastAsia" w:ascii="宋体" w:hAnsi="宋体" w:eastAsia="宋体" w:cs="宋体"/>
          <w:sz w:val="24"/>
          <w:szCs w:val="24"/>
        </w:rPr>
        <w:t>乙方：（盖章）</w:t>
      </w:r>
    </w:p>
    <w:p w14:paraId="7F86A3E2">
      <w:pPr>
        <w:pStyle w:val="5"/>
        <w:tabs>
          <w:tab w:val="left" w:pos="4723"/>
        </w:tabs>
        <w:spacing w:line="469" w:lineRule="exact"/>
        <w:ind w:firstLine="0"/>
        <w:rPr>
          <w:rFonts w:hint="eastAsia" w:ascii="宋体" w:hAnsi="宋体" w:eastAsia="宋体" w:cs="宋体"/>
          <w:sz w:val="24"/>
          <w:szCs w:val="24"/>
          <w:lang w:val="en-US" w:eastAsia="zh-CN"/>
        </w:rPr>
      </w:pPr>
      <w:r>
        <w:rPr>
          <w:rFonts w:hint="eastAsia" w:ascii="宋体" w:hAnsi="宋体" w:eastAsia="宋体" w:cs="宋体"/>
          <w:sz w:val="24"/>
          <w:szCs w:val="24"/>
        </w:rPr>
        <w:t>法定代表人或其授权代理人：（签字）</w:t>
      </w:r>
      <w:r>
        <w:rPr>
          <w:rFonts w:hint="eastAsia" w:ascii="宋体" w:hAnsi="宋体" w:eastAsia="宋体" w:cs="宋体"/>
          <w:sz w:val="24"/>
          <w:szCs w:val="24"/>
        </w:rPr>
        <w:tab/>
      </w:r>
      <w:r>
        <w:rPr>
          <w:rFonts w:hint="eastAsia" w:ascii="宋体" w:hAnsi="宋体" w:eastAsia="宋体" w:cs="宋体"/>
          <w:sz w:val="24"/>
          <w:szCs w:val="24"/>
        </w:rPr>
        <w:t>法定代表人或其授权代理人：（签字）</w:t>
      </w:r>
    </w:p>
    <w:p w14:paraId="02290F85">
      <w:pPr>
        <w:pStyle w:val="5"/>
        <w:tabs>
          <w:tab w:val="left" w:pos="4723"/>
        </w:tabs>
        <w:spacing w:line="469" w:lineRule="exact"/>
        <w:ind w:firstLine="0"/>
        <w:rPr>
          <w:rFonts w:hint="eastAsia" w:ascii="宋体" w:hAnsi="宋体" w:eastAsia="宋体" w:cs="宋体"/>
          <w:sz w:val="24"/>
          <w:szCs w:val="24"/>
          <w:lang w:val="en-US" w:eastAsia="zh-CN"/>
        </w:rPr>
      </w:pPr>
      <w:r>
        <w:rPr>
          <w:rFonts w:hint="eastAsia" w:ascii="宋体" w:hAnsi="宋体" w:eastAsia="宋体" w:cs="宋体"/>
          <w:sz w:val="24"/>
          <w:szCs w:val="24"/>
        </w:rPr>
        <w:t>开户银行：</w:t>
      </w:r>
      <w:r>
        <w:rPr>
          <w:rFonts w:hint="eastAsia" w:ascii="宋体" w:hAnsi="宋体" w:eastAsia="宋体" w:cs="宋体"/>
          <w:sz w:val="24"/>
          <w:szCs w:val="24"/>
        </w:rPr>
        <w:tab/>
      </w:r>
      <w:r>
        <w:rPr>
          <w:rFonts w:hint="eastAsia" w:ascii="宋体" w:hAnsi="宋体" w:eastAsia="宋体" w:cs="宋体"/>
          <w:sz w:val="24"/>
          <w:szCs w:val="24"/>
        </w:rPr>
        <w:t>开户银行：</w:t>
      </w:r>
    </w:p>
    <w:p w14:paraId="62F24451">
      <w:pPr>
        <w:pStyle w:val="5"/>
        <w:tabs>
          <w:tab w:val="left" w:pos="4723"/>
        </w:tabs>
        <w:spacing w:line="469" w:lineRule="exact"/>
        <w:ind w:firstLine="0"/>
        <w:rPr>
          <w:rFonts w:hint="eastAsia" w:ascii="宋体" w:hAnsi="宋体" w:eastAsia="宋体" w:cs="宋体"/>
          <w:sz w:val="24"/>
          <w:szCs w:val="24"/>
        </w:rPr>
      </w:pPr>
      <w:r>
        <w:rPr>
          <w:rFonts w:hint="eastAsia" w:ascii="宋体" w:hAnsi="宋体" w:eastAsia="宋体" w:cs="宋体"/>
          <w:sz w:val="24"/>
          <w:szCs w:val="24"/>
        </w:rPr>
        <w:t>账号：</w:t>
      </w:r>
      <w:r>
        <w:rPr>
          <w:rFonts w:hint="eastAsia" w:ascii="宋体" w:hAnsi="宋体" w:eastAsia="宋体" w:cs="宋体"/>
          <w:sz w:val="24"/>
          <w:szCs w:val="24"/>
        </w:rPr>
        <w:tab/>
      </w:r>
      <w:r>
        <w:rPr>
          <w:rFonts w:hint="eastAsia" w:ascii="宋体" w:hAnsi="宋体" w:eastAsia="宋体" w:cs="宋体"/>
          <w:sz w:val="24"/>
          <w:szCs w:val="24"/>
        </w:rPr>
        <w:t>账号：</w:t>
      </w:r>
    </w:p>
    <w:p w14:paraId="54EC4FF9">
      <w:pPr>
        <w:pStyle w:val="5"/>
        <w:tabs>
          <w:tab w:val="left" w:pos="4723"/>
        </w:tabs>
        <w:spacing w:line="469" w:lineRule="exact"/>
        <w:ind w:firstLine="0"/>
        <w:rPr>
          <w:rFonts w:hint="eastAsia" w:ascii="宋体" w:hAnsi="宋体" w:eastAsia="宋体" w:cs="宋体"/>
          <w:sz w:val="24"/>
          <w:szCs w:val="24"/>
          <w:lang w:val="en-US" w:eastAsia="zh-CN"/>
        </w:rPr>
      </w:pPr>
      <w:r>
        <w:rPr>
          <w:rFonts w:hint="eastAsia" w:ascii="宋体" w:hAnsi="宋体" w:eastAsia="宋体" w:cs="宋体"/>
          <w:sz w:val="24"/>
          <w:szCs w:val="24"/>
        </w:rPr>
        <w:t>电话：</w:t>
      </w:r>
      <w:r>
        <w:rPr>
          <w:rFonts w:hint="eastAsia" w:ascii="宋体" w:hAnsi="宋体" w:eastAsia="宋体" w:cs="宋体"/>
          <w:sz w:val="24"/>
          <w:szCs w:val="24"/>
        </w:rPr>
        <w:tab/>
      </w:r>
      <w:r>
        <w:rPr>
          <w:rFonts w:hint="eastAsia" w:ascii="宋体" w:hAnsi="宋体" w:eastAsia="宋体" w:cs="宋体"/>
          <w:sz w:val="24"/>
          <w:szCs w:val="24"/>
        </w:rPr>
        <w:t>电话：</w:t>
      </w:r>
    </w:p>
    <w:p w14:paraId="28C97426">
      <w:pPr>
        <w:pStyle w:val="5"/>
        <w:tabs>
          <w:tab w:val="left" w:pos="4723"/>
        </w:tabs>
        <w:spacing w:line="469" w:lineRule="exact"/>
        <w:ind w:firstLine="0"/>
        <w:rPr>
          <w:rFonts w:hint="eastAsia" w:ascii="宋体" w:hAnsi="宋体" w:eastAsia="宋体" w:cs="宋体"/>
          <w:sz w:val="24"/>
          <w:szCs w:val="24"/>
          <w:lang w:val="en-US" w:eastAsia="zh-CN"/>
        </w:rPr>
      </w:pPr>
      <w:r>
        <w:rPr>
          <w:rFonts w:hint="eastAsia" w:ascii="宋体" w:hAnsi="宋体" w:eastAsia="宋体" w:cs="宋体"/>
          <w:sz w:val="24"/>
          <w:szCs w:val="24"/>
        </w:rPr>
        <w:t>地址：</w:t>
      </w:r>
      <w:r>
        <w:rPr>
          <w:rFonts w:hint="eastAsia" w:ascii="宋体" w:hAnsi="宋体" w:eastAsia="宋体" w:cs="宋体"/>
          <w:sz w:val="24"/>
          <w:szCs w:val="24"/>
        </w:rPr>
        <w:tab/>
      </w:r>
      <w:r>
        <w:rPr>
          <w:rFonts w:hint="eastAsia" w:ascii="宋体" w:hAnsi="宋体" w:eastAsia="宋体" w:cs="宋体"/>
          <w:sz w:val="24"/>
          <w:szCs w:val="24"/>
        </w:rPr>
        <w:t>地址：</w:t>
      </w:r>
    </w:p>
    <w:p w14:paraId="6BDE74A9">
      <w:pPr>
        <w:pStyle w:val="5"/>
        <w:tabs>
          <w:tab w:val="left" w:pos="4723"/>
        </w:tabs>
        <w:spacing w:line="469" w:lineRule="exact"/>
        <w:ind w:firstLine="0"/>
        <w:rPr>
          <w:rFonts w:hint="eastAsia" w:ascii="宋体" w:hAnsi="宋体" w:eastAsia="宋体" w:cs="宋体"/>
          <w:sz w:val="24"/>
          <w:szCs w:val="24"/>
          <w:lang w:val="en-US" w:eastAsia="zh-CN"/>
        </w:rPr>
      </w:pPr>
      <w:r>
        <w:rPr>
          <w:rFonts w:hint="eastAsia" w:ascii="宋体" w:hAnsi="宋体" w:eastAsia="宋体" w:cs="宋体"/>
          <w:sz w:val="24"/>
          <w:szCs w:val="24"/>
        </w:rPr>
        <w:t>日期：</w:t>
      </w:r>
      <w:r>
        <w:rPr>
          <w:rFonts w:hint="eastAsia" w:ascii="宋体" w:hAnsi="宋体" w:eastAsia="宋体" w:cs="宋体"/>
          <w:sz w:val="24"/>
          <w:szCs w:val="24"/>
        </w:rPr>
        <w:tab/>
      </w:r>
      <w:r>
        <w:rPr>
          <w:rFonts w:hint="eastAsia" w:ascii="宋体" w:hAnsi="宋体" w:eastAsia="宋体" w:cs="宋体"/>
          <w:sz w:val="24"/>
          <w:szCs w:val="24"/>
        </w:rPr>
        <w:t>日期：</w:t>
      </w:r>
    </w:p>
    <w:p w14:paraId="3B3E398F">
      <w:pPr>
        <w:pStyle w:val="5"/>
        <w:spacing w:line="469" w:lineRule="exact"/>
        <w:ind w:firstLine="0"/>
        <w:rPr>
          <w:rFonts w:hint="eastAsia" w:ascii="宋体" w:hAnsi="宋体" w:eastAsia="宋体" w:cs="宋体"/>
          <w:sz w:val="24"/>
          <w:szCs w:val="24"/>
        </w:rPr>
      </w:pPr>
    </w:p>
    <w:p w14:paraId="0309FB91">
      <w:pPr>
        <w:rPr>
          <w:rFonts w:hint="eastAsia" w:ascii="宋体" w:hAnsi="宋体" w:eastAsia="宋体" w:cs="宋体"/>
        </w:rPr>
      </w:pPr>
    </w:p>
    <w:p w14:paraId="7A1FDCFB">
      <w:pPr>
        <w:pStyle w:val="6"/>
      </w:pPr>
    </w:p>
    <w:p w14:paraId="39AC72B7">
      <w:pPr>
        <w:pStyle w:val="6"/>
        <w:rPr>
          <w:rFonts w:hint="eastAsia"/>
          <w:lang w:val="en-US" w:eastAsia="zh-Hans"/>
        </w:rPr>
      </w:pPr>
      <w:r>
        <w:t xml:space="preserve"> </w:t>
      </w:r>
      <w:r>
        <w:br w:type="textWrapping"/>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ED5781"/>
    <w:multiLevelType w:val="singleLevel"/>
    <w:tmpl w:val="80ED5781"/>
    <w:lvl w:ilvl="0" w:tentative="0">
      <w:start w:val="1"/>
      <w:numFmt w:val="decimal"/>
      <w:suff w:val="nothing"/>
      <w:lvlText w:val="%1、"/>
      <w:lvlJc w:val="left"/>
    </w:lvl>
  </w:abstractNum>
  <w:abstractNum w:abstractNumId="1">
    <w:nsid w:val="647ACA4D"/>
    <w:multiLevelType w:val="singleLevel"/>
    <w:tmpl w:val="647ACA4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0E1A26"/>
    <w:rsid w:val="040E1A26"/>
    <w:rsid w:val="26D64A54"/>
    <w:rsid w:val="2FC33BD3"/>
    <w:rsid w:val="61502C69"/>
    <w:rsid w:val="798C1C7D"/>
    <w:rsid w:val="7A0C1E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Heading #1|1"/>
    <w:basedOn w:val="1"/>
    <w:qFormat/>
    <w:uiPriority w:val="0"/>
    <w:pPr>
      <w:widowControl w:val="0"/>
      <w:shd w:val="clear" w:color="auto" w:fill="auto"/>
      <w:spacing w:line="473" w:lineRule="exact"/>
      <w:outlineLvl w:val="0"/>
    </w:pPr>
    <w:rPr>
      <w:rFonts w:ascii="宋体" w:hAnsi="宋体" w:eastAsia="宋体" w:cs="宋体"/>
      <w:b/>
      <w:bCs/>
      <w:u w:val="none"/>
      <w:shd w:val="clear" w:color="auto" w:fill="auto"/>
      <w:lang w:val="zh-TW" w:eastAsia="zh-TW" w:bidi="zh-TW"/>
    </w:rPr>
  </w:style>
  <w:style w:type="paragraph" w:customStyle="1" w:styleId="5">
    <w:name w:val="Body text|1"/>
    <w:basedOn w:val="1"/>
    <w:qFormat/>
    <w:uiPriority w:val="0"/>
    <w:pPr>
      <w:widowControl w:val="0"/>
      <w:shd w:val="clear" w:color="auto" w:fill="auto"/>
      <w:spacing w:line="410" w:lineRule="auto"/>
      <w:ind w:firstLine="400"/>
    </w:pPr>
    <w:rPr>
      <w:rFonts w:ascii="宋体" w:hAnsi="宋体" w:eastAsia="宋体" w:cs="宋体"/>
      <w:u w:val="none"/>
      <w:shd w:val="clear" w:color="auto" w:fill="auto"/>
      <w:lang w:val="zh-TW" w:eastAsia="zh-TW" w:bidi="zh-TW"/>
    </w:r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39135;&#26448;&#38468;&#20214;\&#21512;&#21516;&#25991;&#2641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合同文本.dotx</Template>
  <Pages>6</Pages>
  <Words>3131</Words>
  <Characters>3169</Characters>
  <Lines>0</Lines>
  <Paragraphs>0</Paragraphs>
  <TotalTime>1</TotalTime>
  <ScaleCrop>false</ScaleCrop>
  <LinksUpToDate>false</LinksUpToDate>
  <CharactersWithSpaces>3316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2025-04-16T11:18:00Z</dcterms:created>
  <dc:creator>娜儿</dc:creator>
  <cp:lastModifiedBy>娜儿</cp:lastModifiedBy>
  <dcterms:modified xsi:type="dcterms:W3CDTF">2025-05-06T08:46:02Z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eyJoZGlkIjoiODBmMGEwYTA2YzZiNmM0YWEwY2JkNjliMWRlZjRiOGIiLCJ1c2VySWQiOiI1MDU3OTE2NzgifQ==</vt:lpwstr>
  </property>
  <property fmtid="{D5CDD505-2E9C-101B-9397-08002B2CF9AE}" pid="4" name="ICV">
    <vt:lpwstr>FF90DC452625451D831871EB06FC5E24_11</vt:lpwstr>
  </property>
</Properties>
</file>