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版本号：SXLX25-02-034Z(F)20250508001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办公用房租赁项目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SXLX25-02-034Z(F)</w:t>
      </w:r>
      <w:r>
        <w:br/>
      </w:r>
      <w:r>
        <w:br/>
      </w:r>
      <w:r>
        <w:br/>
      </w:r>
    </w:p>
    <w:p>
      <w:pPr>
        <w:pStyle w:val="null3"/>
        <w:jc w:val="center"/>
        <w:outlineLvl w:val="5"/>
      </w:pPr>
      <w:r>
        <w:rPr>
          <w:rFonts w:ascii="仿宋_GB2312" w:hAnsi="仿宋_GB2312" w:cs="仿宋_GB2312" w:eastAsia="仿宋_GB2312"/>
          <w:sz w:val="15"/>
          <w:b/>
        </w:rPr>
        <w:t>西安市碑林区退役军人事务局</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西安市碑林区退役军人事务局</w:t>
      </w:r>
      <w:r>
        <w:rPr>
          <w:rFonts w:ascii="仿宋_GB2312" w:hAnsi="仿宋_GB2312" w:cs="仿宋_GB2312" w:eastAsia="仿宋_GB2312"/>
        </w:rPr>
        <w:t>委托，拟对</w:t>
      </w:r>
      <w:r>
        <w:rPr>
          <w:rFonts w:ascii="仿宋_GB2312" w:hAnsi="仿宋_GB2312" w:cs="仿宋_GB2312" w:eastAsia="仿宋_GB2312"/>
        </w:rPr>
        <w:t>办公用房租赁项目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SXLX25-02-034Z(F)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办公用房租赁项目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西安市碑林区退役军人事务局办公用房租赁项目，房屋坐落于西安市碑林区标新街119号B区一处，建筑面积（含10%公摊）共计1085.6平方米。</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采购包1（办公用房租赁项目）：属于专门面向中小企业采购。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西安市碑林区标新街119号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029-83231300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采购包1：618,427.30元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采购包1：618,427.30元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采购代理服务费不足捌仟按捌仟收取，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西安市碑林区退役军人事务局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西安市碑林区退役军人事务局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国家、陕西省、西安市颁布的有关规范要求、行业标准及采购人要求。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16"/>
        </w:rPr>
        <w:t>西安市碑林区退役军人事务局办公用房租赁项目，</w:t>
      </w:r>
      <w:r>
        <w:rPr>
          <w:rFonts w:ascii="仿宋_GB2312" w:hAnsi="仿宋_GB2312" w:cs="仿宋_GB2312" w:eastAsia="仿宋_GB2312"/>
          <w:sz w:val="16"/>
        </w:rPr>
        <w:t>房屋坐落于西安市碑林区标新街</w:t>
      </w:r>
      <w:r>
        <w:rPr>
          <w:rFonts w:ascii="仿宋_GB2312" w:hAnsi="仿宋_GB2312" w:cs="仿宋_GB2312" w:eastAsia="仿宋_GB2312"/>
          <w:sz w:val="16"/>
        </w:rPr>
        <w:t>119号B区一处，建筑</w:t>
      </w:r>
      <w:r>
        <w:rPr>
          <w:rFonts w:ascii="仿宋_GB2312" w:hAnsi="仿宋_GB2312" w:cs="仿宋_GB2312" w:eastAsia="仿宋_GB2312"/>
          <w:sz w:val="16"/>
        </w:rPr>
        <w:t>面积（含</w:t>
      </w:r>
      <w:r>
        <w:rPr>
          <w:rFonts w:ascii="仿宋_GB2312" w:hAnsi="仿宋_GB2312" w:cs="仿宋_GB2312" w:eastAsia="仿宋_GB2312"/>
          <w:sz w:val="16"/>
        </w:rPr>
        <w:t>10%公摊）</w:t>
      </w:r>
      <w:r>
        <w:rPr>
          <w:rFonts w:ascii="仿宋_GB2312" w:hAnsi="仿宋_GB2312" w:cs="仿宋_GB2312" w:eastAsia="仿宋_GB2312"/>
          <w:sz w:val="16"/>
        </w:rPr>
        <w:t>共计</w:t>
      </w:r>
      <w:r>
        <w:rPr>
          <w:rFonts w:ascii="仿宋_GB2312" w:hAnsi="仿宋_GB2312" w:cs="仿宋_GB2312" w:eastAsia="仿宋_GB2312"/>
          <w:sz w:val="16"/>
        </w:rPr>
        <w:t>1085.6</w:t>
      </w:r>
      <w:r>
        <w:rPr>
          <w:rFonts w:ascii="仿宋_GB2312" w:hAnsi="仿宋_GB2312" w:cs="仿宋_GB2312" w:eastAsia="仿宋_GB2312"/>
          <w:sz w:val="16"/>
        </w:rPr>
        <w:t>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618,427.30</w:t>
      </w:r>
    </w:p>
    <w:p>
      <w:pPr>
        <w:pStyle w:val="null3"/>
      </w:pPr>
      <w:r>
        <w:rPr>
          <w:rFonts w:ascii="仿宋_GB2312" w:hAnsi="仿宋_GB2312" w:cs="仿宋_GB2312" w:eastAsia="仿宋_GB2312"/>
        </w:rPr>
        <w:t>采购包最高限价（元）: 618,427.30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618,427.30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left"/>
              <w:outlineLvl w:val="1"/>
            </w:pPr>
            <w:r>
              <w:rPr>
                <w:rFonts w:ascii="仿宋_GB2312" w:hAnsi="仿宋_GB2312" w:cs="仿宋_GB2312" w:eastAsia="仿宋_GB2312"/>
                <w:sz w:val="18"/>
                <w:b/>
              </w:rPr>
              <w:t>一、项目概况及总体要求</w:t>
            </w:r>
          </w:p>
          <w:p>
            <w:pPr>
              <w:pStyle w:val="null3"/>
              <w:ind w:firstLine="367"/>
              <w:jc w:val="left"/>
            </w:pPr>
            <w:r>
              <w:rPr>
                <w:rFonts w:ascii="仿宋_GB2312" w:hAnsi="仿宋_GB2312" w:cs="仿宋_GB2312" w:eastAsia="仿宋_GB2312"/>
                <w:sz w:val="18"/>
              </w:rPr>
              <w:t>西安市碑林区退役军人事务局办公用房租赁项目，</w:t>
            </w:r>
            <w:r>
              <w:rPr>
                <w:rFonts w:ascii="仿宋_GB2312" w:hAnsi="仿宋_GB2312" w:cs="仿宋_GB2312" w:eastAsia="仿宋_GB2312"/>
                <w:sz w:val="18"/>
              </w:rPr>
              <w:t>房屋坐落于西安市碑林区标新街119号B区一处，建筑</w:t>
            </w:r>
            <w:r>
              <w:rPr>
                <w:rFonts w:ascii="仿宋_GB2312" w:hAnsi="仿宋_GB2312" w:cs="仿宋_GB2312" w:eastAsia="仿宋_GB2312"/>
                <w:sz w:val="18"/>
              </w:rPr>
              <w:t>面积（含10%公摊）</w:t>
            </w:r>
            <w:r>
              <w:rPr>
                <w:rFonts w:ascii="仿宋_GB2312" w:hAnsi="仿宋_GB2312" w:cs="仿宋_GB2312" w:eastAsia="仿宋_GB2312"/>
                <w:sz w:val="18"/>
              </w:rPr>
              <w:t>共计1085.6</w:t>
            </w:r>
            <w:r>
              <w:rPr>
                <w:rFonts w:ascii="仿宋_GB2312" w:hAnsi="仿宋_GB2312" w:cs="仿宋_GB2312" w:eastAsia="仿宋_GB2312"/>
                <w:sz w:val="18"/>
              </w:rPr>
              <w:t>平方米。</w:t>
            </w:r>
          </w:p>
          <w:p>
            <w:pPr>
              <w:pStyle w:val="null3"/>
              <w:ind w:firstLine="369"/>
              <w:jc w:val="left"/>
            </w:pPr>
            <w:r>
              <w:rPr>
                <w:rFonts w:ascii="仿宋_GB2312" w:hAnsi="仿宋_GB2312" w:cs="仿宋_GB2312" w:eastAsia="仿宋_GB2312"/>
                <w:sz w:val="18"/>
                <w:b/>
              </w:rPr>
              <w:t>本项目所属行业为</w:t>
            </w:r>
            <w:r>
              <w:rPr>
                <w:rFonts w:ascii="仿宋_GB2312" w:hAnsi="仿宋_GB2312" w:cs="仿宋_GB2312" w:eastAsia="仿宋_GB2312"/>
                <w:sz w:val="18"/>
                <w:b/>
              </w:rPr>
              <w:t>物业管理。</w:t>
            </w:r>
            <w:r>
              <w:rPr>
                <w:rFonts w:ascii="仿宋_GB2312" w:hAnsi="仿宋_GB2312" w:cs="仿宋_GB2312" w:eastAsia="仿宋_GB2312"/>
                <w:sz w:val="18"/>
              </w:rPr>
              <w:t>（从业人员300人以下的为中小微型企业。其中，从业人员100人及以上的为中型企业；从业人员10人及以上的为小型企业；从业人员10人以下的为微型企业。）</w:t>
            </w:r>
          </w:p>
          <w:p>
            <w:pPr>
              <w:pStyle w:val="null3"/>
              <w:spacing w:before="150" w:after="150"/>
              <w:jc w:val="left"/>
              <w:outlineLvl w:val="1"/>
            </w:pPr>
            <w:r>
              <w:rPr>
                <w:rFonts w:ascii="仿宋_GB2312" w:hAnsi="仿宋_GB2312" w:cs="仿宋_GB2312" w:eastAsia="仿宋_GB2312"/>
                <w:sz w:val="18"/>
                <w:b/>
              </w:rPr>
              <w:t>二、服务内容与要求</w:t>
            </w:r>
          </w:p>
          <w:p>
            <w:pPr>
              <w:pStyle w:val="null3"/>
              <w:spacing w:after="90"/>
              <w:ind w:left="-360" w:firstLine="630"/>
              <w:jc w:val="left"/>
            </w:pPr>
            <w:r>
              <w:rPr>
                <w:rFonts w:ascii="仿宋_GB2312" w:hAnsi="仿宋_GB2312" w:cs="仿宋_GB2312" w:eastAsia="仿宋_GB2312"/>
                <w:sz w:val="18"/>
              </w:rPr>
              <w:t>1、供应商提供的办公场所无产权纠纷，办公场所面积应满足所需面积。</w:t>
            </w:r>
          </w:p>
          <w:p>
            <w:pPr>
              <w:pStyle w:val="null3"/>
              <w:spacing w:after="90"/>
              <w:ind w:left="-360" w:firstLine="630"/>
              <w:jc w:val="left"/>
            </w:pPr>
            <w:r>
              <w:rPr>
                <w:rFonts w:ascii="仿宋_GB2312" w:hAnsi="仿宋_GB2312" w:cs="仿宋_GB2312" w:eastAsia="仿宋_GB2312"/>
                <w:sz w:val="18"/>
              </w:rPr>
              <w:t>2、供应商供水、供电、供气等基础设施配套齐全，满足采购人日常办公需求。</w:t>
            </w:r>
          </w:p>
          <w:p>
            <w:pPr>
              <w:pStyle w:val="null3"/>
              <w:spacing w:after="90"/>
              <w:ind w:left="-360" w:firstLine="630"/>
              <w:jc w:val="left"/>
            </w:pPr>
            <w:r>
              <w:rPr>
                <w:rFonts w:ascii="仿宋_GB2312" w:hAnsi="仿宋_GB2312" w:cs="仿宋_GB2312" w:eastAsia="仿宋_GB2312"/>
                <w:sz w:val="18"/>
              </w:rPr>
              <w:t>3、房屋在出租前，符合国家关于建筑、治安、室内空气质量等安全规定和标准。</w:t>
            </w:r>
          </w:p>
          <w:p>
            <w:pPr>
              <w:pStyle w:val="null3"/>
              <w:spacing w:after="90"/>
              <w:ind w:left="-360" w:firstLine="630"/>
              <w:jc w:val="left"/>
            </w:pPr>
            <w:r>
              <w:rPr>
                <w:rFonts w:ascii="仿宋_GB2312" w:hAnsi="仿宋_GB2312" w:cs="仿宋_GB2312" w:eastAsia="仿宋_GB2312"/>
                <w:sz w:val="18"/>
              </w:rPr>
              <w:t>4、房屋及其附属设施在交付采购人时处于正常、安全可使用状态。</w:t>
            </w:r>
          </w:p>
          <w:p>
            <w:pPr>
              <w:pStyle w:val="null3"/>
              <w:spacing w:after="90"/>
              <w:ind w:left="-360" w:firstLine="630"/>
              <w:jc w:val="left"/>
            </w:pPr>
            <w:r>
              <w:rPr>
                <w:rFonts w:ascii="仿宋_GB2312" w:hAnsi="仿宋_GB2312" w:cs="仿宋_GB2312" w:eastAsia="仿宋_GB2312"/>
                <w:sz w:val="18"/>
              </w:rPr>
              <w:t>5、供应商负责出租房屋正常使用时的主体结构和出租房屋以外的用电线路等各类设施的 维修保养。</w:t>
            </w:r>
          </w:p>
          <w:p>
            <w:pPr>
              <w:pStyle w:val="null3"/>
              <w:spacing w:after="90"/>
              <w:ind w:left="-360" w:firstLine="630"/>
              <w:jc w:val="left"/>
            </w:pPr>
            <w:r>
              <w:rPr>
                <w:rFonts w:ascii="仿宋_GB2312" w:hAnsi="仿宋_GB2312" w:cs="仿宋_GB2312" w:eastAsia="仿宋_GB2312"/>
                <w:sz w:val="18"/>
              </w:rPr>
              <w:t>6、租赁期间供应商应对出租房屋内部（涉及物业公司应管理的事项及应属供应商负责的）外部有关设施</w:t>
            </w:r>
            <w:r>
              <w:rPr>
                <w:rFonts w:ascii="仿宋_GB2312" w:hAnsi="仿宋_GB2312" w:cs="仿宋_GB2312" w:eastAsia="仿宋_GB2312"/>
                <w:sz w:val="18"/>
              </w:rPr>
              <w:t>进行定期检查，出现问题及时维修，保证租赁期内上下水、照明线路等各类设施的正常使用。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按项目服务要求及特性，自行组织实施与管理，相关人员经过严格培训，能够胜任项目工作，保证房屋租赁期间日常房屋条件满足日常办公活动需求。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根据项目特性，自行配置投入有利于完成本项目服务各类设施设备（不限于水、电、气配套设施完善、专业设备、辅助设备等），保证房屋租赁期间房屋条件满足日常办公活动需求。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自合同签订之日起3年，本预算为一年租赁期，1年租赁期满后，采购人根据相关政策与供应商续签下一年合同，以本次采购内容及报价为依据，最多续签2年。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每半年支付，半年付款周期到之后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每半年支付，半年付款周期到之后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国家、陕西省、西安市颁布的有关规范要求、行业标准及采购人要求。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一、成交供应商在领取成交通知书时提供纸质版响应文件2套，应通过专用制作软件直接打印，确保与电子投标文件保持一致，不允许修改和补充。提交地点：陕西省西安市雁塔区雁翔路111号赛格·中京坊6幢1单元2层10201室招标二部。 二、供应商的报价是供应商响应本项目要求的全部工作内容的价格体现，包括供应商完成本项目所需的直接费、间接费、利润、税金及其它相关的一切费用。包括但不限于：房租、人工费、设备费、管理费、验收费、采购代理服务费、利润和税金等全部费用。在提供服务的过程中的任何遗漏，均由成交供应商免费提供，采购人将不再支付任何费用。 三、协商有效期 1.出现特殊情况需要延长响应有效期的，采购代理机构或采购人可于响应有效期满之前，以书面形式通知所有供应商延长响应有效期。供应商应予书面答复，同意延长的，应相应延长其协商保证金（如有）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四、分公司独立参与协商时，不能使用总公司的资质或业绩；总公司单独参与协商时，除总公司所投产品为分公司生产的产品外，不能使用分公司的资质或业绩。总公司授权分公司或分支机构参与协商的，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六、签名是指手写签名或者加盖名章(含电子签名或电子印章)，盖章是指加盖单位印章。 七、本项目需要落实的政府采购政策 （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 （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 （3）支持本国产业政策：《财政部关于印发&lt;进口产品管理办法&gt;的通知》（财库〔2007〕119号）；《财政部办公厅关于政府采购进口产品管理有关问题的通知》（财办库〔2008〕248号）。 （4）支持创新等政府采购政策。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1）供应商的营业执照等证明文件，自然人的身份证明；(2)法定代表人（单位负责人）参加协商的，提供本人身份证复印件；法定代表人（单位负责人）授权他人参加协商的，提供法定代表人（单位负责人）委托授权书及被授权代表的身份证复印件；（3）税收缴纳证明；（4）社会保障资金缴纳证明；（5）具备履行合同所必需的设备和专业技术能力的证明；（6）参加本次协商前3年内，在经营活动中没有重大违法记录的书面声明。（7）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注：1、根据《中华人民共和国政府采购法》第二十三条规定，采购人应依法对供应商的资格进行审查。经采购人授权，资格审查工作可由资格审查小组完成。 2、资格审查小组，由经采购人授权的采购人代表和采购代理机构工作人员3人及以上单数组成，采购代理机构项目经理担任资格审查小组组长。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或2024年度经审计的财务会计报告或其提交响应文件截止时间前3个月内银行出具的资信证明。（以上形式的资料提供任何一种即可）要求：（1）供应商是企业法人的，应提供2023或2024全年度经审计的供应商财务报告，包括“四表一注”即《资产负债表》《利润表》《现金流量表》《所有者权益变动表》及其附注，或者提交响应文件截止时间前3个月内其基本账户开户银行出具的资信证明（附基本存款账户信息）。（以上形式的资料提供任何一种即可）（2）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以上形式的资料提供任何一种即可）（3）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供应商应为中小企业或者为残疾人福利性单位或者为监狱企业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供应商响应文件满足采购文件中的实质性要求。</w:t>
            </w:r>
          </w:p>
        </w:tc>
        <w:tc>
          <w:tcPr>
            <w:tcW w:type="dxa" w:w="1661"/>
          </w:tcPr>
          <w:p>
            <w:pPr>
              <w:pStyle w:val="null3"/>
            </w:pPr>
            <w:r>
              <w:rPr>
                <w:rFonts w:ascii="仿宋_GB2312" w:hAnsi="仿宋_GB2312" w:cs="仿宋_GB2312" w:eastAsia="仿宋_GB2312"/>
              </w:rPr>
              <w:t>响应文件封面 商务技术文件.docx 标的清单 报价表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过程中，协商小组认为供应商报价明显低于其他通过符合性审查供应商的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响应文件中不存在采购文件规定的无效情形。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应符合采购文件中的规定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