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版本号：ZHZB-2025-5320250612001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校园硬化、绿化及室外管网工程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ZHZB-2025-53</w:t>
      </w:r>
      <w:r>
        <w:br/>
      </w:r>
      <w:r>
        <w:br/>
      </w:r>
      <w:r>
        <w:br/>
      </w:r>
    </w:p>
    <w:p>
      <w:pPr>
        <w:pStyle w:val="null3"/>
        <w:jc w:val="center"/>
        <w:outlineLvl w:val="2"/>
      </w:pPr>
      <w:r>
        <w:rPr>
          <w:rFonts w:ascii="仿宋_GB2312" w:hAnsi="仿宋_GB2312" w:cs="仿宋_GB2312" w:eastAsia="仿宋_GB2312"/>
          <w:sz w:val="28"/>
          <w:b/>
        </w:rPr>
        <w:t>西安市第十二中学</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西安市第十二中学</w:t>
      </w:r>
      <w:r>
        <w:rPr>
          <w:rFonts w:ascii="仿宋_GB2312" w:hAnsi="仿宋_GB2312" w:cs="仿宋_GB2312" w:eastAsia="仿宋_GB2312"/>
        </w:rPr>
        <w:t>委托，拟对</w:t>
      </w:r>
      <w:r>
        <w:rPr>
          <w:rFonts w:ascii="仿宋_GB2312" w:hAnsi="仿宋_GB2312" w:cs="仿宋_GB2312" w:eastAsia="仿宋_GB2312"/>
        </w:rPr>
        <w:t>校园硬化、绿化及室外管网工程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校园硬化、绿化及室外管网工程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本项目为西安市第十二中学校园硬化、绿化及室外管网工程,具体内容详见工程量清单。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采购包1（校园硬化、绿化及室外管网工程）：属于专门面向中小企业采购。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委托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8、企业资质要求：具备建设行政主管部门颁发的建筑工程施工总承包三级及以上资质，具有有效的安全生产许可证。</w:t>
      </w:r>
    </w:p>
    <w:p>
      <w:pPr>
        <w:pStyle w:val="null3"/>
      </w:pPr>
      <w:r>
        <w:rPr>
          <w:rFonts w:ascii="仿宋_GB2312" w:hAnsi="仿宋_GB2312" w:cs="仿宋_GB2312" w:eastAsia="仿宋_GB2312"/>
        </w:rPr>
        <w:t>9、拟派项目负责人资质要求：拟派项目经理须具有建筑工程专业二级及以上注册建造师证书和有效的安全生产考核证书（B证）,在本单位注册且无在建工程（提供无在建工程承诺书）。</w:t>
      </w:r>
    </w:p>
    <w:p>
      <w:pPr>
        <w:pStyle w:val="null3"/>
      </w:pPr>
      <w:r>
        <w:rPr>
          <w:rFonts w:ascii="仿宋_GB2312" w:hAnsi="仿宋_GB2312" w:cs="仿宋_GB2312" w:eastAsia="仿宋_GB2312"/>
        </w:rPr>
        <w:t>10、信用查询：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西安市第十二中学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和平门外标新街13号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西安市第十二中学经办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029-82217418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陕西省西安市莲湖区丰登南路3号PM中心三楼306室（丰庆公园北门往西200米）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张盼、王臻、王阿磊、成婷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降低部分建设项目收费标准规范收费行为等有关问题的通知》（发改价格[2011]534号）的规定标准收取。2、代理服务费缴纳账户信息： 银行户名：众合国际项目管理有限公司 开户银行：西安银行股份有限公司高新四路支行 账 号：611011580000085834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西安市第十二中学</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西安市第十二中学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西安市第十二中学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张盼、王臻、王阿磊、成婷</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地址：陕西省西安市莲湖区丰登南路3号PM中心三楼306室（丰庆公园北门往西200米）</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2,412,291.79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校园硬化、绿化及室外管网工程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标的名称：校园硬化、绿化及室外管网工程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1、项目名称：校园硬化、绿化及室外管网工程 2、预算金额：2600000.00元 3、招标最高限价：2412291.79元 4、工程地点：西安市第十二中学 5、工程内容：本项目为西安市第十二中学校园硬化、绿化及室外管网工程,具体内容详见工程量清单。 二、编制依据：1、2009年《陕西省建设工程工程量清单计价规则》、2004《陕西省建筑、装饰、安装、市政消耗量定额》及勘误表（2009）、《陕西省建设工程消耗量定额（2004）补充定额》、2009《陕西省建筑、装饰、安装、市政工程价目表》、《全统修缮定额土建、安装工程陕西省价目表》（2001）、《陕西省建设工程量清单计价费率》；2、《西安市第十二中学校园硬化、绿化及室外管网工程》施工图纸；3、陕建发【2019】45号文件关于调整我省建设工程计价依据的通知；4、陕建发【2019】1246号文件关于陕西省住房和城乡建设厅关于发布我省落实建筑工人实名制管理计价依据的通知；5、陕建发【2020】1097号文关于建筑施工安全生产责任保险费用计价的通知；6、陕建发【2021】1021号建筑业劳保费用执行陕西省住房和城乡建设厅《关于全省统一停止收缴建筑业劳保费用的通知》；7、人工费调整执行关于调整房屋建筑和市政基础设施工程工程量清单计价综合人工单价的通知陕建发【2021】1097号文；8、本项目暂列金额为220000元，计入建筑工程其他项目费中；9、本项目自来水增容专业工程暂估价为100000元，计入建筑工程其他项目费中；10.编制软件采用广联达云计价平台GCCP6.0,版本:6.4100.23.122。 三、工期要求：60日历天 四、工程质量要求：按国家有关验收规范标准，工程质量达到合格标准。 五、付款方式：1、 付款条件说明： 施工方进入工地7个工作日 ，达到付款条件起 10 日内，支付合同总金额的 40.00%。2、 付款条件说明： 工程竣工后 ，达到付款条件起 10 日内，支付合同总金额的 40.00%。3、 付款条件说明： 验收合格后 ，达到付款条件起 10 日内，支付合同总金额的 5.00%。4、 付款条件说明： 审计合格后 ，达到付款条件起 10 日内，支付合同总金额的 12.00%。5、 付款条件说明： 缺陷责任期满后 ，达到付款条件起 10 日内，支付合同总金额的 3.00%。 六、其他说明事宜：1、本项目采购标的所属行业为：建筑业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七、工程量清单及图纸：另附电子版。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磋商响应文件中项目名称、项目编号与本项目一致，无遗漏</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技术部分方案.docx 供应商承诺书.docx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技术部分方案.docx 供应商承诺书.docx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磋商报价未超出采购最高限价</w:t>
            </w:r>
          </w:p>
        </w:tc>
        <w:tc>
          <w:tcPr>
            <w:tcW w:type="dxa" w:w="3322"/>
          </w:tcPr>
          <w:p>
            <w:pPr>
              <w:pStyle w:val="null3"/>
            </w:pPr>
            <w:r>
              <w:rPr>
                <w:rFonts w:ascii="仿宋_GB2312" w:hAnsi="仿宋_GB2312" w:cs="仿宋_GB2312" w:eastAsia="仿宋_GB2312"/>
              </w:rPr>
              <w:t>磋商报价未超出采购最高限价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项目整体实施方案(包括但不限于①场地硬化、②绿化、③室外管网、④施工现场管理等)</w:t>
            </w:r>
          </w:p>
        </w:tc>
        <w:tc>
          <w:tcPr>
            <w:tcW w:type="dxa" w:w="2492"/>
          </w:tcPr>
          <w:p>
            <w:pPr>
              <w:pStyle w:val="null3"/>
            </w:pPr>
            <w:r>
              <w:rPr>
                <w:rFonts w:ascii="仿宋_GB2312" w:hAnsi="仿宋_GB2312" w:cs="仿宋_GB2312" w:eastAsia="仿宋_GB2312"/>
              </w:rPr>
              <w:t>每小项满分5分，总计20分，根据其合理性、可行性赋0-20分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项目管理机构及技术人员组成</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确保环境保护技术组织措施</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根据其合理性、可行性赋0-4分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劳动力安排计划及劳务分包计划</w:t>
            </w:r>
          </w:p>
        </w:tc>
        <w:tc>
          <w:tcPr>
            <w:tcW w:type="dxa" w:w="2492"/>
          </w:tcPr>
          <w:p>
            <w:pPr>
              <w:pStyle w:val="null3"/>
            </w:pPr>
            <w:r>
              <w:rPr>
                <w:rFonts w:ascii="仿宋_GB2312" w:hAnsi="仿宋_GB2312" w:cs="仿宋_GB2312" w:eastAsia="仿宋_GB2312"/>
              </w:rPr>
              <w:t>根据其合理性、可行性赋0-3分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根据投标人针对本项目提供的合理化建议等方面的合理及可行程度</w:t>
            </w:r>
          </w:p>
        </w:tc>
        <w:tc>
          <w:tcPr>
            <w:tcW w:type="dxa" w:w="2492"/>
          </w:tcPr>
          <w:p>
            <w:pPr>
              <w:pStyle w:val="null3"/>
            </w:pPr>
            <w:r>
              <w:rPr>
                <w:rFonts w:ascii="仿宋_GB2312" w:hAnsi="仿宋_GB2312" w:cs="仿宋_GB2312" w:eastAsia="仿宋_GB2312"/>
              </w:rPr>
              <w:t>根据其合理性、可行性赋0-3分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 类似项目业绩，每提供一个计2分，满分10分（以施工合同为准，时间以合同签订时间为准 ，提供复印件加盖供应商公章）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技术部分方案.docx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详见附件：技术部分方案.docx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详见附件：6.12合同条款及格式12中.docx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