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版本号：SXLX25-02-044Z(F)20250620001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融媒体中心代运营项目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SXLX25-02-044Z(F)</w:t>
      </w:r>
      <w:r>
        <w:br/>
      </w:r>
      <w:r>
        <w:br/>
      </w:r>
      <w:r>
        <w:br/>
      </w:r>
    </w:p>
    <w:p>
      <w:pPr>
        <w:pStyle w:val="null3"/>
        <w:jc w:val="center"/>
        <w:outlineLvl w:val="5"/>
      </w:pPr>
      <w:r>
        <w:rPr>
          <w:rFonts w:ascii="仿宋_GB2312" w:hAnsi="仿宋_GB2312" w:cs="仿宋_GB2312" w:eastAsia="仿宋_GB2312"/>
          <w:sz w:val="15"/>
          <w:b/>
        </w:rPr>
        <w:t>西安市碑林区委宣传部（本级）</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西安市碑林区委宣传部（本级）</w:t>
      </w:r>
      <w:r>
        <w:rPr>
          <w:rFonts w:ascii="仿宋_GB2312" w:hAnsi="仿宋_GB2312" w:cs="仿宋_GB2312" w:eastAsia="仿宋_GB2312"/>
        </w:rPr>
        <w:t>委托，拟对</w:t>
      </w:r>
      <w:r>
        <w:rPr>
          <w:rFonts w:ascii="仿宋_GB2312" w:hAnsi="仿宋_GB2312" w:cs="仿宋_GB2312" w:eastAsia="仿宋_GB2312"/>
        </w:rPr>
        <w:t>融媒体中心代运营项目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SXLX25-02-044Z(F)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融媒体中心代运营项目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依托供应商技术平台和人力资源优势，应用西安台“长安云”融媒体平台开展工作。形成“统一指挥、一次采集、多次生成、全发布”的高效运营模式，讲好碑林故事、传递碑林声音；需满足碑林区融媒体中心代运营项目所有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029-89625155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依据《国家发展改革委关于进一步放开建设项目专业服务价格的通知》（发改价格〔2015〕299号）文件规定标准计算收取；本项目采购代理服务费不足捌仟按照捌仟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西安市碑林区委宣传部（本级）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依托供应商技术平台和人力资源优势，应用西安台“长安云”融媒体平台开展工作。形成“统一指挥、一次采集、多次生成、全发布”的高效运营模式，讲好碑林故事、传递碑林声音,需满足碑林区融媒体中心代运营项目所有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融媒体中心代运营项目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标的名称：融媒体中心代运营项目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367"/>
              <w:jc w:val="left"/>
            </w:pPr>
            <w:r>
              <w:rPr>
                <w:rFonts w:ascii="仿宋_GB2312" w:hAnsi="仿宋_GB2312" w:cs="仿宋_GB2312" w:eastAsia="仿宋_GB2312"/>
                <w:sz w:val="21"/>
                <w:color w:val="000000"/>
              </w:rPr>
              <w:t>碑林区融媒体中心代运营项目；主要功能或目标</w:t>
            </w:r>
            <w:r>
              <w:rPr>
                <w:rFonts w:ascii="仿宋_GB2312" w:hAnsi="仿宋_GB2312" w:cs="仿宋_GB2312" w:eastAsia="仿宋_GB2312"/>
                <w:sz w:val="21"/>
                <w:color w:val="000000"/>
              </w:rPr>
              <w:t>:依托供应商技术平台和人力资源优势，应用西安台“长安云”融媒体平台开展工作。形成“统一指挥、一次采集、多次生成、全发布”的高效运营模式，讲好碑林故事、传递碑林声音；需满足的要求:碑林区融媒体中心代运营项目所有需求。</w:t>
            </w:r>
          </w:p>
          <w:p>
            <w:pPr>
              <w:pStyle w:val="null3"/>
              <w:ind w:firstLine="410"/>
              <w:jc w:val="left"/>
            </w:pPr>
            <w:r>
              <w:rPr>
                <w:rFonts w:ascii="仿宋_GB2312" w:hAnsi="仿宋_GB2312" w:cs="仿宋_GB2312" w:eastAsia="仿宋_GB2312"/>
                <w:sz w:val="21"/>
                <w:b/>
                <w:color w:val="000000"/>
              </w:rPr>
              <w:t>本项目所其他未列明行业。</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w:t>
            </w:r>
          </w:p>
          <w:p>
            <w:pPr>
              <w:pStyle w:val="null3"/>
              <w:jc w:val="left"/>
            </w:pPr>
            <w:r>
              <w:rPr>
                <w:rFonts w:ascii="仿宋_GB2312" w:hAnsi="仿宋_GB2312" w:cs="仿宋_GB2312" w:eastAsia="仿宋_GB2312"/>
                <w:sz w:val="21"/>
                <w:color w:val="000000"/>
              </w:rPr>
              <w:t>以下的为微型企业。）</w:t>
            </w:r>
          </w:p>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服务内容</w:t>
            </w:r>
            <w:r>
              <w:rPr>
                <w:rFonts w:ascii="仿宋_GB2312" w:hAnsi="仿宋_GB2312" w:cs="仿宋_GB2312" w:eastAsia="仿宋_GB2312"/>
                <w:sz w:val="21"/>
                <w:b/>
              </w:rPr>
              <w:t>与要求</w:t>
            </w:r>
          </w:p>
          <w:p>
            <w:pPr>
              <w:pStyle w:val="null3"/>
              <w:ind w:firstLine="367"/>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1）按照采购人要求成交供应商每日推出能反映碑林风貌、契合形势发展以及群众喜闻乐见的融媒体产品（视频或图文）；</w:t>
            </w:r>
          </w:p>
          <w:p>
            <w:pPr>
              <w:pStyle w:val="null3"/>
              <w:ind w:firstLine="367"/>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2）每日在碑林融媒app、原点新闻app碑林融媒原点号、西安网碑林频道更新相关视频、图文信息内容，更新时间不晚于当日23:00；</w:t>
            </w:r>
          </w:p>
          <w:p>
            <w:pPr>
              <w:pStyle w:val="null3"/>
              <w:ind w:firstLine="367"/>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3）成交供应商每季度向西安台推送碑林区相关的宣传稿件；</w:t>
            </w:r>
          </w:p>
          <w:p>
            <w:pPr>
              <w:pStyle w:val="null3"/>
              <w:ind w:firstLine="367"/>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4）成交供应商每季度向中省媒体推送碑林区相关的宣传稿件；</w:t>
            </w:r>
          </w:p>
          <w:p>
            <w:pPr>
              <w:pStyle w:val="null3"/>
              <w:ind w:firstLine="367"/>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5）成交供应商完成采购人交办的临时性工作；</w:t>
            </w:r>
          </w:p>
          <w:p>
            <w:pPr>
              <w:pStyle w:val="null3"/>
              <w:jc w:val="left"/>
            </w:pPr>
            <w:r>
              <w:rPr>
                <w:rFonts w:ascii="仿宋_GB2312" w:hAnsi="仿宋_GB2312" w:cs="仿宋_GB2312" w:eastAsia="仿宋_GB2312"/>
                <w:sz w:val="21"/>
                <w:b/>
              </w:rPr>
              <w:t>二、执行标准、规范</w:t>
            </w:r>
          </w:p>
          <w:p>
            <w:pPr>
              <w:pStyle w:val="null3"/>
              <w:ind w:firstLine="367"/>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1.顺序执行：国家标准→行业标准→地方标准→企业标准（有国家标准按国家标准执行，没有国家标准按行业标准，以此类推）；</w:t>
            </w:r>
          </w:p>
          <w:p>
            <w:pPr>
              <w:pStyle w:val="null3"/>
              <w:ind w:firstLine="367"/>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2.最高标准执行：国家标准，行业标准，地方标准，企业标准（按最高标准执行）；</w:t>
            </w:r>
          </w:p>
          <w:p>
            <w:pPr>
              <w:pStyle w:val="null3"/>
              <w:ind w:firstLine="367"/>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必须执行：国家强制性标准。</w:t>
            </w:r>
          </w:p>
          <w:p>
            <w:pPr>
              <w:pStyle w:val="null3"/>
              <w:jc w:val="left"/>
            </w:pPr>
            <w:r>
              <w:rPr>
                <w:rFonts w:ascii="仿宋_GB2312" w:hAnsi="仿宋_GB2312" w:cs="仿宋_GB2312" w:eastAsia="仿宋_GB2312"/>
                <w:sz w:val="21"/>
                <w:b/>
              </w:rPr>
              <w:t>三、工作边界</w:t>
            </w:r>
          </w:p>
          <w:p>
            <w:pPr>
              <w:pStyle w:val="null3"/>
              <w:ind w:firstLine="367"/>
              <w:jc w:val="left"/>
            </w:pPr>
            <w:r>
              <w:rPr>
                <w:rFonts w:ascii="仿宋_GB2312" w:hAnsi="仿宋_GB2312" w:cs="仿宋_GB2312" w:eastAsia="仿宋_GB2312"/>
                <w:sz w:val="21"/>
                <w:color w:val="000000"/>
              </w:rPr>
              <w:t>1、新闻及融媒产品采访报道。</w:t>
            </w:r>
          </w:p>
          <w:p>
            <w:pPr>
              <w:pStyle w:val="null3"/>
              <w:ind w:firstLine="367"/>
              <w:jc w:val="left"/>
            </w:pPr>
            <w:r>
              <w:rPr>
                <w:rFonts w:ascii="仿宋_GB2312" w:hAnsi="仿宋_GB2312" w:cs="仿宋_GB2312" w:eastAsia="仿宋_GB2312"/>
                <w:sz w:val="21"/>
                <w:color w:val="000000"/>
              </w:rPr>
              <w:t>2、平台更新（碑林融媒app、原点新闻app碑林融媒原点号、西安网碑林频道）。</w:t>
            </w:r>
          </w:p>
          <w:p>
            <w:pPr>
              <w:pStyle w:val="null3"/>
              <w:jc w:val="left"/>
            </w:pPr>
            <w:r>
              <w:rPr>
                <w:rFonts w:ascii="仿宋_GB2312" w:hAnsi="仿宋_GB2312" w:cs="仿宋_GB2312" w:eastAsia="仿宋_GB2312"/>
                <w:sz w:val="21"/>
                <w:b/>
              </w:rPr>
              <w:t>四、其他事项</w:t>
            </w:r>
          </w:p>
          <w:p>
            <w:pPr>
              <w:pStyle w:val="null3"/>
              <w:ind w:firstLine="367"/>
              <w:jc w:val="left"/>
            </w:pPr>
            <w:r>
              <w:rPr>
                <w:rFonts w:ascii="仿宋_GB2312" w:hAnsi="仿宋_GB2312" w:cs="仿宋_GB2312" w:eastAsia="仿宋_GB2312"/>
                <w:sz w:val="21"/>
                <w:color w:val="000000"/>
              </w:rPr>
              <w:t>1.服务期满后，采购人仍需使用被派遣人员的，应重新签订合同，及时补办手续；</w:t>
            </w:r>
          </w:p>
          <w:p>
            <w:pPr>
              <w:pStyle w:val="null3"/>
              <w:jc w:val="left"/>
            </w:pPr>
            <w:r>
              <w:rPr>
                <w:rFonts w:ascii="仿宋_GB2312" w:hAnsi="仿宋_GB2312" w:cs="仿宋_GB2312" w:eastAsia="仿宋_GB2312"/>
                <w:sz w:val="21"/>
                <w:color w:val="000000"/>
              </w:rPr>
              <w:t>2.本项目费用主要用于人员工资、管理、培训。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采购包1：按照采购人要求派遣规定数量人员，代运营采购人委托的项目；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采购包1：根据采购内容匹配相关设备。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西安市碑林区南院门27号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达到付款条件起20日内，甲方收到发票后，以转账方式向供应商一次性支付合同总金额的100.00%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接受并配合采购人、采购代理机构对基本资格条件证明材料的核验，包括:1.财务状况报告；2.税收缴纳证明；3.社保资金缴纳证明4.被授权代表的身份证复印件以及2025年1月至今任意时段在本单位已缴纳的社会保障资金缴存单据或社保机构开具的社会保险参保缴费情况证明，具体要求详见合同附件。以上内容随合同公示一并发布，成交供应商应对其资格承诺内容的真实性、合法性、有效性负责。如作出虚假承诺，按“提供虚假材料谋取中标（成交）”处理。并按照《中华人民共和国政府采购法》第七十七条进行处罚。成交供应商在领取成交通知书时提供纸质版响应文件2套，应通过专用制作软件直接打印，确保与电子投标文件保持一致，不允许修改和补充。提交地点：陕西省西安市雁塔区雁翔路111号赛格·中京坊6幢1单元2层10201室招标二部。 二、供应商的报价是供应商响应本项目要求的全部工作内容的价格体现，包括供应商完成本项目所需的直接费、间接费、利润、税金及其他相关的一切费用。包括但不限于：人工费、设备费、管理费、验收费、采购代理服务费、利润和税金等全部费用。在提供服务的过程中的任何遗漏，均由成交供应商免费提供，采购人将不再支付任何费用。 三、协商有效期 1.出现特殊情况需要延长响应有效期的，采购代理机构或采购人可于响应有效期满之前，以书面形式通知所有供应商延长响应有效期。供应商应予书面答复，同意延长的，应相应延长其协商保证金（如有）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四、分公司独立参与协商时，不能使用总公司的资质或业绩；总公司单独参与协商时，除总公司所投产品为分公司生产的产品外，不能使用分公司的资质或业绩。总公司授权分公司或分支机构参与协商的，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六、签名是指手写签名或者加盖名章(含电子签名或电子印章)，盖章是指加盖单位印章。 七、本项目需要落实的政府采购政策 （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 （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 （3）支持本国产业政策：《财政部关于印发〈进口产品管理办法〉的通知》（财库〔2007〕119号）；《财政部办公厅关于政府采购进口产品管理有关问题的通知》（财办库〔2008〕248号）。 （4）支持创新等政府采购政策。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1）供应商的营业执照等证明文件，自然人的身份证明；(2)法定代表人（单位负责人）参加协商的，提供本人身份证复印件；法定代表人（单位负责人）授权他人参加协商的，提供法定代表人（单位负责人）委托授权书及被授权代表的身份证复印件；(3)供应商提供的投标（响应）函；（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供应商响应文件满足采购文件中的实质性要求。</w:t>
            </w:r>
          </w:p>
        </w:tc>
        <w:tc>
          <w:tcPr>
            <w:tcW w:type="dxa" w:w="1661"/>
          </w:tcPr>
          <w:p>
            <w:pPr>
              <w:pStyle w:val="null3"/>
            </w:pPr>
            <w:r>
              <w:rPr>
                <w:rFonts w:ascii="仿宋_GB2312" w:hAnsi="仿宋_GB2312" w:cs="仿宋_GB2312" w:eastAsia="仿宋_GB2312"/>
              </w:rPr>
              <w:t>响应文件封面 商务技术部分 资格证明部分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过程中，协商小组认为供应商报价明显低于其他通过符合性审查供应商的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商务技术部分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响应文件中不存在采购文件规定的无效情形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商务技术部分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商务技术部分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