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EDB32">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b/>
          <w:bCs/>
          <w:color w:val="auto"/>
          <w:sz w:val="32"/>
          <w:szCs w:val="32"/>
          <w:highlight w:val="none"/>
          <w:lang w:val="en-US" w:eastAsia="zh-CN"/>
        </w:rPr>
      </w:pPr>
      <w:bookmarkStart w:id="66" w:name="_GoBack"/>
    </w:p>
    <w:p w14:paraId="0B98C687">
      <w:pPr>
        <w:pStyle w:val="24"/>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sz w:val="40"/>
          <w:szCs w:val="40"/>
          <w:highlight w:val="none"/>
          <w:lang w:val="en-US" w:eastAsia="zh-CN"/>
        </w:rPr>
      </w:pPr>
      <w:r>
        <w:rPr>
          <w:rFonts w:hint="eastAsia" w:ascii="宋体" w:hAnsi="宋体" w:eastAsia="宋体" w:cs="宋体"/>
          <w:b/>
          <w:bCs/>
          <w:sz w:val="40"/>
          <w:szCs w:val="40"/>
          <w:highlight w:val="none"/>
          <w:lang w:val="en-US" w:eastAsia="zh-CN"/>
        </w:rPr>
        <w:t>政府采购合同格式</w:t>
      </w:r>
    </w:p>
    <w:p w14:paraId="078053D2">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合同编号： </w:t>
      </w:r>
    </w:p>
    <w:p w14:paraId="440CE83E">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签订地点： </w:t>
      </w:r>
    </w:p>
    <w:p w14:paraId="3194830C">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签订时间: </w:t>
      </w:r>
    </w:p>
    <w:p w14:paraId="0E9298BC">
      <w:pPr>
        <w:pStyle w:val="24"/>
        <w:keepNext w:val="0"/>
        <w:keepLines w:val="0"/>
        <w:pageBreakBefore w:val="0"/>
        <w:kinsoku/>
        <w:wordWrap/>
        <w:overflowPunct/>
        <w:topLinePunct w:val="0"/>
        <w:autoSpaceDE/>
        <w:autoSpaceDN/>
        <w:bidi w:val="0"/>
        <w:adjustRightInd/>
        <w:spacing w:line="360" w:lineRule="auto"/>
        <w:ind w:firstLine="439" w:firstLineChars="18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是否为专门面向中小企业的采购项目：</w:t>
      </w:r>
      <w:r>
        <w:rPr>
          <w:rFonts w:hint="eastAsia" w:ascii="宋体" w:hAnsi="宋体" w:eastAsia="宋体" w:cs="宋体"/>
          <w:sz w:val="24"/>
          <w:szCs w:val="24"/>
          <w:highlight w:val="none"/>
          <w:lang w:val="en-US" w:eastAsia="zh-CN"/>
        </w:rPr>
        <w:t>否</w:t>
      </w:r>
    </w:p>
    <w:p w14:paraId="067B319F">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采购人（甲方）：</w:t>
      </w:r>
    </w:p>
    <w:p w14:paraId="0AC9F0D7">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供应商（乙方）：</w:t>
      </w:r>
    </w:p>
    <w:p w14:paraId="154A7929">
      <w:pPr>
        <w:pStyle w:val="13"/>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根据《中华人民共和国政府采购法》及实施条例、《中华人民共和国民法典》和融媒体中心代运营项目（采购项目编号</w:t>
      </w:r>
      <w:r>
        <w:rPr>
          <w:rFonts w:hint="eastAsia" w:ascii="宋体" w:hAnsi="宋体" w:eastAsia="宋体" w:cs="宋体"/>
          <w:color w:val="000000"/>
          <w:sz w:val="24"/>
          <w:szCs w:val="24"/>
          <w:highlight w:val="none"/>
          <w:lang w:eastAsia="zh-CN"/>
        </w:rPr>
        <w:t>SXLX25-02-044Z(F)）</w:t>
      </w:r>
      <w:r>
        <w:rPr>
          <w:rFonts w:hint="eastAsia" w:ascii="宋体" w:hAnsi="宋体" w:eastAsia="宋体" w:cs="宋体"/>
          <w:sz w:val="24"/>
          <w:szCs w:val="24"/>
          <w:highlight w:val="none"/>
        </w:rPr>
        <w:t>的采购文件、响应文件等有关规定，为确保甲方采购项目的顺利实施，甲、乙双方在平等自愿原则下签订本合同，并共同遵守如下条款，其主要要求如下：</w:t>
      </w:r>
    </w:p>
    <w:p w14:paraId="1F9AF46F">
      <w:pPr>
        <w:keepNext w:val="0"/>
        <w:keepLines w:val="0"/>
        <w:pageBreakBefore w:val="0"/>
        <w:widowControl/>
        <w:kinsoku/>
        <w:wordWrap/>
        <w:overflowPunct/>
        <w:topLinePunct w:val="0"/>
        <w:autoSpaceDE/>
        <w:autoSpaceDN/>
        <w:bidi w:val="0"/>
        <w:adjustRightInd/>
        <w:spacing w:line="360" w:lineRule="auto"/>
        <w:ind w:firstLine="482" w:firstLineChars="200"/>
        <w:jc w:val="left"/>
        <w:textAlignment w:val="auto"/>
        <w:outlineLvl w:val="1"/>
        <w:rPr>
          <w:rFonts w:hint="eastAsia" w:ascii="宋体" w:hAnsi="宋体" w:eastAsia="宋体" w:cs="宋体"/>
          <w:b/>
          <w:sz w:val="24"/>
          <w:szCs w:val="24"/>
          <w:highlight w:val="none"/>
        </w:rPr>
      </w:pPr>
      <w:bookmarkStart w:id="0" w:name="_Toc11438"/>
      <w:r>
        <w:rPr>
          <w:rFonts w:hint="eastAsia" w:ascii="宋体" w:hAnsi="宋体" w:eastAsia="宋体" w:cs="宋体"/>
          <w:b/>
          <w:sz w:val="24"/>
          <w:szCs w:val="24"/>
          <w:highlight w:val="none"/>
        </w:rPr>
        <w:t>第一条  项目基本情况</w:t>
      </w:r>
      <w:bookmarkEnd w:id="0"/>
    </w:p>
    <w:p w14:paraId="5549CB1D">
      <w:pPr>
        <w:pStyle w:val="26"/>
        <w:spacing w:line="360" w:lineRule="auto"/>
        <w:ind w:firstLine="400"/>
        <w:jc w:val="both"/>
        <w:rPr>
          <w:rFonts w:hint="eastAsia" w:ascii="宋体" w:hAnsi="宋体" w:eastAsia="宋体" w:cs="宋体"/>
          <w:color w:val="auto"/>
          <w:sz w:val="24"/>
          <w:szCs w:val="24"/>
          <w:highlight w:val="none"/>
          <w:lang w:eastAsia="zh-CN"/>
        </w:rPr>
      </w:pPr>
      <w:bookmarkStart w:id="1" w:name="_Toc24394"/>
      <w:r>
        <w:rPr>
          <w:rFonts w:hint="eastAsia" w:ascii="宋体" w:hAnsi="宋体" w:eastAsia="宋体" w:cs="宋体"/>
          <w:color w:val="auto"/>
          <w:sz w:val="24"/>
          <w:szCs w:val="24"/>
          <w:highlight w:val="none"/>
          <w:lang w:eastAsia="zh-CN"/>
        </w:rPr>
        <w:t>采购内容:碑林区融媒体中心代运营项目；主要功能或目标:依托供应商技术平台和人力资源优势，应用西安台“长安云”融媒体平台开展工作。形成“统一指挥、一次采集、多次生成、全发布”的高效运营模式，讲好碑林故事、传递碑林声音；需满足的要求:碑林区融媒体中心代运营项目所有需求。</w:t>
      </w:r>
    </w:p>
    <w:p w14:paraId="33408560">
      <w:pPr>
        <w:keepNext w:val="0"/>
        <w:keepLines w:val="0"/>
        <w:pageBreakBefore w:val="0"/>
        <w:widowControl/>
        <w:numPr>
          <w:ilvl w:val="0"/>
          <w:numId w:val="1"/>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 服务期限</w:t>
      </w:r>
      <w:bookmarkEnd w:id="1"/>
    </w:p>
    <w:p w14:paraId="4A66E76C">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sz w:val="24"/>
          <w:szCs w:val="24"/>
          <w:highlight w:val="none"/>
          <w:u w:val="single"/>
          <w:lang w:val="en-US" w:eastAsia="zh-CN"/>
        </w:rPr>
      </w:pPr>
      <w:r>
        <w:rPr>
          <w:rFonts w:hint="eastAsia" w:ascii="宋体" w:hAnsi="宋体" w:eastAsia="宋体" w:cs="宋体"/>
          <w:b/>
          <w:sz w:val="24"/>
          <w:szCs w:val="24"/>
          <w:highlight w:val="none"/>
          <w:lang w:val="en-US" w:eastAsia="zh-CN"/>
        </w:rPr>
        <w:t xml:space="preserve">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u w:val="single"/>
          <w:lang w:val="en-US" w:eastAsia="zh-CN"/>
        </w:rPr>
        <w:t>1年。</w:t>
      </w:r>
    </w:p>
    <w:p w14:paraId="4F8B903B">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highlight w:val="none"/>
        </w:rPr>
      </w:pPr>
      <w:bookmarkStart w:id="2" w:name="_Toc2407"/>
      <w:bookmarkStart w:id="3" w:name="_Toc225654644"/>
      <w:bookmarkStart w:id="4" w:name="_Toc225670751"/>
      <w:bookmarkStart w:id="5" w:name="_Toc238984975"/>
      <w:bookmarkStart w:id="6" w:name="_Toc251768862"/>
      <w:bookmarkStart w:id="7" w:name="_Toc237145406"/>
      <w:bookmarkStart w:id="8" w:name="_Toc286993786"/>
      <w:bookmarkStart w:id="9" w:name="_Toc282696226"/>
      <w:bookmarkStart w:id="10" w:name="_Toc185395249"/>
      <w:bookmarkStart w:id="11" w:name="_Toc211911348"/>
      <w:bookmarkStart w:id="12" w:name="_Toc283019214"/>
      <w:bookmarkStart w:id="13" w:name="_Toc239233914"/>
      <w:bookmarkStart w:id="14" w:name="_Toc211854449"/>
      <w:bookmarkStart w:id="15" w:name="_Toc212019594"/>
      <w:bookmarkStart w:id="16" w:name="_Toc241833903"/>
      <w:bookmarkStart w:id="17" w:name="_Toc239568418"/>
      <w:bookmarkStart w:id="18" w:name="_Toc225244852"/>
      <w:bookmarkStart w:id="19" w:name="_Toc232492928"/>
      <w:bookmarkStart w:id="20" w:name="_Toc247334841"/>
      <w:r>
        <w:rPr>
          <w:rFonts w:hint="eastAsia" w:ascii="宋体" w:hAnsi="宋体" w:eastAsia="宋体" w:cs="宋体"/>
          <w:b/>
          <w:sz w:val="24"/>
          <w:szCs w:val="24"/>
          <w:highlight w:val="none"/>
        </w:rPr>
        <w:t>第三条  服务内容与质量标准</w:t>
      </w:r>
      <w:bookmarkEnd w:id="2"/>
    </w:p>
    <w:p w14:paraId="57836DFE">
      <w:pPr>
        <w:pStyle w:val="26"/>
        <w:spacing w:line="360" w:lineRule="auto"/>
        <w:ind w:firstLine="400"/>
        <w:jc w:val="both"/>
        <w:rPr>
          <w:rFonts w:hint="eastAsia" w:ascii="宋体" w:hAnsi="宋体" w:eastAsia="宋体" w:cs="宋体"/>
          <w:color w:val="auto"/>
          <w:sz w:val="24"/>
          <w:szCs w:val="24"/>
          <w:highlight w:val="none"/>
          <w:lang w:val="en-US" w:eastAsia="zh-CN"/>
        </w:rPr>
      </w:pPr>
      <w:bookmarkStart w:id="21" w:name="_Toc20078"/>
      <w:r>
        <w:rPr>
          <w:rFonts w:hint="eastAsia" w:ascii="宋体" w:hAnsi="宋体" w:eastAsia="宋体" w:cs="宋体"/>
          <w:color w:val="auto"/>
          <w:sz w:val="24"/>
          <w:szCs w:val="24"/>
          <w:highlight w:val="none"/>
          <w:lang w:val="en-US" w:eastAsia="zh-CN"/>
        </w:rPr>
        <w:t>甲方依托乙方技术平台和人力资源优势，依托供应商技术平台和人力资源优势，应用西安台“长安云”融媒体平台开展工作。形成“统一指挥、一次采集、多次生成、全发布”的高效运营模式，讲好碑林故事、传递碑林声音。</w:t>
      </w:r>
    </w:p>
    <w:p w14:paraId="35875733">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一、服务内容与要求</w:t>
      </w:r>
    </w:p>
    <w:p w14:paraId="7A6BC019">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（1）按照采购人要求乙方每日推出能反映碑林风貌、契合形势发展以及群众喜闻乐见的融媒体产品（视频或图文）；</w:t>
      </w:r>
    </w:p>
    <w:p w14:paraId="09440977">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（2）每日在碑林融媒app、原点新闻app碑林融媒原点号、西安网碑林频道更新相关视频、图文信息内容，更新时间不晚于当日23:00；</w:t>
      </w:r>
    </w:p>
    <w:p w14:paraId="3FF2FF54">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（3）乙方每季度向西安台推送碑林区相关的宣传稿件；</w:t>
      </w:r>
    </w:p>
    <w:p w14:paraId="3400AD2B">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（4）乙方每季度向中省媒体推送碑林区相关的宣传稿件；</w:t>
      </w:r>
    </w:p>
    <w:p w14:paraId="75D47F64">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（5）乙方完成采购人交办的临时性工作；</w:t>
      </w:r>
    </w:p>
    <w:p w14:paraId="14DCE480">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二、执行标准、规范</w:t>
      </w:r>
    </w:p>
    <w:p w14:paraId="76C21284">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1.顺序执行：国家标准→行业标准→地方标准→企业标准（有国家标准按国家标准执行，没有国家标准按行业标准，以此类推）；</w:t>
      </w:r>
    </w:p>
    <w:p w14:paraId="1FCC0159">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2.最高标准执行：国家标准，行业标准，地方标准，企业标准（按最高标准执行）；</w:t>
      </w:r>
    </w:p>
    <w:p w14:paraId="08F241D3">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3. 必须执行：国家强制性标准。</w:t>
      </w:r>
    </w:p>
    <w:p w14:paraId="2AD9ADF4">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三、工作边界</w:t>
      </w:r>
    </w:p>
    <w:p w14:paraId="5EB49261">
      <w:pPr>
        <w:pStyle w:val="26"/>
        <w:spacing w:line="360" w:lineRule="auto"/>
        <w:ind w:firstLine="4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1、新闻及融媒产品采访报道。</w:t>
      </w:r>
    </w:p>
    <w:p w14:paraId="3FE27DF5">
      <w:pPr>
        <w:pStyle w:val="26"/>
        <w:spacing w:line="360" w:lineRule="auto"/>
        <w:ind w:firstLine="400"/>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2、平台更新（碑林融媒app、原点新闻app碑林融媒原点号、西安网碑林频道）。</w:t>
      </w:r>
    </w:p>
    <w:p w14:paraId="34654C80">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服务费用及支付方式</w:t>
      </w:r>
      <w:bookmarkEnd w:id="21"/>
    </w:p>
    <w:p w14:paraId="31AE91F5">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1、服务费按下列比例支付价款</w:t>
      </w:r>
    </w:p>
    <w:p w14:paraId="04E537C7">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服务总费用为人民币（大写）：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AAF7338">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支付方式：</w:t>
      </w:r>
      <w:r>
        <w:rPr>
          <w:rFonts w:hint="eastAsia" w:ascii="宋体" w:hAnsi="宋体" w:cs="宋体"/>
          <w:color w:val="auto"/>
          <w:sz w:val="24"/>
          <w:szCs w:val="24"/>
          <w:highlight w:val="none"/>
          <w:lang w:eastAsia="zh-CN"/>
        </w:rPr>
        <w:t>软件运维服务</w:t>
      </w:r>
      <w:r>
        <w:rPr>
          <w:rFonts w:hint="eastAsia" w:ascii="宋体" w:hAnsi="宋体" w:eastAsia="宋体" w:cs="宋体"/>
          <w:color w:val="auto"/>
          <w:sz w:val="24"/>
          <w:szCs w:val="24"/>
          <w:highlight w:val="none"/>
        </w:rPr>
        <w:t>项目执行固定总价合同，该项目不受市场价格变化因素影响。</w:t>
      </w:r>
    </w:p>
    <w:p w14:paraId="60418013">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①付款条件说明:达到付款条件起20日内，甲方收到发票后，以转账方式向供应商一次性支付合同总金额的100.00%。</w:t>
      </w:r>
    </w:p>
    <w:p w14:paraId="72B46FB2">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2、结算方式：银行转账</w:t>
      </w:r>
    </w:p>
    <w:p w14:paraId="090F47B6">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乙方收款账户</w:t>
      </w:r>
    </w:p>
    <w:p w14:paraId="4F68EEAF">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账户名称：                 </w:t>
      </w:r>
    </w:p>
    <w:p w14:paraId="62202894">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1082492C">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 xml:space="preserve">                  </w:t>
      </w:r>
    </w:p>
    <w:p w14:paraId="5194B15D">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2" w:name="_Toc22959"/>
      <w:r>
        <w:rPr>
          <w:rFonts w:hint="eastAsia" w:ascii="宋体" w:hAnsi="宋体" w:eastAsia="宋体" w:cs="宋体"/>
          <w:b/>
          <w:color w:val="auto"/>
          <w:sz w:val="24"/>
          <w:szCs w:val="24"/>
          <w:highlight w:val="none"/>
        </w:rPr>
        <w:t>第五条  知识产权（若有）</w:t>
      </w:r>
      <w:bookmarkEnd w:id="22"/>
    </w:p>
    <w:p w14:paraId="051C9042">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4F64E853">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3" w:name="_Toc31647"/>
      <w:r>
        <w:rPr>
          <w:rFonts w:hint="eastAsia" w:ascii="宋体" w:hAnsi="宋体" w:eastAsia="宋体" w:cs="宋体"/>
          <w:b/>
          <w:color w:val="auto"/>
          <w:sz w:val="24"/>
          <w:szCs w:val="24"/>
          <w:highlight w:val="none"/>
        </w:rPr>
        <w:t>第六条  无产权瑕疵条款（如有）</w:t>
      </w:r>
      <w:bookmarkEnd w:id="23"/>
    </w:p>
    <w:p w14:paraId="4134BDDB">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0E8E415B">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4" w:name="_Toc4779"/>
      <w:r>
        <w:rPr>
          <w:rFonts w:hint="eastAsia" w:ascii="宋体" w:hAnsi="宋体" w:eastAsia="宋体" w:cs="宋体"/>
          <w:b/>
          <w:color w:val="auto"/>
          <w:sz w:val="24"/>
          <w:szCs w:val="24"/>
          <w:highlight w:val="none"/>
        </w:rPr>
        <w:t>第七条  履约保证金（如有）</w:t>
      </w:r>
      <w:bookmarkEnd w:id="24"/>
    </w:p>
    <w:p w14:paraId="28884A4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1.乙方在签订本合同之前，向甲方提交履约保证金人民币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3C7A3F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color w:val="auto"/>
          <w:kern w:val="0"/>
          <w:sz w:val="24"/>
          <w:szCs w:val="24"/>
          <w:highlight w:val="none"/>
        </w:rPr>
        <w:t>履约保证金的有效期为乙方承诺的服务期限。</w:t>
      </w:r>
    </w:p>
    <w:p w14:paraId="52229CAB">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3.履约保证金作为违约金的一部分及用于补偿甲方因乙方不能履行合同义务而蒙受的损失。</w:t>
      </w:r>
    </w:p>
    <w:p w14:paraId="0B6CA556">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sz w:val="24"/>
          <w:szCs w:val="24"/>
          <w:highlight w:val="none"/>
        </w:rPr>
        <w:t>服务期限结束后，甲方财务部门接到甲方确认本合同服务等约定事项已经履行完毕的正式书面文件后的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日内，向乙方退还履约保证金。</w:t>
      </w:r>
    </w:p>
    <w:p w14:paraId="263F5E03">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27449A8C">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5" w:name="_Toc16162"/>
      <w:r>
        <w:rPr>
          <w:rFonts w:hint="eastAsia" w:ascii="宋体" w:hAnsi="宋体" w:eastAsia="宋体" w:cs="宋体"/>
          <w:b/>
          <w:color w:val="auto"/>
          <w:sz w:val="24"/>
          <w:szCs w:val="24"/>
          <w:highlight w:val="none"/>
        </w:rPr>
        <w:t>第八条  甲方的权利和义务</w:t>
      </w:r>
      <w:bookmarkEnd w:id="25"/>
    </w:p>
    <w:p w14:paraId="42E3CC4A">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22F34C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2.负责检查监督乙方管理工作的实施及制度的执行情况。</w:t>
      </w:r>
    </w:p>
    <w:p w14:paraId="6B019E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3.根据本合同规定，按时向乙方支付应付服务费用。</w:t>
      </w:r>
    </w:p>
    <w:p w14:paraId="59127E76">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、按照甲方要求乙方派遣</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名人员，负责碑林区融媒体中心内容生产采推送、技术支持。</w:t>
      </w:r>
    </w:p>
    <w:p w14:paraId="3796638B">
      <w:pPr>
        <w:keepNext w:val="0"/>
        <w:keepLines w:val="0"/>
        <w:pageBreakBefore w:val="0"/>
        <w:widowControl w:val="0"/>
        <w:kinsoku/>
        <w:wordWrap/>
        <w:overflowPunct/>
        <w:topLinePunct w:val="0"/>
        <w:autoSpaceDE/>
        <w:autoSpaceDN/>
        <w:bidi w:val="0"/>
        <w:snapToGrid/>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、乙方派遣人员不符合甲方要求被退回，乙方在15个工作日内，按照甲方岗位要求重新派遣人员。</w:t>
      </w:r>
    </w:p>
    <w:p w14:paraId="45DC23E7">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、甲方对选题策划、新闻线索和现场采访等环节提供必要帮助，及时对乙方策划（设计）方案、作品质量及技术要求给予审定，因甲方审定时间过长而影响作品完成时限的，后果由甲方承担。</w:t>
      </w:r>
    </w:p>
    <w:p w14:paraId="7F8DFC94">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、派遣到甲方的工作人员应符合以下标准:</w:t>
      </w:r>
    </w:p>
    <w:p w14:paraId="2F5CCEBA">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(1)身体健康(符合《公务员录用体检通用标准(试行)》),无违法犯罪记录。</w:t>
      </w:r>
    </w:p>
    <w:p w14:paraId="2072CEB4">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(2)能自觉遵守在机关工作必备的政治纪律、保密纪律、宣传纪律和工作纪律等。</w:t>
      </w:r>
    </w:p>
    <w:p w14:paraId="21D542B8">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(3)具备新闻采编能力和一定的舆情分析、研判能力。</w:t>
      </w:r>
    </w:p>
    <w:p w14:paraId="29454AE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8</w:t>
      </w:r>
      <w:r>
        <w:rPr>
          <w:rFonts w:hint="eastAsia" w:ascii="宋体" w:hAnsi="宋体" w:eastAsia="宋体" w:cs="宋体"/>
          <w:bCs/>
          <w:color w:val="auto"/>
          <w:sz w:val="24"/>
          <w:szCs w:val="24"/>
          <w:highlight w:val="none"/>
        </w:rPr>
        <w:t>.国家</w:t>
      </w:r>
      <w:r>
        <w:rPr>
          <w:rFonts w:hint="eastAsia" w:ascii="宋体" w:hAnsi="宋体" w:eastAsia="宋体" w:cs="宋体"/>
          <w:bCs/>
          <w:color w:val="auto"/>
          <w:sz w:val="24"/>
          <w:szCs w:val="24"/>
          <w:highlight w:val="none"/>
          <w:lang w:eastAsia="zh-CN"/>
        </w:rPr>
        <w:t>法律法规</w:t>
      </w:r>
      <w:r>
        <w:rPr>
          <w:rFonts w:hint="eastAsia" w:ascii="宋体" w:hAnsi="宋体" w:eastAsia="宋体" w:cs="宋体"/>
          <w:bCs/>
          <w:color w:val="auto"/>
          <w:sz w:val="24"/>
          <w:szCs w:val="24"/>
          <w:highlight w:val="none"/>
        </w:rPr>
        <w:t>所规定由甲方承担的</w:t>
      </w:r>
      <w:r>
        <w:rPr>
          <w:rFonts w:hint="eastAsia" w:ascii="宋体" w:hAnsi="宋体" w:eastAsia="宋体" w:cs="宋体"/>
          <w:bCs/>
          <w:color w:val="auto"/>
          <w:sz w:val="24"/>
          <w:szCs w:val="24"/>
          <w:highlight w:val="none"/>
          <w:lang w:eastAsia="zh-CN"/>
        </w:rPr>
        <w:t>其他</w:t>
      </w:r>
      <w:r>
        <w:rPr>
          <w:rFonts w:hint="eastAsia" w:ascii="宋体" w:hAnsi="宋体" w:eastAsia="宋体" w:cs="宋体"/>
          <w:bCs/>
          <w:color w:val="auto"/>
          <w:sz w:val="24"/>
          <w:szCs w:val="24"/>
          <w:highlight w:val="none"/>
        </w:rPr>
        <w:t>责任。</w:t>
      </w:r>
    </w:p>
    <w:p w14:paraId="689515C9">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6" w:name="_Toc27740"/>
      <w:r>
        <w:rPr>
          <w:rFonts w:hint="eastAsia" w:ascii="宋体" w:hAnsi="宋体" w:eastAsia="宋体" w:cs="宋体"/>
          <w:b/>
          <w:color w:val="auto"/>
          <w:sz w:val="24"/>
          <w:szCs w:val="24"/>
          <w:highlight w:val="none"/>
        </w:rPr>
        <w:t>第九条  乙方的权利和义务</w:t>
      </w:r>
      <w:bookmarkEnd w:id="26"/>
    </w:p>
    <w:p w14:paraId="70A00F4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1.对本合同规定的委托服务范围内的项目享有管理权及服务义务。</w:t>
      </w:r>
    </w:p>
    <w:p w14:paraId="1537C14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2.根据本合同的规定向甲方收取相关服务费用，并有权在本项目管理范围内管理及合理使用。</w:t>
      </w:r>
    </w:p>
    <w:p w14:paraId="0308881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3.及时向甲方通告本项目服务范围内有关服务的重大事项，及时配合处理投诉。</w:t>
      </w:r>
    </w:p>
    <w:p w14:paraId="24DF015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bCs/>
          <w:color w:val="auto"/>
          <w:sz w:val="24"/>
          <w:szCs w:val="24"/>
          <w:highlight w:val="none"/>
        </w:rPr>
        <w:t>接受项目行业管理部门及政府有关部门的指导，接受甲方的监督。</w:t>
      </w:r>
    </w:p>
    <w:p w14:paraId="6A0CA74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en-US"/>
        </w:rPr>
      </w:pP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val="en-US" w:eastAsia="en-US"/>
        </w:rPr>
        <w:t>乙方按照甲方工作要求完成融媒体中心的运营工作。</w:t>
      </w:r>
    </w:p>
    <w:p w14:paraId="67995913">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en-US"/>
        </w:rPr>
      </w:pP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lang w:val="en-US" w:eastAsia="en-US"/>
        </w:rPr>
        <w:t>乙方按照甲方工作要求做好选题策划、拍摄制作，各类融媒体产品生产。</w:t>
      </w:r>
    </w:p>
    <w:p w14:paraId="710F8E67">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7</w:t>
      </w:r>
      <w:r>
        <w:rPr>
          <w:rFonts w:hint="eastAsia" w:ascii="宋体" w:hAnsi="宋体" w:eastAsia="宋体" w:cs="宋体"/>
          <w:bCs/>
          <w:color w:val="auto"/>
          <w:sz w:val="24"/>
          <w:szCs w:val="24"/>
          <w:highlight w:val="none"/>
        </w:rPr>
        <w:t>.国家</w:t>
      </w:r>
      <w:r>
        <w:rPr>
          <w:rFonts w:hint="eastAsia" w:ascii="宋体" w:hAnsi="宋体" w:eastAsia="宋体" w:cs="宋体"/>
          <w:bCs/>
          <w:color w:val="auto"/>
          <w:sz w:val="24"/>
          <w:szCs w:val="24"/>
          <w:highlight w:val="none"/>
          <w:lang w:eastAsia="zh-CN"/>
        </w:rPr>
        <w:t>法律法规</w:t>
      </w:r>
      <w:r>
        <w:rPr>
          <w:rFonts w:hint="eastAsia" w:ascii="宋体" w:hAnsi="宋体" w:eastAsia="宋体" w:cs="宋体"/>
          <w:bCs/>
          <w:color w:val="auto"/>
          <w:sz w:val="24"/>
          <w:szCs w:val="24"/>
          <w:highlight w:val="none"/>
        </w:rPr>
        <w:t>所规定由乙方承担的</w:t>
      </w:r>
      <w:r>
        <w:rPr>
          <w:rFonts w:hint="eastAsia" w:ascii="宋体" w:hAnsi="宋体" w:eastAsia="宋体" w:cs="宋体"/>
          <w:bCs/>
          <w:color w:val="auto"/>
          <w:sz w:val="24"/>
          <w:szCs w:val="24"/>
          <w:highlight w:val="none"/>
          <w:lang w:eastAsia="zh-CN"/>
        </w:rPr>
        <w:t>其他</w:t>
      </w:r>
      <w:r>
        <w:rPr>
          <w:rFonts w:hint="eastAsia" w:ascii="宋体" w:hAnsi="宋体" w:eastAsia="宋体" w:cs="宋体"/>
          <w:bCs/>
          <w:color w:val="auto"/>
          <w:sz w:val="24"/>
          <w:szCs w:val="24"/>
          <w:highlight w:val="none"/>
        </w:rPr>
        <w:t>责任。</w:t>
      </w:r>
    </w:p>
    <w:p w14:paraId="00EFE3CD">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7" w:name="_Toc25988"/>
      <w:r>
        <w:rPr>
          <w:rFonts w:hint="eastAsia" w:ascii="宋体" w:hAnsi="宋体" w:eastAsia="宋体" w:cs="宋体"/>
          <w:b/>
          <w:color w:val="auto"/>
          <w:sz w:val="24"/>
          <w:szCs w:val="24"/>
          <w:highlight w:val="none"/>
        </w:rPr>
        <w:t>第十条  违约责任</w:t>
      </w:r>
      <w:bookmarkEnd w:id="27"/>
    </w:p>
    <w:p w14:paraId="0C04ECB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bookmarkStart w:id="28" w:name="_Toc26448"/>
      <w:r>
        <w:rPr>
          <w:rFonts w:hint="eastAsia" w:ascii="宋体" w:hAnsi="宋体" w:eastAsia="宋体" w:cs="宋体"/>
          <w:bCs/>
          <w:color w:val="auto"/>
          <w:sz w:val="24"/>
          <w:szCs w:val="24"/>
          <w:highlight w:val="none"/>
          <w:lang w:val="en-US" w:eastAsia="zh-CN"/>
        </w:rPr>
        <w:t>由于一方的过错造成本合同不能履行或不能完全履行时，由过错方承担下列违约责任:</w:t>
      </w:r>
    </w:p>
    <w:p w14:paraId="144D5AA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1.继续履行合同。</w:t>
      </w:r>
    </w:p>
    <w:p w14:paraId="5CF599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2.向守约方支付违约金，违约金的支付方法为:</w:t>
      </w:r>
    </w:p>
    <w:p w14:paraId="51641F9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(1)乙方逾期完成工作成果的，每逾期一日，乙方向甲方支付违约金1000元，逾期超过30日，甲方有权解除合同，乙方应一次性向甲方支付合同总价款20%违约金，违约金不足以弥补甲方损失的，乙方应予以补足。</w:t>
      </w:r>
    </w:p>
    <w:p w14:paraId="61066F9D">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(2)甲方逾期付款的，乙方应予以书面催告，甲方在接到乙方书面催告之日起15日内仍未付款的，自催告期满，按日向乙方支付应付未付价款的千分之一的违约金。3、违约造成对方损失的，应赔偿守约方的损失</w:t>
      </w:r>
    </w:p>
    <w:p w14:paraId="2BF2FF4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第十一条  不可抗力事件处理</w:t>
      </w:r>
      <w:bookmarkEnd w:id="28"/>
    </w:p>
    <w:p w14:paraId="196CDF8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bookmarkStart w:id="29" w:name="_Toc225244857"/>
      <w:bookmarkStart w:id="30" w:name="_Toc286993792"/>
      <w:bookmarkStart w:id="31" w:name="_Toc211911353"/>
      <w:bookmarkStart w:id="32" w:name="_Toc247334846"/>
      <w:bookmarkStart w:id="33" w:name="_Toc212019599"/>
      <w:bookmarkStart w:id="34" w:name="_Toc241833908"/>
      <w:bookmarkStart w:id="35" w:name="_Toc211854454"/>
      <w:bookmarkStart w:id="36" w:name="_Toc237145411"/>
      <w:bookmarkStart w:id="37" w:name="_Toc238984980"/>
      <w:bookmarkStart w:id="38" w:name="_Toc225654649"/>
      <w:bookmarkStart w:id="39" w:name="_Toc239568423"/>
      <w:bookmarkStart w:id="40" w:name="_Toc239233919"/>
      <w:bookmarkStart w:id="41" w:name="_Toc225670756"/>
      <w:bookmarkStart w:id="42" w:name="_Toc232492933"/>
      <w:bookmarkStart w:id="43" w:name="_Toc251768867"/>
      <w:bookmarkStart w:id="44" w:name="_Toc185395254"/>
      <w:r>
        <w:rPr>
          <w:rFonts w:hint="eastAsia" w:ascii="宋体" w:hAnsi="宋体" w:eastAsia="宋体" w:cs="宋体"/>
          <w:sz w:val="24"/>
          <w:szCs w:val="24"/>
          <w:highlight w:val="none"/>
        </w:rPr>
        <w:t>1.在合同有效期内，任何一方因不可抗力事件导致不能履行合同，则合同履行期可延长，其延长期与不可抗力影响期相同。</w:t>
      </w:r>
    </w:p>
    <w:p w14:paraId="2B07A66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2.不可抗力事件发生后，应立即通知对方，并寄送有关权威机构出具的证明。</w:t>
      </w:r>
    </w:p>
    <w:p w14:paraId="56017948">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3.不可抗力事件延续</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天以上，双方应通过友好协商，确定是否继续履行合同。</w:t>
      </w:r>
    </w:p>
    <w:p w14:paraId="786910F6">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kern w:val="0"/>
          <w:sz w:val="24"/>
          <w:szCs w:val="24"/>
          <w:highlight w:val="none"/>
        </w:rPr>
      </w:pPr>
      <w:bookmarkStart w:id="45" w:name="_Toc20448"/>
      <w:r>
        <w:rPr>
          <w:rFonts w:hint="eastAsia" w:ascii="宋体" w:hAnsi="宋体" w:eastAsia="宋体" w:cs="宋体"/>
          <w:b/>
          <w:sz w:val="24"/>
          <w:szCs w:val="24"/>
          <w:highlight w:val="none"/>
        </w:rPr>
        <w:t xml:space="preserve">第十二条  </w:t>
      </w:r>
      <w:r>
        <w:rPr>
          <w:rFonts w:hint="eastAsia" w:ascii="宋体" w:hAnsi="宋体" w:eastAsia="宋体" w:cs="宋体"/>
          <w:b/>
          <w:kern w:val="0"/>
          <w:sz w:val="24"/>
          <w:szCs w:val="24"/>
          <w:highlight w:val="none"/>
        </w:rPr>
        <w:t>合同的变更和终止</w:t>
      </w:r>
      <w:bookmarkEnd w:id="45"/>
    </w:p>
    <w:p w14:paraId="34969DEA">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除《中华人民共和国政府采购法》第49条、第50条第二款规定的情形外，本合同一经签订，甲乙双方不得擅自变更、中止或终止合同。</w:t>
      </w:r>
    </w:p>
    <w:p w14:paraId="2D722CCF">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highlight w:val="none"/>
        </w:rPr>
      </w:pPr>
      <w:bookmarkStart w:id="46" w:name="_Toc32004"/>
      <w:r>
        <w:rPr>
          <w:rFonts w:hint="eastAsia" w:ascii="宋体" w:hAnsi="宋体" w:eastAsia="宋体" w:cs="宋体"/>
          <w:b/>
          <w:sz w:val="24"/>
          <w:szCs w:val="24"/>
          <w:highlight w:val="none"/>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E271BA4">
      <w:pPr>
        <w:pStyle w:val="24"/>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1、在执行本合同中发生的或与本合同有关的争端，双方应通过友好协商解决，经协商在</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天内不能达成协议时，</w:t>
      </w:r>
      <w:r>
        <w:rPr>
          <w:rFonts w:hint="eastAsia" w:ascii="宋体" w:hAnsi="宋体" w:eastAsia="宋体" w:cs="宋体"/>
          <w:kern w:val="0"/>
          <w:sz w:val="24"/>
          <w:szCs w:val="24"/>
          <w:highlight w:val="none"/>
        </w:rPr>
        <w:t>则采取以下第</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2</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种方式解决争议：</w:t>
      </w:r>
    </w:p>
    <w:p w14:paraId="131BE6A8">
      <w:pPr>
        <w:pStyle w:val="24"/>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（1）向甲方所在地有管辖权的人民法院提起诉讼；</w:t>
      </w:r>
    </w:p>
    <w:p w14:paraId="553F0E5E">
      <w:pPr>
        <w:pStyle w:val="24"/>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（2）向</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西安</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仲裁委员会按其仲裁规则申请仲裁。</w:t>
      </w:r>
    </w:p>
    <w:p w14:paraId="6EEE5A6F">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rPr>
        <w:t>2、在仲裁期间，本合同应继续履行。</w:t>
      </w:r>
    </w:p>
    <w:p w14:paraId="35D5A2C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highlight w:val="none"/>
        </w:rPr>
      </w:pPr>
      <w:bookmarkStart w:id="47" w:name="_Toc247334847"/>
      <w:bookmarkStart w:id="48" w:name="_Toc238984981"/>
      <w:bookmarkStart w:id="49" w:name="_Toc251768868"/>
      <w:bookmarkStart w:id="50" w:name="_Toc225244858"/>
      <w:bookmarkStart w:id="51" w:name="_Toc283019219"/>
      <w:bookmarkStart w:id="52" w:name="_Toc211854455"/>
      <w:bookmarkStart w:id="53" w:name="_Toc225654650"/>
      <w:bookmarkStart w:id="54" w:name="_Toc185395255"/>
      <w:bookmarkStart w:id="55" w:name="_Toc211911354"/>
      <w:bookmarkStart w:id="56" w:name="_Toc286993793"/>
      <w:bookmarkStart w:id="57" w:name="_Toc237145412"/>
      <w:bookmarkStart w:id="58" w:name="_Toc212019600"/>
      <w:bookmarkStart w:id="59" w:name="_Toc232492934"/>
      <w:bookmarkStart w:id="60" w:name="_Toc241833909"/>
      <w:bookmarkStart w:id="61" w:name="_Toc239568424"/>
      <w:bookmarkStart w:id="62" w:name="_Toc239233920"/>
      <w:bookmarkStart w:id="63" w:name="_Toc225670757"/>
      <w:bookmarkStart w:id="64" w:name="_Toc282696231"/>
      <w:bookmarkStart w:id="65" w:name="_Toc28433"/>
      <w:r>
        <w:rPr>
          <w:rFonts w:hint="eastAsia" w:ascii="宋体" w:hAnsi="宋体" w:eastAsia="宋体" w:cs="宋体"/>
          <w:b/>
          <w:sz w:val="24"/>
          <w:szCs w:val="24"/>
          <w:highlight w:val="none"/>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sz w:val="24"/>
          <w:szCs w:val="24"/>
          <w:highlight w:val="none"/>
        </w:rPr>
        <w:t>生效及其他</w:t>
      </w:r>
      <w:bookmarkEnd w:id="65"/>
    </w:p>
    <w:p w14:paraId="10EE08AC">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1、合同经双方法定代表人（单位负责人）或授权委托代理人签字并加盖单位公章并由采购代理机构盖章后生效。</w:t>
      </w:r>
    </w:p>
    <w:p w14:paraId="77B73996">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2、合同执行中涉及采购资金和采购内容修改或补充的，须经政府采购监管部门审批，并签</w:t>
      </w:r>
      <w:r>
        <w:rPr>
          <w:rFonts w:hint="eastAsia" w:ascii="宋体" w:hAnsi="宋体" w:eastAsia="宋体" w:cs="宋体"/>
          <w:sz w:val="24"/>
          <w:szCs w:val="24"/>
          <w:highlight w:val="none"/>
          <w:lang w:eastAsia="zh-CN"/>
        </w:rPr>
        <w:t>订</w:t>
      </w:r>
      <w:r>
        <w:rPr>
          <w:rFonts w:hint="eastAsia" w:ascii="宋体" w:hAnsi="宋体" w:eastAsia="宋体" w:cs="宋体"/>
          <w:sz w:val="24"/>
          <w:szCs w:val="24"/>
          <w:highlight w:val="none"/>
        </w:rPr>
        <w:t>书面补充协议报政府采购监督管理部门备案，方可作为主合同不可分割的一部分。</w:t>
      </w:r>
    </w:p>
    <w:p w14:paraId="4A2096E4">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w:t>
      </w:r>
      <w:r>
        <w:rPr>
          <w:rFonts w:hint="eastAsia" w:ascii="宋体" w:hAnsi="宋体" w:eastAsia="宋体" w:cs="宋体"/>
          <w:sz w:val="24"/>
          <w:szCs w:val="24"/>
          <w:highlight w:val="none"/>
          <w:lang w:eastAsia="zh-CN"/>
        </w:rPr>
        <w:t>生</w:t>
      </w:r>
      <w:r>
        <w:rPr>
          <w:rFonts w:hint="eastAsia" w:ascii="宋体" w:hAnsi="宋体" w:eastAsia="宋体" w:cs="宋体"/>
          <w:sz w:val="24"/>
          <w:szCs w:val="24"/>
          <w:highlight w:val="none"/>
        </w:rPr>
        <w:t>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6F2F664F">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6C3AA64E">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项目采购文件</w:t>
      </w:r>
      <w:r>
        <w:rPr>
          <w:rFonts w:hint="eastAsia" w:ascii="宋体" w:hAnsi="宋体" w:eastAsia="宋体" w:cs="宋体"/>
          <w:sz w:val="24"/>
          <w:szCs w:val="24"/>
          <w:highlight w:val="none"/>
          <w:lang w:eastAsia="zh-CN"/>
        </w:rPr>
        <w:t>；</w:t>
      </w:r>
    </w:p>
    <w:p w14:paraId="2A0F03FE">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、项目响应文件</w:t>
      </w:r>
      <w:r>
        <w:rPr>
          <w:rFonts w:hint="eastAsia" w:ascii="宋体" w:hAnsi="宋体" w:eastAsia="宋体" w:cs="宋体"/>
          <w:sz w:val="24"/>
          <w:szCs w:val="24"/>
          <w:highlight w:val="none"/>
          <w:lang w:eastAsia="zh-CN"/>
        </w:rPr>
        <w:t>；</w:t>
      </w:r>
    </w:p>
    <w:p w14:paraId="6F90D5BF">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、成交通知书</w:t>
      </w:r>
      <w:r>
        <w:rPr>
          <w:rFonts w:hint="eastAsia" w:ascii="宋体" w:hAnsi="宋体" w:eastAsia="宋体" w:cs="宋体"/>
          <w:sz w:val="24"/>
          <w:szCs w:val="24"/>
          <w:highlight w:val="none"/>
          <w:lang w:eastAsia="zh-CN"/>
        </w:rPr>
        <w:t>；</w:t>
      </w:r>
    </w:p>
    <w:p w14:paraId="4D7B673D">
      <w:pPr>
        <w:pStyle w:val="25"/>
        <w:keepNext w:val="0"/>
        <w:keepLines w:val="0"/>
        <w:pageBreakBefore w:val="0"/>
        <w:kinsoku/>
        <w:wordWrap/>
        <w:overflowPunct/>
        <w:topLinePunct w:val="0"/>
        <w:autoSpaceDE/>
        <w:autoSpaceDN/>
        <w:bidi w:val="0"/>
        <w:spacing w:line="360" w:lineRule="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4、附件（</w:t>
      </w:r>
      <w:r>
        <w:rPr>
          <w:rFonts w:hint="eastAsia" w:ascii="宋体" w:hAnsi="宋体" w:eastAsia="宋体" w:cs="宋体"/>
          <w:b/>
          <w:bCs/>
          <w:color w:val="FF0000"/>
          <w:kern w:val="0"/>
          <w:sz w:val="21"/>
          <w:szCs w:val="21"/>
          <w:highlight w:val="none"/>
          <w:lang w:val="en-US" w:eastAsia="zh-CN" w:bidi="ar"/>
        </w:rPr>
        <w:t>1.</w:t>
      </w:r>
      <w:r>
        <w:rPr>
          <w:rFonts w:hint="eastAsia" w:ascii="宋体" w:hAnsi="宋体" w:eastAsia="宋体" w:cs="宋体"/>
          <w:b/>
          <w:bCs/>
          <w:color w:val="FF0000"/>
          <w:sz w:val="21"/>
          <w:szCs w:val="21"/>
          <w:highlight w:val="none"/>
          <w:lang w:eastAsia="zh-CN"/>
        </w:rPr>
        <w:t>财务状况报告；</w:t>
      </w:r>
      <w:r>
        <w:rPr>
          <w:rFonts w:hint="eastAsia" w:ascii="宋体" w:hAnsi="宋体" w:eastAsia="宋体" w:cs="宋体"/>
          <w:b/>
          <w:bCs/>
          <w:color w:val="FF0000"/>
          <w:sz w:val="21"/>
          <w:szCs w:val="21"/>
          <w:highlight w:val="none"/>
          <w:lang w:val="en-US" w:eastAsia="zh-CN"/>
        </w:rPr>
        <w:t>2.</w:t>
      </w:r>
      <w:r>
        <w:rPr>
          <w:rFonts w:hint="eastAsia" w:ascii="宋体" w:hAnsi="宋体" w:eastAsia="宋体" w:cs="宋体"/>
          <w:b/>
          <w:bCs/>
          <w:color w:val="FF0000"/>
          <w:sz w:val="21"/>
          <w:szCs w:val="21"/>
          <w:highlight w:val="none"/>
          <w:lang w:eastAsia="zh-CN"/>
        </w:rPr>
        <w:t>税收缴纳证明；</w:t>
      </w:r>
      <w:r>
        <w:rPr>
          <w:rFonts w:hint="eastAsia" w:ascii="宋体" w:hAnsi="宋体" w:eastAsia="宋体" w:cs="宋体"/>
          <w:b/>
          <w:bCs/>
          <w:color w:val="FF0000"/>
          <w:sz w:val="21"/>
          <w:szCs w:val="21"/>
          <w:highlight w:val="none"/>
          <w:lang w:val="en-US" w:eastAsia="zh-CN"/>
        </w:rPr>
        <w:t>3.</w:t>
      </w:r>
      <w:r>
        <w:rPr>
          <w:rFonts w:hint="default" w:ascii="Times New Roman" w:hAnsi="Times New Roman" w:eastAsia="宋体" w:cs="Times New Roman"/>
          <w:b/>
          <w:bCs/>
          <w:color w:val="FF0000"/>
          <w:sz w:val="21"/>
          <w:szCs w:val="21"/>
          <w:highlight w:val="none"/>
        </w:rPr>
        <w:t>社保资金缴纳证明</w:t>
      </w:r>
      <w:r>
        <w:rPr>
          <w:rFonts w:hint="eastAsia" w:ascii="Times New Roman" w:hAnsi="Times New Roman" w:eastAsia="宋体" w:cs="Times New Roman"/>
          <w:b/>
          <w:bCs/>
          <w:color w:val="FF0000"/>
          <w:sz w:val="21"/>
          <w:szCs w:val="21"/>
          <w:highlight w:val="none"/>
          <w:lang w:eastAsia="zh-CN"/>
        </w:rPr>
        <w:t>；</w:t>
      </w:r>
      <w:r>
        <w:rPr>
          <w:rFonts w:hint="eastAsia" w:ascii="Times New Roman" w:hAnsi="Times New Roman" w:eastAsia="宋体" w:cs="Times New Roman"/>
          <w:b/>
          <w:bCs/>
          <w:color w:val="FF0000"/>
          <w:sz w:val="21"/>
          <w:szCs w:val="21"/>
          <w:highlight w:val="none"/>
          <w:lang w:val="en-US" w:eastAsia="zh-CN"/>
        </w:rPr>
        <w:t>4.被授权代表的身份证复印件以及2025年1月至今任意时段在本单位注册的已缴纳的社会保障资金缴存单据或社保机构开具的社会保险参保缴费情况证明</w:t>
      </w:r>
      <w:r>
        <w:rPr>
          <w:rFonts w:hint="eastAsia" w:ascii="宋体" w:hAnsi="宋体" w:eastAsia="宋体" w:cs="宋体"/>
          <w:sz w:val="24"/>
          <w:szCs w:val="24"/>
          <w:highlight w:val="none"/>
          <w:lang w:val="en-US" w:eastAsia="zh-CN"/>
        </w:rPr>
        <w:t>）。</w:t>
      </w:r>
    </w:p>
    <w:p w14:paraId="6E519CB6">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、其他</w:t>
      </w:r>
      <w:r>
        <w:rPr>
          <w:rFonts w:hint="eastAsia" w:ascii="宋体" w:hAnsi="宋体" w:eastAsia="宋体" w:cs="宋体"/>
          <w:sz w:val="24"/>
          <w:szCs w:val="24"/>
          <w:highlight w:val="none"/>
          <w:lang w:eastAsia="zh-CN"/>
        </w:rPr>
        <w:t>。</w:t>
      </w:r>
    </w:p>
    <w:p w14:paraId="5FD38E84">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225274C">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此页无正文</w:t>
      </w:r>
      <w:r>
        <w:rPr>
          <w:rFonts w:hint="eastAsia" w:ascii="宋体" w:hAnsi="宋体" w:cs="宋体"/>
          <w:sz w:val="24"/>
          <w:szCs w:val="24"/>
          <w:highlight w:val="none"/>
          <w:lang w:eastAsia="zh-CN"/>
        </w:rPr>
        <w:t>）</w:t>
      </w:r>
    </w:p>
    <w:p w14:paraId="50B9DDA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乙方：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（盖章）</w:t>
      </w:r>
    </w:p>
    <w:p w14:paraId="6B37FA8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法定代表人：（单位负责人）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法定代表人：（单位负责人）</w:t>
      </w:r>
    </w:p>
    <w:p w14:paraId="367C39D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41841D5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17D6B991">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6A5E4A59">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4E05C3F6">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    真：                           传    真：</w:t>
      </w:r>
    </w:p>
    <w:p w14:paraId="093F807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签约日期：  年  月  日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签约日期：  年  月  日</w:t>
      </w:r>
    </w:p>
    <w:p w14:paraId="3C48614D">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97C61BF">
      <w:pPr>
        <w:pStyle w:val="10"/>
        <w:adjustRightInd w:val="0"/>
        <w:snapToGrid w:val="0"/>
        <w:spacing w:line="360" w:lineRule="auto"/>
        <w:jc w:val="left"/>
        <w:rPr>
          <w:rFonts w:hint="eastAsia" w:ascii="黑体" w:eastAsia="黑体"/>
          <w:color w:val="auto"/>
          <w:sz w:val="36"/>
          <w:szCs w:val="36"/>
          <w:highlight w:val="none"/>
          <w:lang w:eastAsia="zh-CN"/>
        </w:rPr>
      </w:pPr>
      <w:r>
        <w:rPr>
          <w:rFonts w:hint="eastAsia" w:ascii="黑体" w:eastAsia="黑体"/>
          <w:color w:val="auto"/>
          <w:sz w:val="36"/>
          <w:szCs w:val="36"/>
          <w:highlight w:val="none"/>
          <w:lang w:eastAsia="zh-CN"/>
        </w:rPr>
        <w:t>附件</w:t>
      </w:r>
    </w:p>
    <w:p w14:paraId="55E644EB">
      <w:pPr>
        <w:pStyle w:val="10"/>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t>财务状况报告</w:t>
      </w:r>
    </w:p>
    <w:p w14:paraId="207E2288">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说明：</w:t>
      </w:r>
    </w:p>
    <w:p w14:paraId="46976628">
      <w:pPr>
        <w:pStyle w:val="10"/>
        <w:adjustRightInd w:val="0"/>
        <w:snapToGrid w:val="0"/>
        <w:spacing w:line="360" w:lineRule="auto"/>
        <w:ind w:firstLine="420" w:firstLineChars="200"/>
        <w:rPr>
          <w:rFonts w:hint="eastAsia" w:hAnsi="宋体"/>
          <w:color w:val="auto"/>
          <w:highlight w:val="none"/>
          <w:lang w:eastAsia="zh-CN"/>
        </w:rPr>
      </w:pPr>
      <w:r>
        <w:rPr>
          <w:rFonts w:hint="default" w:ascii="Times New Roman" w:hAnsi="Times New Roman" w:cs="Times New Roman"/>
          <w:color w:val="000000"/>
          <w:szCs w:val="21"/>
          <w:highlight w:val="none"/>
        </w:rPr>
        <w:t>提供</w:t>
      </w:r>
      <w:r>
        <w:rPr>
          <w:rFonts w:hint="default" w:ascii="Times New Roman" w:hAnsi="Times New Roman" w:cs="Times New Roman"/>
          <w:color w:val="000000"/>
          <w:szCs w:val="21"/>
          <w:highlight w:val="none"/>
          <w:lang w:eastAsia="zh-CN"/>
        </w:rPr>
        <w:t>202</w:t>
      </w:r>
      <w:r>
        <w:rPr>
          <w:rFonts w:hint="eastAsia" w:ascii="Times New Roman" w:hAnsi="Times New Roman" w:cs="Times New Roman"/>
          <w:color w:val="000000"/>
          <w:szCs w:val="21"/>
          <w:highlight w:val="none"/>
          <w:lang w:val="en-US" w:eastAsia="zh-CN"/>
        </w:rPr>
        <w:t>3</w:t>
      </w:r>
      <w:r>
        <w:rPr>
          <w:rFonts w:hint="default" w:ascii="Times New Roman" w:hAnsi="Times New Roman" w:cs="Times New Roman"/>
          <w:color w:val="000000"/>
          <w:szCs w:val="21"/>
          <w:highlight w:val="none"/>
          <w:lang w:eastAsia="zh-CN"/>
        </w:rPr>
        <w:t>年度或202</w:t>
      </w:r>
      <w:r>
        <w:rPr>
          <w:rFonts w:hint="eastAsia" w:ascii="Times New Roman" w:hAnsi="Times New Roman" w:cs="Times New Roman"/>
          <w:color w:val="000000"/>
          <w:szCs w:val="21"/>
          <w:highlight w:val="none"/>
          <w:lang w:val="en-US" w:eastAsia="zh-CN"/>
        </w:rPr>
        <w:t>4</w:t>
      </w:r>
      <w:r>
        <w:rPr>
          <w:rFonts w:hint="default" w:ascii="Times New Roman" w:hAnsi="Times New Roman" w:cs="Times New Roman"/>
          <w:color w:val="000000"/>
          <w:szCs w:val="21"/>
          <w:highlight w:val="none"/>
          <w:lang w:eastAsia="zh-CN"/>
        </w:rPr>
        <w:t>年度</w:t>
      </w:r>
      <w:r>
        <w:rPr>
          <w:rFonts w:hint="default" w:ascii="Times New Roman" w:hAnsi="Times New Roman" w:cs="Times New Roman"/>
          <w:color w:val="000000"/>
          <w:szCs w:val="21"/>
          <w:highlight w:val="none"/>
        </w:rPr>
        <w:t>经</w:t>
      </w:r>
      <w:r>
        <w:rPr>
          <w:rFonts w:hint="default" w:ascii="Times New Roman" w:hAnsi="Times New Roman" w:cs="Times New Roman"/>
          <w:color w:val="000000"/>
          <w:szCs w:val="21"/>
          <w:highlight w:val="none"/>
        </w:rPr>
        <w:t>审计的财务会计报告或其提交响应文件截止时间前3个月内</w:t>
      </w:r>
      <w:r>
        <w:rPr>
          <w:rFonts w:hint="default" w:ascii="Times New Roman" w:hAnsi="Times New Roman" w:cs="Times New Roman"/>
          <w:color w:val="000000"/>
          <w:highlight w:val="none"/>
        </w:rPr>
        <w:t>银行出具的资信证明</w:t>
      </w:r>
      <w:r>
        <w:rPr>
          <w:rFonts w:hint="default" w:ascii="Times New Roman" w:hAnsi="Times New Roman" w:cs="Times New Roman"/>
          <w:color w:val="000000"/>
          <w:szCs w:val="21"/>
          <w:highlight w:val="none"/>
          <w:lang w:eastAsia="zh-Hans"/>
        </w:rPr>
        <w:t>。</w:t>
      </w:r>
      <w:r>
        <w:rPr>
          <w:rFonts w:hint="eastAsia" w:hAnsi="宋体"/>
          <w:color w:val="auto"/>
          <w:highlight w:val="none"/>
          <w:lang w:eastAsia="zh-CN"/>
        </w:rPr>
        <w:t>（以上两种形式的资料提供任何一种即可）</w:t>
      </w:r>
    </w:p>
    <w:p w14:paraId="62155AE8">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要求：</w:t>
      </w:r>
    </w:p>
    <w:p w14:paraId="163B2B8F">
      <w:pPr>
        <w:rPr>
          <w:rFonts w:hint="eastAsia" w:ascii="Times New Roman" w:hAnsi="Times New Roman" w:eastAsia="Arial" w:cs="Times New Roman"/>
          <w:snapToGrid w:val="0"/>
          <w:color w:val="000000"/>
          <w:kern w:val="0"/>
          <w:sz w:val="21"/>
          <w:szCs w:val="21"/>
          <w:highlight w:val="none"/>
          <w:lang w:val="en-US" w:eastAsia="en-US" w:bidi="ar-SA"/>
        </w:rPr>
      </w:pPr>
      <w:r>
        <w:rPr>
          <w:rFonts w:hint="eastAsia" w:ascii="Times New Roman" w:hAnsi="Times New Roman" w:eastAsia="Arial" w:cs="Times New Roman"/>
          <w:snapToGrid w:val="0"/>
          <w:color w:val="000000"/>
          <w:kern w:val="0"/>
          <w:sz w:val="21"/>
          <w:szCs w:val="21"/>
          <w:highlight w:val="none"/>
          <w:lang w:val="en-US" w:eastAsia="en-US" w:bidi="ar-SA"/>
        </w:rPr>
        <w:t>（1）供应商是企业法人的，应提供2023或2024全年度经审计的财务报告，包括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w:t>
      </w:r>
    </w:p>
    <w:p w14:paraId="05705DA2">
      <w:pPr>
        <w:rPr>
          <w:rFonts w:hint="eastAsia" w:ascii="Times New Roman" w:hAnsi="Times New Roman" w:eastAsia="Arial" w:cs="Times New Roman"/>
          <w:snapToGrid w:val="0"/>
          <w:color w:val="000000"/>
          <w:kern w:val="0"/>
          <w:sz w:val="21"/>
          <w:szCs w:val="21"/>
          <w:highlight w:val="none"/>
          <w:lang w:val="en-US" w:eastAsia="en-US" w:bidi="ar-SA"/>
        </w:rPr>
      </w:pPr>
      <w:r>
        <w:rPr>
          <w:rFonts w:hint="eastAsia" w:ascii="Times New Roman" w:hAnsi="Times New Roman" w:eastAsia="Arial" w:cs="Times New Roman"/>
          <w:snapToGrid w:val="0"/>
          <w:color w:val="000000"/>
          <w:kern w:val="0"/>
          <w:sz w:val="21"/>
          <w:szCs w:val="21"/>
          <w:highlight w:val="none"/>
          <w:lang w:val="en-US" w:eastAsia="en-US" w:bidi="ar-SA"/>
        </w:rPr>
        <w:t>（2）供应商是执行《小企业会计准则》的小微企业的，应提供2023或2024全年度经审计的财务报告，至少包括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w:t>
      </w:r>
    </w:p>
    <w:p w14:paraId="60771B8E">
      <w:pPr>
        <w:rPr>
          <w:rFonts w:hint="eastAsia" w:ascii="Times New Roman" w:hAnsi="Times New Roman" w:eastAsia="Arial" w:cs="Times New Roman"/>
          <w:snapToGrid w:val="0"/>
          <w:color w:val="000000"/>
          <w:kern w:val="0"/>
          <w:sz w:val="21"/>
          <w:szCs w:val="21"/>
          <w:highlight w:val="none"/>
          <w:lang w:val="en-US" w:eastAsia="en-US" w:bidi="ar-SA"/>
        </w:rPr>
      </w:pPr>
      <w:r>
        <w:rPr>
          <w:rFonts w:hint="eastAsia" w:ascii="Times New Roman" w:hAnsi="Times New Roman" w:eastAsia="Arial" w:cs="Times New Roman"/>
          <w:snapToGrid w:val="0"/>
          <w:color w:val="000000"/>
          <w:kern w:val="0"/>
          <w:sz w:val="21"/>
          <w:szCs w:val="21"/>
          <w:highlight w:val="none"/>
          <w:lang w:val="en-US" w:eastAsia="en-US" w:bidi="ar-SA"/>
        </w:rPr>
        <w:t>（3）公益类事业单位无需提供；</w:t>
      </w:r>
    </w:p>
    <w:p w14:paraId="05A24C1A">
      <w:pPr>
        <w:rPr>
          <w:rFonts w:hint="eastAsia" w:ascii="Times New Roman" w:hAnsi="Times New Roman" w:eastAsia="Arial" w:cs="Times New Roman"/>
          <w:snapToGrid w:val="0"/>
          <w:color w:val="000000"/>
          <w:kern w:val="0"/>
          <w:sz w:val="21"/>
          <w:szCs w:val="21"/>
          <w:highlight w:val="none"/>
          <w:lang w:val="en-US" w:eastAsia="en-US" w:bidi="ar-SA"/>
        </w:rPr>
      </w:pPr>
      <w:r>
        <w:rPr>
          <w:rFonts w:hint="eastAsia" w:ascii="Times New Roman" w:hAnsi="Times New Roman" w:eastAsia="Arial" w:cs="Times New Roman"/>
          <w:snapToGrid w:val="0"/>
          <w:color w:val="000000"/>
          <w:kern w:val="0"/>
          <w:sz w:val="21"/>
          <w:szCs w:val="21"/>
          <w:highlight w:val="none"/>
          <w:lang w:val="en-US" w:eastAsia="en-US" w:bidi="ar-SA"/>
        </w:rPr>
        <w:t>（4）部分其他组织和自然人，提供提交响应文件截止时间前3个月内银行出具的资信证明（附账户信息）；</w:t>
      </w:r>
    </w:p>
    <w:p w14:paraId="2A683686">
      <w:pPr>
        <w:rPr>
          <w:rFonts w:hint="eastAsia" w:ascii="Times New Roman" w:hAnsi="Times New Roman" w:eastAsia="Arial" w:cs="Times New Roman"/>
          <w:snapToGrid w:val="0"/>
          <w:color w:val="000000"/>
          <w:kern w:val="0"/>
          <w:sz w:val="21"/>
          <w:szCs w:val="21"/>
          <w:highlight w:val="none"/>
          <w:lang w:val="en-US" w:eastAsia="en-US" w:bidi="ar-SA"/>
        </w:rPr>
      </w:pPr>
      <w:r>
        <w:rPr>
          <w:rFonts w:hint="eastAsia" w:ascii="Times New Roman" w:hAnsi="Times New Roman" w:eastAsia="Arial" w:cs="Times New Roman"/>
          <w:snapToGrid w:val="0"/>
          <w:color w:val="000000"/>
          <w:kern w:val="0"/>
          <w:sz w:val="21"/>
          <w:szCs w:val="21"/>
          <w:highlight w:val="none"/>
          <w:lang w:val="en-US" w:eastAsia="en-US" w:bidi="ar-SA"/>
        </w:rPr>
        <w:t>（5）供应商成立不到1年（至提交响应文件截止时间）的，提供成立后任意时段的资产负债表，或提交响应文件截止时间前3个月内其基本账户开户银行出具的资信证明（附基本存款账户信息）；</w:t>
      </w:r>
      <w:r>
        <w:rPr>
          <w:rFonts w:hint="eastAsia" w:ascii="Times New Roman" w:hAnsi="Times New Roman" w:eastAsia="Arial" w:cs="Times New Roman"/>
          <w:snapToGrid w:val="0"/>
          <w:color w:val="000000"/>
          <w:kern w:val="0"/>
          <w:sz w:val="21"/>
          <w:szCs w:val="21"/>
          <w:highlight w:val="none"/>
          <w:lang w:val="en-US" w:eastAsia="en-US" w:bidi="ar-SA"/>
        </w:rPr>
        <w:br w:type="page"/>
      </w:r>
    </w:p>
    <w:p w14:paraId="7C6ECDAC">
      <w:pPr>
        <w:rPr>
          <w:rFonts w:hint="eastAsia" w:ascii="宋体" w:hAnsi="宋体" w:eastAsia="宋体" w:cs="宋体"/>
          <w:sz w:val="24"/>
          <w:szCs w:val="24"/>
          <w:highlight w:val="none"/>
          <w:lang w:val="en-US" w:eastAsia="zh-CN"/>
        </w:rPr>
      </w:pPr>
    </w:p>
    <w:p w14:paraId="3B45F0CA">
      <w:pPr>
        <w:pStyle w:val="10"/>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t>税收缴纳证明</w:t>
      </w:r>
    </w:p>
    <w:p w14:paraId="4014CBDC">
      <w:pPr>
        <w:pStyle w:val="10"/>
        <w:adjustRightInd w:val="0"/>
        <w:snapToGrid w:val="0"/>
        <w:spacing w:line="360" w:lineRule="auto"/>
        <w:jc w:val="left"/>
        <w:rPr>
          <w:rFonts w:hint="eastAsia"/>
          <w:color w:val="auto"/>
          <w:sz w:val="24"/>
          <w:szCs w:val="24"/>
          <w:highlight w:val="none"/>
        </w:rPr>
      </w:pPr>
    </w:p>
    <w:p w14:paraId="48BDB080">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rPr>
        <w:t>说明</w:t>
      </w:r>
      <w:r>
        <w:rPr>
          <w:rFonts w:hint="eastAsia" w:hAnsi="宋体"/>
          <w:b/>
          <w:bCs/>
          <w:color w:val="auto"/>
          <w:highlight w:val="none"/>
          <w:lang w:eastAsia="zh-CN"/>
        </w:rPr>
        <w:t>：</w:t>
      </w:r>
    </w:p>
    <w:p w14:paraId="2E03E4FF">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（1）提供供应商202</w:t>
      </w:r>
      <w:r>
        <w:rPr>
          <w:rFonts w:hint="eastAsia" w:hAnsi="宋体"/>
          <w:color w:val="auto"/>
          <w:highlight w:val="none"/>
          <w:lang w:val="en-US" w:eastAsia="zh-CN"/>
        </w:rPr>
        <w:t>5</w:t>
      </w:r>
      <w:r>
        <w:rPr>
          <w:rFonts w:hint="eastAsia" w:hAnsi="宋体"/>
          <w:color w:val="auto"/>
          <w:highlight w:val="none"/>
          <w:lang w:eastAsia="zh-CN"/>
        </w:rPr>
        <w:t>年1月至今任意时段已缴纳完税凭证或税务机关开具的完税证明（除个人所得税的任意税种；依法免税的应提供相关文件证明；</w:t>
      </w:r>
    </w:p>
    <w:p w14:paraId="25410DA0">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（2）依法免税的应提供相关文件证明；</w:t>
      </w:r>
    </w:p>
    <w:p w14:paraId="707CED56">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要求：</w:t>
      </w:r>
    </w:p>
    <w:p w14:paraId="73BE841F">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（1）公益类事业单位无需提供；</w:t>
      </w:r>
    </w:p>
    <w:p w14:paraId="4941F683">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（2）新成立（成立时间至递交响应文件截止时间不足一年）未发生缴纳税收事项的供应商，</w:t>
      </w:r>
      <w:r>
        <w:rPr>
          <w:rFonts w:hint="eastAsia" w:hAnsi="宋体"/>
          <w:color w:val="auto"/>
          <w:highlight w:val="none"/>
        </w:rPr>
        <w:t>应提供依法缴纳税收书面承诺</w:t>
      </w:r>
      <w:r>
        <w:rPr>
          <w:rFonts w:hint="eastAsia" w:hAnsi="宋体"/>
          <w:color w:val="auto"/>
          <w:highlight w:val="none"/>
          <w:lang w:eastAsia="zh-CN"/>
        </w:rPr>
        <w:t>；</w:t>
      </w:r>
    </w:p>
    <w:p w14:paraId="0EAC448E">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（3）其他组织和自然人需提供缴纳税收的凭据；</w:t>
      </w:r>
    </w:p>
    <w:p w14:paraId="6C847E64">
      <w:pPr>
        <w:rPr>
          <w:rFonts w:hint="eastAsia" w:hAnsi="宋体"/>
          <w:color w:val="auto"/>
          <w:highlight w:val="none"/>
        </w:rPr>
      </w:pPr>
      <w:r>
        <w:rPr>
          <w:rFonts w:hint="eastAsia" w:hAnsi="宋体"/>
          <w:color w:val="auto"/>
          <w:highlight w:val="none"/>
        </w:rPr>
        <w:br w:type="page"/>
      </w:r>
    </w:p>
    <w:p w14:paraId="403CCB37">
      <w:pPr>
        <w:spacing w:before="240" w:beforeLines="100"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依法缴纳税收承诺书</w:t>
      </w:r>
    </w:p>
    <w:p w14:paraId="7B915FE2">
      <w:pPr>
        <w:pStyle w:val="4"/>
        <w:spacing w:before="720" w:beforeLines="300" w:after="120" w:afterLines="50" w:line="360" w:lineRule="auto"/>
        <w:ind w:firstLine="0"/>
        <w:rPr>
          <w:rFonts w:ascii="宋体" w:hAnsi="宋体"/>
          <w:color w:val="auto"/>
          <w:szCs w:val="21"/>
          <w:highlight w:val="none"/>
        </w:rPr>
      </w:pPr>
      <w:r>
        <w:rPr>
          <w:rFonts w:hint="eastAsia" w:ascii="宋体" w:hAnsi="宋体"/>
          <w:color w:val="auto"/>
          <w:szCs w:val="21"/>
          <w:highlight w:val="none"/>
          <w:lang w:eastAsia="zh-CN"/>
        </w:rPr>
        <w:t>陕西隆信项目管理有限公司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04E6D42F">
      <w:pPr>
        <w:pStyle w:val="4"/>
        <w:spacing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0F3553F9">
      <w:pPr>
        <w:pStyle w:val="4"/>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我方承诺将依法缴纳税收，并符合《中华人民共和国政府采购法》及其实施条例和采购文件资格要求的规定。</w:t>
      </w:r>
    </w:p>
    <w:p w14:paraId="1E7B28B1">
      <w:pPr>
        <w:pStyle w:val="4"/>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511A2FDF">
      <w:pPr>
        <w:pStyle w:val="4"/>
        <w:spacing w:line="360" w:lineRule="auto"/>
        <w:ind w:firstLine="573"/>
        <w:rPr>
          <w:rFonts w:ascii="宋体" w:hAnsi="宋体"/>
          <w:color w:val="auto"/>
          <w:szCs w:val="21"/>
          <w:highlight w:val="none"/>
        </w:rPr>
      </w:pPr>
    </w:p>
    <w:p w14:paraId="57CB1A52">
      <w:pPr>
        <w:pStyle w:val="4"/>
        <w:spacing w:line="360" w:lineRule="auto"/>
        <w:ind w:firstLine="573"/>
        <w:rPr>
          <w:rFonts w:ascii="宋体" w:hAnsi="宋体"/>
          <w:color w:val="auto"/>
          <w:szCs w:val="21"/>
          <w:highlight w:val="none"/>
        </w:rPr>
      </w:pPr>
    </w:p>
    <w:p w14:paraId="70137FDD">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5C057C41">
      <w:pPr>
        <w:pStyle w:val="4"/>
        <w:spacing w:line="360" w:lineRule="auto"/>
        <w:ind w:firstLine="573"/>
        <w:rPr>
          <w:rFonts w:hint="eastAsia" w:ascii="宋体" w:hAnsi="宋体"/>
          <w:color w:val="auto"/>
          <w:szCs w:val="21"/>
          <w:highlight w:val="none"/>
        </w:rPr>
      </w:pPr>
    </w:p>
    <w:p w14:paraId="0AC4BA83">
      <w:pPr>
        <w:pStyle w:val="4"/>
        <w:spacing w:line="360" w:lineRule="auto"/>
        <w:ind w:firstLine="573"/>
        <w:rPr>
          <w:rFonts w:hint="eastAsia" w:ascii="宋体" w:hAnsi="宋体"/>
          <w:color w:val="auto"/>
          <w:szCs w:val="21"/>
          <w:highlight w:val="none"/>
        </w:rPr>
      </w:pPr>
    </w:p>
    <w:p w14:paraId="759A6E1D">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olor w:val="auto"/>
          <w:szCs w:val="21"/>
          <w:highlight w:val="none"/>
          <w:lang w:val="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4D56EC27">
      <w:pPr>
        <w:pStyle w:val="4"/>
        <w:spacing w:line="360" w:lineRule="auto"/>
        <w:ind w:firstLine="573"/>
        <w:rPr>
          <w:rFonts w:hint="eastAsia" w:ascii="宋体" w:hAnsi="宋体"/>
          <w:color w:val="auto"/>
          <w:szCs w:val="21"/>
          <w:highlight w:val="none"/>
        </w:rPr>
      </w:pPr>
    </w:p>
    <w:p w14:paraId="1B050794">
      <w:pPr>
        <w:pStyle w:val="4"/>
        <w:spacing w:line="360" w:lineRule="auto"/>
        <w:ind w:firstLine="573"/>
        <w:rPr>
          <w:rFonts w:hint="eastAsia" w:ascii="宋体" w:hAnsi="宋体"/>
          <w:color w:val="auto"/>
          <w:szCs w:val="21"/>
          <w:highlight w:val="none"/>
        </w:rPr>
      </w:pPr>
    </w:p>
    <w:p w14:paraId="411A7449">
      <w:pPr>
        <w:pStyle w:val="4"/>
        <w:spacing w:line="360" w:lineRule="auto"/>
        <w:ind w:firstLine="573"/>
        <w:rPr>
          <w:rFonts w:hint="eastAsia"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71E8495">
      <w:pPr>
        <w:rPr>
          <w:rFonts w:hint="eastAsia" w:ascii="宋体" w:hAnsi="宋体"/>
          <w:color w:val="auto"/>
          <w:szCs w:val="21"/>
          <w:highlight w:val="none"/>
        </w:rPr>
      </w:pPr>
      <w:r>
        <w:rPr>
          <w:rFonts w:hint="eastAsia" w:ascii="宋体" w:hAnsi="宋体"/>
          <w:color w:val="auto"/>
          <w:szCs w:val="21"/>
          <w:highlight w:val="none"/>
        </w:rPr>
        <w:br w:type="page"/>
      </w:r>
    </w:p>
    <w:p w14:paraId="0DF5E1AC">
      <w:pPr>
        <w:rPr>
          <w:rFonts w:hint="eastAsia" w:eastAsia="宋体"/>
          <w:highlight w:val="none"/>
          <w:lang w:val="en-US" w:eastAsia="zh-CN"/>
        </w:rPr>
      </w:pPr>
    </w:p>
    <w:p w14:paraId="0561F762">
      <w:pPr>
        <w:pStyle w:val="10"/>
        <w:adjustRightInd w:val="0"/>
        <w:snapToGrid w:val="0"/>
        <w:spacing w:line="360" w:lineRule="auto"/>
        <w:jc w:val="center"/>
        <w:rPr>
          <w:rFonts w:hint="eastAsia" w:ascii="黑体" w:hAnsi="宋体" w:eastAsia="黑体"/>
          <w:color w:val="auto"/>
          <w:sz w:val="36"/>
          <w:szCs w:val="36"/>
          <w:highlight w:val="none"/>
        </w:rPr>
      </w:pPr>
      <w:r>
        <w:rPr>
          <w:rFonts w:hint="eastAsia" w:ascii="黑体" w:eastAsia="黑体"/>
          <w:color w:val="auto"/>
          <w:sz w:val="36"/>
          <w:szCs w:val="36"/>
          <w:highlight w:val="none"/>
          <w:lang w:eastAsia="zh-CN"/>
        </w:rPr>
        <w:t>社会保障资金缴纳证明</w:t>
      </w:r>
    </w:p>
    <w:p w14:paraId="5E0908C7">
      <w:pPr>
        <w:pStyle w:val="10"/>
        <w:adjustRightInd w:val="0"/>
        <w:snapToGrid w:val="0"/>
        <w:spacing w:line="360" w:lineRule="auto"/>
        <w:jc w:val="left"/>
        <w:rPr>
          <w:rFonts w:hint="eastAsia" w:hAnsi="宋体"/>
          <w:color w:val="auto"/>
          <w:sz w:val="24"/>
          <w:szCs w:val="24"/>
          <w:highlight w:val="none"/>
        </w:rPr>
      </w:pPr>
    </w:p>
    <w:p w14:paraId="2D9A07A9">
      <w:pPr>
        <w:pStyle w:val="10"/>
        <w:adjustRightInd w:val="0"/>
        <w:snapToGrid w:val="0"/>
        <w:spacing w:line="360" w:lineRule="auto"/>
        <w:ind w:firstLine="482"/>
        <w:rPr>
          <w:rFonts w:hint="eastAsia" w:hAnsi="宋体"/>
          <w:b/>
          <w:bCs/>
          <w:color w:val="auto"/>
          <w:highlight w:val="none"/>
        </w:rPr>
      </w:pPr>
      <w:r>
        <w:rPr>
          <w:rFonts w:hint="eastAsia" w:hAnsi="宋体"/>
          <w:b/>
          <w:bCs/>
          <w:color w:val="auto"/>
          <w:highlight w:val="none"/>
        </w:rPr>
        <w:t>说明：</w:t>
      </w:r>
    </w:p>
    <w:p w14:paraId="69B525B6">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（1）提供供应商202</w:t>
      </w:r>
      <w:r>
        <w:rPr>
          <w:rFonts w:hint="eastAsia" w:hAnsi="宋体"/>
          <w:color w:val="auto"/>
          <w:highlight w:val="none"/>
          <w:lang w:val="en-US" w:eastAsia="zh-CN"/>
        </w:rPr>
        <w:t>5</w:t>
      </w:r>
      <w:r>
        <w:rPr>
          <w:rFonts w:hint="eastAsia" w:hAnsi="宋体"/>
          <w:color w:val="auto"/>
          <w:highlight w:val="none"/>
          <w:lang w:eastAsia="zh-CN"/>
        </w:rPr>
        <w:t>年1月至今已缴存的任意时段的社会保障资金缴存单据或社保机构开具的社会保险参保缴费情况证明；</w:t>
      </w:r>
    </w:p>
    <w:p w14:paraId="538DA39B">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（2）依法不需要缴纳社会保障资金的应提供相关文件证明；</w:t>
      </w:r>
    </w:p>
    <w:p w14:paraId="0BF2A54C">
      <w:pPr>
        <w:pStyle w:val="10"/>
        <w:adjustRightInd w:val="0"/>
        <w:snapToGrid w:val="0"/>
        <w:spacing w:line="360" w:lineRule="auto"/>
        <w:ind w:firstLine="482"/>
        <w:rPr>
          <w:rFonts w:hint="eastAsia" w:hAnsi="宋体"/>
          <w:b/>
          <w:bCs/>
          <w:color w:val="auto"/>
          <w:highlight w:val="none"/>
          <w:lang w:eastAsia="zh-CN"/>
        </w:rPr>
      </w:pPr>
      <w:r>
        <w:rPr>
          <w:rFonts w:hint="eastAsia" w:hAnsi="宋体"/>
          <w:b/>
          <w:bCs/>
          <w:color w:val="auto"/>
          <w:highlight w:val="none"/>
          <w:lang w:eastAsia="zh-CN"/>
        </w:rPr>
        <w:t>要求：</w:t>
      </w:r>
    </w:p>
    <w:p w14:paraId="0B231702">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（1）公益类事业单位无需提供；</w:t>
      </w:r>
    </w:p>
    <w:p w14:paraId="7A2CC12D">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（2）新成立（成立时间至递交响应文件截止时间不足一年）未发生缴纳社保资金事项的供应商，</w:t>
      </w:r>
      <w:r>
        <w:rPr>
          <w:rFonts w:hint="eastAsia" w:hAnsi="宋体"/>
          <w:color w:val="auto"/>
          <w:highlight w:val="none"/>
        </w:rPr>
        <w:t>应提供缴纳社保资金的书面承诺</w:t>
      </w:r>
      <w:r>
        <w:rPr>
          <w:rFonts w:hint="eastAsia" w:hAnsi="宋体"/>
          <w:color w:val="auto"/>
          <w:highlight w:val="none"/>
          <w:lang w:eastAsia="zh-CN"/>
        </w:rPr>
        <w:t>；</w:t>
      </w:r>
    </w:p>
    <w:p w14:paraId="73620966">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（3）其他组织和自然人需提供缴纳社会保险的凭据；</w:t>
      </w:r>
    </w:p>
    <w:p w14:paraId="2500C416">
      <w:pPr>
        <w:rPr>
          <w:rFonts w:hint="eastAsia"/>
          <w:highlight w:val="none"/>
        </w:rPr>
      </w:pPr>
      <w:r>
        <w:rPr>
          <w:rFonts w:hint="eastAsia"/>
          <w:highlight w:val="none"/>
        </w:rPr>
        <w:br w:type="page"/>
      </w:r>
    </w:p>
    <w:p w14:paraId="74FDADDA">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依法缴纳社会保障资金承诺书</w:t>
      </w:r>
    </w:p>
    <w:p w14:paraId="3137AAD6">
      <w:pPr>
        <w:pStyle w:val="4"/>
        <w:spacing w:before="600" w:beforeLines="250" w:line="360" w:lineRule="auto"/>
        <w:ind w:firstLine="0"/>
        <w:rPr>
          <w:rFonts w:ascii="宋体" w:hAnsi="宋体"/>
          <w:color w:val="auto"/>
          <w:szCs w:val="21"/>
          <w:highlight w:val="none"/>
        </w:rPr>
      </w:pPr>
      <w:r>
        <w:rPr>
          <w:rFonts w:hint="eastAsia" w:ascii="宋体" w:hAnsi="宋体"/>
          <w:color w:val="auto"/>
          <w:szCs w:val="21"/>
          <w:highlight w:val="none"/>
          <w:lang w:eastAsia="zh-CN"/>
        </w:rPr>
        <w:t>陕西隆信项目管理有限公司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1A1315FF">
      <w:pPr>
        <w:pStyle w:val="4"/>
        <w:spacing w:before="120" w:beforeLines="50"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5D3F79C5">
      <w:pPr>
        <w:pStyle w:val="4"/>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我方承诺将依法缴纳社会保障资金，并符合《中华人民共和国政府采购法》及其实施条例和采购文件资格要求的规定。</w:t>
      </w:r>
    </w:p>
    <w:p w14:paraId="62612924">
      <w:pPr>
        <w:pStyle w:val="4"/>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3BE7C42C">
      <w:pPr>
        <w:pStyle w:val="4"/>
        <w:spacing w:line="360" w:lineRule="auto"/>
        <w:ind w:firstLine="573"/>
        <w:rPr>
          <w:rFonts w:ascii="宋体" w:hAnsi="宋体"/>
          <w:color w:val="auto"/>
          <w:szCs w:val="21"/>
          <w:highlight w:val="none"/>
        </w:rPr>
      </w:pPr>
    </w:p>
    <w:p w14:paraId="7203DC1E">
      <w:pPr>
        <w:pStyle w:val="4"/>
        <w:spacing w:line="360" w:lineRule="auto"/>
        <w:ind w:firstLine="573"/>
        <w:rPr>
          <w:rFonts w:ascii="宋体" w:hAnsi="宋体"/>
          <w:color w:val="auto"/>
          <w:szCs w:val="21"/>
          <w:highlight w:val="none"/>
        </w:rPr>
      </w:pPr>
    </w:p>
    <w:p w14:paraId="29D9B198">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1AFD62F3">
      <w:pPr>
        <w:pStyle w:val="4"/>
        <w:spacing w:line="360" w:lineRule="auto"/>
        <w:ind w:firstLine="573"/>
        <w:rPr>
          <w:rFonts w:hint="eastAsia" w:ascii="宋体" w:hAnsi="宋体"/>
          <w:color w:val="auto"/>
          <w:szCs w:val="21"/>
          <w:highlight w:val="none"/>
        </w:rPr>
      </w:pPr>
    </w:p>
    <w:p w14:paraId="3EE489AA">
      <w:pPr>
        <w:pStyle w:val="4"/>
        <w:spacing w:line="360" w:lineRule="auto"/>
        <w:ind w:firstLine="573"/>
        <w:rPr>
          <w:rFonts w:hint="eastAsia" w:ascii="宋体" w:hAnsi="宋体"/>
          <w:color w:val="auto"/>
          <w:szCs w:val="21"/>
          <w:highlight w:val="none"/>
        </w:rPr>
      </w:pPr>
    </w:p>
    <w:p w14:paraId="21F4F1F9">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olor w:val="auto"/>
          <w:szCs w:val="21"/>
          <w:highlight w:val="none"/>
          <w:lang w:val="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75265E56">
      <w:pPr>
        <w:pStyle w:val="4"/>
        <w:spacing w:line="360" w:lineRule="auto"/>
        <w:ind w:firstLine="573"/>
        <w:rPr>
          <w:rFonts w:hint="eastAsia" w:ascii="宋体" w:hAnsi="宋体"/>
          <w:color w:val="auto"/>
          <w:szCs w:val="21"/>
          <w:highlight w:val="none"/>
        </w:rPr>
      </w:pPr>
    </w:p>
    <w:p w14:paraId="58E07D0D">
      <w:pPr>
        <w:pStyle w:val="4"/>
        <w:spacing w:line="360" w:lineRule="auto"/>
        <w:ind w:firstLine="573"/>
        <w:rPr>
          <w:rFonts w:hint="eastAsia" w:ascii="宋体" w:hAnsi="宋体"/>
          <w:color w:val="auto"/>
          <w:szCs w:val="21"/>
          <w:highlight w:val="none"/>
        </w:rPr>
      </w:pPr>
    </w:p>
    <w:p w14:paraId="582FBB69">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31D37860">
      <w:pPr>
        <w:pStyle w:val="4"/>
        <w:spacing w:line="360" w:lineRule="auto"/>
        <w:ind w:firstLine="573"/>
        <w:rPr>
          <w:rFonts w:hint="eastAsia" w:ascii="宋体" w:hAnsi="宋体"/>
          <w:color w:val="auto"/>
          <w:szCs w:val="21"/>
          <w:highlight w:val="none"/>
        </w:rPr>
      </w:pPr>
    </w:p>
    <w:p w14:paraId="68DCDE4E">
      <w:pPr>
        <w:spacing w:line="360" w:lineRule="auto"/>
        <w:rPr>
          <w:rFonts w:hint="eastAsia" w:ascii="仿宋_GB2312" w:hAnsi="宋体" w:eastAsia="仿宋_GB2312"/>
          <w:color w:val="auto"/>
          <w:sz w:val="28"/>
          <w:szCs w:val="28"/>
          <w:highlight w:val="none"/>
        </w:rPr>
      </w:pPr>
    </w:p>
    <w:p w14:paraId="62F17583">
      <w:pPr>
        <w:rPr>
          <w:rFonts w:hint="eastAsia" w:ascii="宋体" w:hAnsi="宋体" w:eastAsia="宋体" w:cs="宋体"/>
          <w:sz w:val="24"/>
          <w:szCs w:val="24"/>
          <w:highlight w:val="none"/>
        </w:rPr>
      </w:pPr>
      <w:r>
        <w:rPr>
          <w:rFonts w:hint="eastAsia" w:ascii="黑体" w:hAnsi="宋体" w:eastAsia="黑体"/>
          <w:color w:val="auto"/>
          <w:sz w:val="36"/>
          <w:szCs w:val="36"/>
          <w:highlight w:val="none"/>
        </w:rPr>
        <w:br w:type="page"/>
      </w:r>
    </w:p>
    <w:p w14:paraId="1E48EF78">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highlight w:val="none"/>
        </w:rPr>
      </w:pPr>
    </w:p>
    <w:p w14:paraId="73031642">
      <w:pPr>
        <w:pStyle w:val="4"/>
        <w:spacing w:before="120" w:beforeLines="50"/>
        <w:ind w:left="0" w:leftChars="0" w:firstLine="0" w:firstLineChars="0"/>
        <w:jc w:val="center"/>
        <w:outlineLvl w:val="1"/>
        <w:rPr>
          <w:rFonts w:hint="eastAsia" w:ascii="方正小标宋简体" w:eastAsia="方正小标宋简体"/>
          <w:sz w:val="28"/>
          <w:szCs w:val="28"/>
          <w:highlight w:val="none"/>
          <w:lang w:val="en-US" w:eastAsia="zh-CN"/>
        </w:rPr>
      </w:pPr>
      <w:r>
        <w:rPr>
          <w:rFonts w:hint="eastAsia" w:ascii="方正小标宋简体" w:eastAsia="方正小标宋简体"/>
          <w:sz w:val="28"/>
          <w:szCs w:val="28"/>
          <w:highlight w:val="none"/>
          <w:lang w:val="en-US" w:eastAsia="zh-CN"/>
        </w:rPr>
        <w:t>被授权代表的身份证复印件以及2025年1月至今任意时段在本单位注册的已缴纳的社会保障资金缴存单据或社保机构开具的社会保险参保缴费情况证明</w:t>
      </w:r>
    </w:p>
    <w:p w14:paraId="7151780D">
      <w:pPr>
        <w:rPr>
          <w:highlight w:val="none"/>
        </w:rPr>
      </w:pPr>
    </w:p>
    <w:p w14:paraId="31E6BDCC">
      <w:pPr>
        <w:pStyle w:val="16"/>
        <w:rPr>
          <w:highlight w:val="none"/>
        </w:rPr>
      </w:pPr>
    </w:p>
    <w:p w14:paraId="5DB6531A">
      <w:pPr>
        <w:pStyle w:val="16"/>
        <w:rPr>
          <w:highlight w:val="none"/>
        </w:rPr>
      </w:pPr>
    </w:p>
    <w:p w14:paraId="0A2A0150">
      <w:pPr>
        <w:pStyle w:val="16"/>
        <w:rPr>
          <w:highlight w:val="none"/>
        </w:rPr>
      </w:pPr>
    </w:p>
    <w:p w14:paraId="5D98A593">
      <w:pPr>
        <w:pStyle w:val="16"/>
        <w:rPr>
          <w:highlight w:val="none"/>
        </w:rPr>
      </w:pPr>
    </w:p>
    <w:p w14:paraId="42AFC83F">
      <w:pPr>
        <w:pStyle w:val="16"/>
        <w:rPr>
          <w:highlight w:val="none"/>
        </w:rPr>
      </w:pPr>
    </w:p>
    <w:p w14:paraId="4034FBBB">
      <w:pPr>
        <w:pStyle w:val="16"/>
        <w:rPr>
          <w:highlight w:val="none"/>
        </w:rPr>
      </w:pPr>
    </w:p>
    <w:p w14:paraId="396D4972">
      <w:pPr>
        <w:pStyle w:val="16"/>
        <w:rPr>
          <w:highlight w:val="none"/>
        </w:rPr>
      </w:pPr>
    </w:p>
    <w:p w14:paraId="4D386C22">
      <w:pPr>
        <w:pStyle w:val="16"/>
        <w:rPr>
          <w:highlight w:val="none"/>
        </w:rPr>
      </w:pPr>
    </w:p>
    <w:p w14:paraId="3F8AEA7D">
      <w:pPr>
        <w:pStyle w:val="16"/>
        <w:rPr>
          <w:highlight w:val="none"/>
        </w:rPr>
      </w:pPr>
    </w:p>
    <w:p w14:paraId="7814B492">
      <w:pPr>
        <w:pStyle w:val="16"/>
        <w:rPr>
          <w:highlight w:val="none"/>
        </w:rPr>
      </w:pPr>
    </w:p>
    <w:p w14:paraId="2D4DD010">
      <w:pPr>
        <w:pStyle w:val="16"/>
        <w:rPr>
          <w:highlight w:val="none"/>
        </w:rPr>
      </w:pPr>
    </w:p>
    <w:p w14:paraId="3D4E1513">
      <w:pPr>
        <w:pStyle w:val="16"/>
        <w:rPr>
          <w:highlight w:val="none"/>
        </w:rPr>
      </w:pPr>
    </w:p>
    <w:p w14:paraId="46149161">
      <w:pPr>
        <w:pStyle w:val="16"/>
        <w:rPr>
          <w:highlight w:val="none"/>
        </w:rPr>
      </w:pPr>
    </w:p>
    <w:p w14:paraId="11426C10">
      <w:pPr>
        <w:pStyle w:val="16"/>
        <w:rPr>
          <w:highlight w:val="none"/>
        </w:rPr>
      </w:pPr>
    </w:p>
    <w:p w14:paraId="230357A7">
      <w:pPr>
        <w:pStyle w:val="16"/>
        <w:rPr>
          <w:highlight w:val="none"/>
        </w:rPr>
      </w:pPr>
    </w:p>
    <w:p w14:paraId="580B327D">
      <w:pPr>
        <w:pStyle w:val="16"/>
        <w:rPr>
          <w:highlight w:val="none"/>
        </w:rPr>
      </w:pPr>
    </w:p>
    <w:p w14:paraId="743762D0">
      <w:pPr>
        <w:pStyle w:val="16"/>
        <w:rPr>
          <w:highlight w:val="none"/>
        </w:rPr>
      </w:pPr>
    </w:p>
    <w:p w14:paraId="40554541">
      <w:pPr>
        <w:pStyle w:val="16"/>
        <w:rPr>
          <w:highlight w:val="none"/>
        </w:rPr>
      </w:pPr>
    </w:p>
    <w:p w14:paraId="09ADE48A">
      <w:pPr>
        <w:pStyle w:val="16"/>
        <w:rPr>
          <w:highlight w:val="none"/>
        </w:rPr>
      </w:pPr>
    </w:p>
    <w:p w14:paraId="3FF30379">
      <w:pPr>
        <w:pStyle w:val="16"/>
        <w:rPr>
          <w:highlight w:val="none"/>
        </w:rPr>
      </w:pPr>
    </w:p>
    <w:p w14:paraId="27E68FA5">
      <w:pPr>
        <w:pStyle w:val="16"/>
        <w:rPr>
          <w:highlight w:val="none"/>
        </w:rPr>
      </w:pPr>
    </w:p>
    <w:p w14:paraId="0F1A720E">
      <w:pPr>
        <w:pStyle w:val="16"/>
        <w:rPr>
          <w:highlight w:val="none"/>
        </w:rPr>
      </w:pPr>
    </w:p>
    <w:p w14:paraId="28C4DB69">
      <w:pPr>
        <w:pStyle w:val="16"/>
        <w:rPr>
          <w:highlight w:val="none"/>
        </w:rPr>
      </w:pPr>
    </w:p>
    <w:p w14:paraId="12E4A85C">
      <w:pPr>
        <w:pStyle w:val="16"/>
        <w:rPr>
          <w:highlight w:val="none"/>
        </w:rPr>
      </w:pPr>
    </w:p>
    <w:p w14:paraId="2743BC0F">
      <w:pPr>
        <w:pStyle w:val="16"/>
        <w:rPr>
          <w:highlight w:val="none"/>
        </w:rPr>
      </w:pPr>
    </w:p>
    <w:p w14:paraId="695F3462">
      <w:pPr>
        <w:pStyle w:val="16"/>
        <w:rPr>
          <w:highlight w:val="none"/>
        </w:rPr>
      </w:pPr>
    </w:p>
    <w:p w14:paraId="2E9A1DEF">
      <w:pPr>
        <w:pStyle w:val="16"/>
        <w:rPr>
          <w:highlight w:val="none"/>
        </w:rPr>
      </w:pPr>
    </w:p>
    <w:p w14:paraId="15415552">
      <w:pPr>
        <w:pStyle w:val="16"/>
        <w:rPr>
          <w:highlight w:val="none"/>
        </w:rPr>
      </w:pPr>
    </w:p>
    <w:p w14:paraId="6F31F413">
      <w:pPr>
        <w:pStyle w:val="16"/>
        <w:rPr>
          <w:highlight w:val="none"/>
        </w:rPr>
      </w:pPr>
    </w:p>
    <w:p w14:paraId="1B138DD3">
      <w:pPr>
        <w:pStyle w:val="16"/>
        <w:rPr>
          <w:highlight w:val="none"/>
        </w:rPr>
      </w:pPr>
    </w:p>
    <w:p w14:paraId="7ECFF1FA">
      <w:pPr>
        <w:pStyle w:val="16"/>
        <w:rPr>
          <w:highlight w:val="none"/>
        </w:rPr>
      </w:pPr>
    </w:p>
    <w:p w14:paraId="34CB5A0C">
      <w:pPr>
        <w:pStyle w:val="16"/>
        <w:rPr>
          <w:highlight w:val="none"/>
        </w:rPr>
      </w:pPr>
    </w:p>
    <w:p w14:paraId="3681A851">
      <w:pPr>
        <w:pStyle w:val="16"/>
        <w:rPr>
          <w:highlight w:val="none"/>
        </w:rPr>
      </w:pPr>
    </w:p>
    <w:p w14:paraId="316CC75B">
      <w:pPr>
        <w:pStyle w:val="16"/>
        <w:rPr>
          <w:highlight w:val="none"/>
        </w:rPr>
      </w:pPr>
    </w:p>
    <w:p w14:paraId="78822D27">
      <w:pPr>
        <w:pStyle w:val="16"/>
        <w:rPr>
          <w:highlight w:val="none"/>
        </w:rPr>
      </w:pPr>
    </w:p>
    <w:p w14:paraId="0780359A">
      <w:pPr>
        <w:pStyle w:val="16"/>
        <w:rPr>
          <w:highlight w:val="none"/>
        </w:rPr>
      </w:pPr>
    </w:p>
    <w:p w14:paraId="565FA945">
      <w:pPr>
        <w:pStyle w:val="16"/>
        <w:rPr>
          <w:highlight w:val="none"/>
        </w:rPr>
      </w:pPr>
    </w:p>
    <w:p w14:paraId="789FE3CF">
      <w:pPr>
        <w:rPr>
          <w:rFonts w:hint="eastAsia" w:ascii="方正小标宋简体" w:hAnsi="Arial" w:eastAsia="方正小标宋简体" w:cs="Arial"/>
          <w:snapToGrid w:val="0"/>
          <w:color w:val="000000"/>
          <w:kern w:val="0"/>
          <w:sz w:val="28"/>
          <w:szCs w:val="28"/>
          <w:highlight w:val="none"/>
          <w:lang w:val="en-US" w:eastAsia="zh-CN" w:bidi="ar-SA"/>
        </w:rPr>
      </w:pPr>
    </w:p>
    <w:bookmarkEnd w:id="66"/>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8"/>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693ED"/>
    <w:multiLevelType w:val="singleLevel"/>
    <w:tmpl w:val="1C7693ED"/>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595CB4"/>
    <w:rsid w:val="01763ADE"/>
    <w:rsid w:val="0195764A"/>
    <w:rsid w:val="01E07299"/>
    <w:rsid w:val="01E55799"/>
    <w:rsid w:val="01ED6C4B"/>
    <w:rsid w:val="02005B8D"/>
    <w:rsid w:val="02AE1145"/>
    <w:rsid w:val="02B54A34"/>
    <w:rsid w:val="02F565AE"/>
    <w:rsid w:val="037203C5"/>
    <w:rsid w:val="039931C3"/>
    <w:rsid w:val="03FD4132"/>
    <w:rsid w:val="042532DE"/>
    <w:rsid w:val="048C54B6"/>
    <w:rsid w:val="056A6C9C"/>
    <w:rsid w:val="059960DD"/>
    <w:rsid w:val="05B66C8F"/>
    <w:rsid w:val="05BB5618"/>
    <w:rsid w:val="05FC723E"/>
    <w:rsid w:val="064C75F3"/>
    <w:rsid w:val="078D230B"/>
    <w:rsid w:val="079160F7"/>
    <w:rsid w:val="07FE5059"/>
    <w:rsid w:val="08316AA1"/>
    <w:rsid w:val="0966277A"/>
    <w:rsid w:val="09746C21"/>
    <w:rsid w:val="09774987"/>
    <w:rsid w:val="09A137B2"/>
    <w:rsid w:val="0A063180"/>
    <w:rsid w:val="0A510FA4"/>
    <w:rsid w:val="0B0C4E07"/>
    <w:rsid w:val="0BAF5689"/>
    <w:rsid w:val="0C6451D2"/>
    <w:rsid w:val="0CFD51A3"/>
    <w:rsid w:val="0D2210AE"/>
    <w:rsid w:val="0D460B9B"/>
    <w:rsid w:val="0D516958"/>
    <w:rsid w:val="0D9B2C64"/>
    <w:rsid w:val="0DB22432"/>
    <w:rsid w:val="0E4A08BC"/>
    <w:rsid w:val="0ED87C76"/>
    <w:rsid w:val="0F041E04"/>
    <w:rsid w:val="0F08032F"/>
    <w:rsid w:val="0F114F36"/>
    <w:rsid w:val="0F583FCC"/>
    <w:rsid w:val="0F7200CA"/>
    <w:rsid w:val="0F7301AD"/>
    <w:rsid w:val="0FAC4C5F"/>
    <w:rsid w:val="109F6DD2"/>
    <w:rsid w:val="11407D54"/>
    <w:rsid w:val="11C409A5"/>
    <w:rsid w:val="11C71F12"/>
    <w:rsid w:val="11DB182B"/>
    <w:rsid w:val="122E4051"/>
    <w:rsid w:val="12712DC5"/>
    <w:rsid w:val="12922832"/>
    <w:rsid w:val="12DE7274"/>
    <w:rsid w:val="12E52961"/>
    <w:rsid w:val="12F42BA4"/>
    <w:rsid w:val="13187154"/>
    <w:rsid w:val="13DA637D"/>
    <w:rsid w:val="13F516F2"/>
    <w:rsid w:val="13F51ACC"/>
    <w:rsid w:val="14411E19"/>
    <w:rsid w:val="144853D1"/>
    <w:rsid w:val="14891A12"/>
    <w:rsid w:val="14B468BF"/>
    <w:rsid w:val="155D0ED5"/>
    <w:rsid w:val="1576596C"/>
    <w:rsid w:val="15F555B1"/>
    <w:rsid w:val="16253B2B"/>
    <w:rsid w:val="164812CA"/>
    <w:rsid w:val="16575A2C"/>
    <w:rsid w:val="16897F26"/>
    <w:rsid w:val="168A13B6"/>
    <w:rsid w:val="169C3C7F"/>
    <w:rsid w:val="16DC407B"/>
    <w:rsid w:val="172E1B66"/>
    <w:rsid w:val="174A7237"/>
    <w:rsid w:val="17AA5F28"/>
    <w:rsid w:val="18420856"/>
    <w:rsid w:val="18701DE2"/>
    <w:rsid w:val="1881312C"/>
    <w:rsid w:val="18BA6619"/>
    <w:rsid w:val="18FB4499"/>
    <w:rsid w:val="193E2DCB"/>
    <w:rsid w:val="19B229E6"/>
    <w:rsid w:val="19D454DE"/>
    <w:rsid w:val="1A766595"/>
    <w:rsid w:val="1A9F5AEC"/>
    <w:rsid w:val="1AB10E35"/>
    <w:rsid w:val="1B574B35"/>
    <w:rsid w:val="1BEA74D5"/>
    <w:rsid w:val="1C60602A"/>
    <w:rsid w:val="1C7D3CBE"/>
    <w:rsid w:val="1CF55718"/>
    <w:rsid w:val="1D540E0F"/>
    <w:rsid w:val="1D7C1895"/>
    <w:rsid w:val="1D7F79EF"/>
    <w:rsid w:val="1D9A259A"/>
    <w:rsid w:val="1E165F1B"/>
    <w:rsid w:val="1E89232D"/>
    <w:rsid w:val="1EB36627"/>
    <w:rsid w:val="1EBF050A"/>
    <w:rsid w:val="1F021EDA"/>
    <w:rsid w:val="20397785"/>
    <w:rsid w:val="21025026"/>
    <w:rsid w:val="21075857"/>
    <w:rsid w:val="217016BC"/>
    <w:rsid w:val="224C47AB"/>
    <w:rsid w:val="22550BDA"/>
    <w:rsid w:val="23243032"/>
    <w:rsid w:val="23B00D6A"/>
    <w:rsid w:val="243E7697"/>
    <w:rsid w:val="24763D61"/>
    <w:rsid w:val="25164BFC"/>
    <w:rsid w:val="25453733"/>
    <w:rsid w:val="254A14E2"/>
    <w:rsid w:val="25826E67"/>
    <w:rsid w:val="25B85CB3"/>
    <w:rsid w:val="264A7253"/>
    <w:rsid w:val="27027B2E"/>
    <w:rsid w:val="274517C9"/>
    <w:rsid w:val="277E31B0"/>
    <w:rsid w:val="277F4CDB"/>
    <w:rsid w:val="27D75F18"/>
    <w:rsid w:val="285D489A"/>
    <w:rsid w:val="28CE644C"/>
    <w:rsid w:val="28D9041B"/>
    <w:rsid w:val="28EC2844"/>
    <w:rsid w:val="28F811E9"/>
    <w:rsid w:val="28FC115B"/>
    <w:rsid w:val="29170DC4"/>
    <w:rsid w:val="292F44DF"/>
    <w:rsid w:val="294E7E06"/>
    <w:rsid w:val="29712D49"/>
    <w:rsid w:val="299B6C4B"/>
    <w:rsid w:val="29DA269C"/>
    <w:rsid w:val="29E3027D"/>
    <w:rsid w:val="2AD05911"/>
    <w:rsid w:val="2B2142FB"/>
    <w:rsid w:val="2B560448"/>
    <w:rsid w:val="2B5C5980"/>
    <w:rsid w:val="2B7E174D"/>
    <w:rsid w:val="2BF8505C"/>
    <w:rsid w:val="2C091017"/>
    <w:rsid w:val="2C8132A3"/>
    <w:rsid w:val="2D2D6F87"/>
    <w:rsid w:val="2D39592C"/>
    <w:rsid w:val="2D9E7E85"/>
    <w:rsid w:val="2E4E3659"/>
    <w:rsid w:val="2E854D74"/>
    <w:rsid w:val="2E8C4181"/>
    <w:rsid w:val="2EA72D69"/>
    <w:rsid w:val="2EE72300"/>
    <w:rsid w:val="2F0C5D36"/>
    <w:rsid w:val="2FEC32B8"/>
    <w:rsid w:val="30004E27"/>
    <w:rsid w:val="30B05E3F"/>
    <w:rsid w:val="311913D0"/>
    <w:rsid w:val="317909ED"/>
    <w:rsid w:val="31BC4D7D"/>
    <w:rsid w:val="32917FB8"/>
    <w:rsid w:val="33122EA7"/>
    <w:rsid w:val="3315244E"/>
    <w:rsid w:val="33233306"/>
    <w:rsid w:val="33245604"/>
    <w:rsid w:val="332E5807"/>
    <w:rsid w:val="33B84A98"/>
    <w:rsid w:val="33D26ADA"/>
    <w:rsid w:val="34AF7A65"/>
    <w:rsid w:val="34EF25FC"/>
    <w:rsid w:val="351C27B0"/>
    <w:rsid w:val="35865602"/>
    <w:rsid w:val="369D13B4"/>
    <w:rsid w:val="36D80A21"/>
    <w:rsid w:val="372747C5"/>
    <w:rsid w:val="372C7136"/>
    <w:rsid w:val="37C34D14"/>
    <w:rsid w:val="382673F4"/>
    <w:rsid w:val="38CA5FD2"/>
    <w:rsid w:val="38EF5A38"/>
    <w:rsid w:val="399860D0"/>
    <w:rsid w:val="3A004EDF"/>
    <w:rsid w:val="3A0D5000"/>
    <w:rsid w:val="3A350365"/>
    <w:rsid w:val="3A59760D"/>
    <w:rsid w:val="3A801E9E"/>
    <w:rsid w:val="3A9C399E"/>
    <w:rsid w:val="3AAE58B3"/>
    <w:rsid w:val="3AD969A0"/>
    <w:rsid w:val="3B093FA7"/>
    <w:rsid w:val="3C1C6B44"/>
    <w:rsid w:val="3C3B10F1"/>
    <w:rsid w:val="3C53008C"/>
    <w:rsid w:val="3C6F3946"/>
    <w:rsid w:val="3CA134EE"/>
    <w:rsid w:val="3D122796"/>
    <w:rsid w:val="3D246119"/>
    <w:rsid w:val="3D2F0AF9"/>
    <w:rsid w:val="3D8F6522"/>
    <w:rsid w:val="3D9559C0"/>
    <w:rsid w:val="3DA2751D"/>
    <w:rsid w:val="3DB66B25"/>
    <w:rsid w:val="3E0C3B84"/>
    <w:rsid w:val="3E7515EC"/>
    <w:rsid w:val="3ED835C0"/>
    <w:rsid w:val="3F4F0FDF"/>
    <w:rsid w:val="3F8D4B70"/>
    <w:rsid w:val="3FE57D53"/>
    <w:rsid w:val="40170381"/>
    <w:rsid w:val="40314FA3"/>
    <w:rsid w:val="4037219F"/>
    <w:rsid w:val="40703903"/>
    <w:rsid w:val="41040AA3"/>
    <w:rsid w:val="414172BF"/>
    <w:rsid w:val="41486059"/>
    <w:rsid w:val="41550306"/>
    <w:rsid w:val="41A5138A"/>
    <w:rsid w:val="41AB27FF"/>
    <w:rsid w:val="42507548"/>
    <w:rsid w:val="42935686"/>
    <w:rsid w:val="429C3CA4"/>
    <w:rsid w:val="42C83582"/>
    <w:rsid w:val="43574906"/>
    <w:rsid w:val="43917E43"/>
    <w:rsid w:val="43D50C9D"/>
    <w:rsid w:val="43F65ECD"/>
    <w:rsid w:val="45316955"/>
    <w:rsid w:val="459B6D2C"/>
    <w:rsid w:val="45A01C4B"/>
    <w:rsid w:val="45D24B17"/>
    <w:rsid w:val="463B406B"/>
    <w:rsid w:val="47013507"/>
    <w:rsid w:val="47504DA7"/>
    <w:rsid w:val="486024AF"/>
    <w:rsid w:val="48A56114"/>
    <w:rsid w:val="48A95C04"/>
    <w:rsid w:val="48A96D19"/>
    <w:rsid w:val="48F84495"/>
    <w:rsid w:val="49064E04"/>
    <w:rsid w:val="495808B5"/>
    <w:rsid w:val="49F16FD3"/>
    <w:rsid w:val="4A1470AD"/>
    <w:rsid w:val="4A490D7C"/>
    <w:rsid w:val="4A57286A"/>
    <w:rsid w:val="4A5D727D"/>
    <w:rsid w:val="4AE92146"/>
    <w:rsid w:val="4D491763"/>
    <w:rsid w:val="4D894AF1"/>
    <w:rsid w:val="4DE13C01"/>
    <w:rsid w:val="4E2E4192"/>
    <w:rsid w:val="4E3221F7"/>
    <w:rsid w:val="4E582836"/>
    <w:rsid w:val="4E6323B1"/>
    <w:rsid w:val="4F585C8E"/>
    <w:rsid w:val="4FB45527"/>
    <w:rsid w:val="50045AFA"/>
    <w:rsid w:val="50243DC2"/>
    <w:rsid w:val="50334005"/>
    <w:rsid w:val="521B67F5"/>
    <w:rsid w:val="52304CF0"/>
    <w:rsid w:val="52D47D21"/>
    <w:rsid w:val="53005A6E"/>
    <w:rsid w:val="5325057D"/>
    <w:rsid w:val="5330603D"/>
    <w:rsid w:val="53933738"/>
    <w:rsid w:val="53962C9E"/>
    <w:rsid w:val="53D31D87"/>
    <w:rsid w:val="53D8114B"/>
    <w:rsid w:val="54C664CE"/>
    <w:rsid w:val="54E12281"/>
    <w:rsid w:val="55200FFC"/>
    <w:rsid w:val="553F1336"/>
    <w:rsid w:val="55AC288F"/>
    <w:rsid w:val="55B20855"/>
    <w:rsid w:val="56451298"/>
    <w:rsid w:val="565F1E29"/>
    <w:rsid w:val="566969D2"/>
    <w:rsid w:val="5689497F"/>
    <w:rsid w:val="56D227CA"/>
    <w:rsid w:val="56FA16BD"/>
    <w:rsid w:val="576A0C54"/>
    <w:rsid w:val="57F95B34"/>
    <w:rsid w:val="57FF75EE"/>
    <w:rsid w:val="58816255"/>
    <w:rsid w:val="5890055A"/>
    <w:rsid w:val="58AD704A"/>
    <w:rsid w:val="58EF1411"/>
    <w:rsid w:val="591006A9"/>
    <w:rsid w:val="599D70BF"/>
    <w:rsid w:val="5A1412C3"/>
    <w:rsid w:val="5A70032F"/>
    <w:rsid w:val="5A7B2341"/>
    <w:rsid w:val="5AA734EC"/>
    <w:rsid w:val="5BC52305"/>
    <w:rsid w:val="5C6B12CC"/>
    <w:rsid w:val="5C846618"/>
    <w:rsid w:val="5CCB4A8E"/>
    <w:rsid w:val="5CD66444"/>
    <w:rsid w:val="5D6B5CC8"/>
    <w:rsid w:val="5D8F2E94"/>
    <w:rsid w:val="5DA30BF8"/>
    <w:rsid w:val="5ED74E21"/>
    <w:rsid w:val="5F1A2F60"/>
    <w:rsid w:val="5F3A0F0C"/>
    <w:rsid w:val="5F71772E"/>
    <w:rsid w:val="5FC833BC"/>
    <w:rsid w:val="600E24AE"/>
    <w:rsid w:val="601F1CF2"/>
    <w:rsid w:val="606C09EB"/>
    <w:rsid w:val="608148D0"/>
    <w:rsid w:val="616109D2"/>
    <w:rsid w:val="61C3343B"/>
    <w:rsid w:val="61DE64C6"/>
    <w:rsid w:val="6223212B"/>
    <w:rsid w:val="626764BC"/>
    <w:rsid w:val="62E775FD"/>
    <w:rsid w:val="634B4390"/>
    <w:rsid w:val="637662F0"/>
    <w:rsid w:val="63894210"/>
    <w:rsid w:val="638D4142"/>
    <w:rsid w:val="63B96987"/>
    <w:rsid w:val="63D455FE"/>
    <w:rsid w:val="63F16F7A"/>
    <w:rsid w:val="641D7E76"/>
    <w:rsid w:val="64596B07"/>
    <w:rsid w:val="645B3DFE"/>
    <w:rsid w:val="646709F5"/>
    <w:rsid w:val="64C01EB3"/>
    <w:rsid w:val="6614022E"/>
    <w:rsid w:val="66246472"/>
    <w:rsid w:val="66BD2855"/>
    <w:rsid w:val="67020A40"/>
    <w:rsid w:val="6713087B"/>
    <w:rsid w:val="674A4511"/>
    <w:rsid w:val="697426DF"/>
    <w:rsid w:val="69F56535"/>
    <w:rsid w:val="6B58184E"/>
    <w:rsid w:val="6B985E9C"/>
    <w:rsid w:val="6BD85E8F"/>
    <w:rsid w:val="6C027255"/>
    <w:rsid w:val="6C733CAF"/>
    <w:rsid w:val="6CD94028"/>
    <w:rsid w:val="6CF748E0"/>
    <w:rsid w:val="6D286848"/>
    <w:rsid w:val="6D4450F4"/>
    <w:rsid w:val="6DE05374"/>
    <w:rsid w:val="6E2A65EF"/>
    <w:rsid w:val="6E3932E0"/>
    <w:rsid w:val="6ECC76A7"/>
    <w:rsid w:val="6EDC3D8E"/>
    <w:rsid w:val="6EFD5AB2"/>
    <w:rsid w:val="6F0F5F1F"/>
    <w:rsid w:val="6F141779"/>
    <w:rsid w:val="6F41270D"/>
    <w:rsid w:val="6FA04DBB"/>
    <w:rsid w:val="6FFB55E3"/>
    <w:rsid w:val="70185150"/>
    <w:rsid w:val="70405A15"/>
    <w:rsid w:val="70C32EE9"/>
    <w:rsid w:val="70F66138"/>
    <w:rsid w:val="715776FB"/>
    <w:rsid w:val="716D33C3"/>
    <w:rsid w:val="720B51F7"/>
    <w:rsid w:val="722513CF"/>
    <w:rsid w:val="724265FE"/>
    <w:rsid w:val="727A5D97"/>
    <w:rsid w:val="727D3F4E"/>
    <w:rsid w:val="72CD203E"/>
    <w:rsid w:val="72D603E0"/>
    <w:rsid w:val="73217FC1"/>
    <w:rsid w:val="73243B6B"/>
    <w:rsid w:val="733F48EB"/>
    <w:rsid w:val="744D4DE6"/>
    <w:rsid w:val="74A215D5"/>
    <w:rsid w:val="74AE7F7A"/>
    <w:rsid w:val="74BB047B"/>
    <w:rsid w:val="74F61AF8"/>
    <w:rsid w:val="7507768A"/>
    <w:rsid w:val="75107AB0"/>
    <w:rsid w:val="75932CCC"/>
    <w:rsid w:val="75C86E1A"/>
    <w:rsid w:val="760427D7"/>
    <w:rsid w:val="765406AD"/>
    <w:rsid w:val="76A64839"/>
    <w:rsid w:val="76C06440"/>
    <w:rsid w:val="76C34768"/>
    <w:rsid w:val="76D734D6"/>
    <w:rsid w:val="774150D6"/>
    <w:rsid w:val="78065E75"/>
    <w:rsid w:val="794C17CC"/>
    <w:rsid w:val="795B69AA"/>
    <w:rsid w:val="798934E8"/>
    <w:rsid w:val="798A0AC8"/>
    <w:rsid w:val="79921C19"/>
    <w:rsid w:val="79DA711C"/>
    <w:rsid w:val="7ABF6D39"/>
    <w:rsid w:val="7AEA7832"/>
    <w:rsid w:val="7AEC5358"/>
    <w:rsid w:val="7AF37E57"/>
    <w:rsid w:val="7B560A24"/>
    <w:rsid w:val="7B5C2BD2"/>
    <w:rsid w:val="7B611E27"/>
    <w:rsid w:val="7B71191C"/>
    <w:rsid w:val="7B755AFC"/>
    <w:rsid w:val="7B963516"/>
    <w:rsid w:val="7BCD6162"/>
    <w:rsid w:val="7BEE3352"/>
    <w:rsid w:val="7C0641F8"/>
    <w:rsid w:val="7C8B5ABC"/>
    <w:rsid w:val="7DB4373E"/>
    <w:rsid w:val="7DC12ACC"/>
    <w:rsid w:val="7DC84464"/>
    <w:rsid w:val="7E2B2739"/>
    <w:rsid w:val="7E6C1CCD"/>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customStyle="1" w:styleId="2">
    <w:name w:val="文档正文"/>
    <w:basedOn w:val="1"/>
    <w:qFormat/>
    <w:uiPriority w:val="99"/>
    <w:pPr>
      <w:adjustRightInd w:val="0"/>
      <w:spacing w:line="400" w:lineRule="atLeast"/>
      <w:ind w:firstLine="420" w:firstLineChars="200"/>
      <w:jc w:val="left"/>
      <w:textAlignment w:val="baseline"/>
    </w:pPr>
    <w:rPr>
      <w:rFonts w:ascii="宋体" w:hAnsi="宋体"/>
      <w:kern w:val="0"/>
      <w:sz w:val="24"/>
      <w:szCs w:val="20"/>
    </w:rPr>
  </w:style>
  <w:style w:type="paragraph" w:styleId="4">
    <w:name w:val="Normal Indent"/>
    <w:basedOn w:val="1"/>
    <w:next w:val="1"/>
    <w:qFormat/>
    <w:uiPriority w:val="0"/>
    <w:pPr>
      <w:ind w:firstLine="420"/>
    </w:pPr>
    <w:rPr>
      <w:szCs w:val="20"/>
    </w:rPr>
  </w:style>
  <w:style w:type="paragraph" w:styleId="7">
    <w:name w:val="annotation text"/>
    <w:basedOn w:val="1"/>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next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8"/>
    <w:qFormat/>
    <w:uiPriority w:val="0"/>
    <w:pPr>
      <w:ind w:firstLine="420" w:firstLineChars="100"/>
    </w:pPr>
    <w:rPr>
      <w:szCs w:val="24"/>
    </w:rPr>
  </w:style>
  <w:style w:type="paragraph" w:styleId="17">
    <w:name w:val="Body Text First Indent 2"/>
    <w:basedOn w:val="9"/>
    <w:next w:val="4"/>
    <w:qFormat/>
    <w:uiPriority w:val="0"/>
    <w:pPr>
      <w:ind w:firstLine="420" w:firstLine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18"/>
      <w:szCs w:val="18"/>
      <w:lang w:val="en-US" w:eastAsia="en-US" w:bidi="ar-SA"/>
    </w:rPr>
  </w:style>
  <w:style w:type="paragraph" w:customStyle="1" w:styleId="23">
    <w:name w:val="Char1"/>
    <w:basedOn w:val="1"/>
    <w:qFormat/>
    <w:uiPriority w:val="0"/>
    <w:rPr>
      <w:szCs w:val="21"/>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styleId="25">
    <w:name w:val="List Paragraph"/>
    <w:basedOn w:val="1"/>
    <w:qFormat/>
    <w:uiPriority w:val="0"/>
    <w:pPr>
      <w:ind w:firstLine="420" w:firstLineChars="200"/>
    </w:pPr>
    <w:rPr>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4259</Words>
  <Characters>4375</Characters>
  <TotalTime>1</TotalTime>
  <ScaleCrop>false</ScaleCrop>
  <LinksUpToDate>false</LinksUpToDate>
  <CharactersWithSpaces>4915</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杜航</cp:lastModifiedBy>
  <dcterms:modified xsi:type="dcterms:W3CDTF">2025-06-20T08:50:32Z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2052-12.1.0.21541</vt:lpwstr>
  </property>
  <property fmtid="{D5CDD505-2E9C-101B-9397-08002B2CF9AE}" pid="5" name="ICV">
    <vt:lpwstr>4089A76A2F6A4C64BB4830878C2A60B4_13</vt:lpwstr>
  </property>
  <property fmtid="{D5CDD505-2E9C-101B-9397-08002B2CF9AE}" pid="6" name="KSOTemplateDocerSaveRecord">
    <vt:lpwstr>eyJoZGlkIjoiZmQ5MmU2MDRiNzg1MjE2NzY5YWVjNDljMGUwNmZmZmQiLCJ1c2VySWQiOiIzMDgwODY2MDYifQ==</vt:lpwstr>
  </property>
</Properties>
</file>