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2E61">
      <w:pPr>
        <w:pStyle w:val="8"/>
        <w:spacing w:line="447" w:lineRule="auto"/>
        <w:rPr>
          <w:rFonts w:hint="eastAsia" w:ascii="宋体" w:hAnsi="宋体" w:eastAsia="宋体" w:cs="宋体"/>
          <w:highlight w:val="none"/>
        </w:rPr>
      </w:pPr>
    </w:p>
    <w:p w14:paraId="2D1A988E">
      <w:pPr>
        <w:pStyle w:val="4"/>
        <w:spacing w:before="120" w:beforeLines="50"/>
        <w:ind w:firstLine="0"/>
        <w:jc w:val="center"/>
        <w:outlineLvl w:val="9"/>
        <w:rPr>
          <w:rFonts w:hint="eastAsia" w:ascii="宋体" w:hAnsi="宋体" w:eastAsia="宋体" w:cs="宋体"/>
          <w:sz w:val="72"/>
          <w:szCs w:val="72"/>
          <w:lang w:val="en-US" w:eastAsia="zh-CN"/>
        </w:rPr>
      </w:pPr>
    </w:p>
    <w:p w14:paraId="2D7D8EF4">
      <w:pPr>
        <w:pStyle w:val="4"/>
        <w:spacing w:before="120" w:beforeLines="50"/>
        <w:ind w:firstLine="0"/>
        <w:jc w:val="center"/>
        <w:outlineLvl w:val="9"/>
        <w:rPr>
          <w:rFonts w:hint="eastAsia" w:ascii="宋体" w:hAnsi="宋体" w:eastAsia="宋体" w:cs="宋体"/>
          <w:sz w:val="72"/>
          <w:szCs w:val="72"/>
          <w:lang w:val="en-US" w:eastAsia="zh-CN"/>
        </w:rPr>
      </w:pPr>
    </w:p>
    <w:p w14:paraId="1BFE48DD">
      <w:pPr>
        <w:rPr>
          <w:rFonts w:hint="eastAsia"/>
          <w:lang w:val="en-US" w:eastAsia="zh-CN"/>
        </w:rPr>
      </w:pPr>
      <w:bookmarkStart w:id="66" w:name="_GoBack"/>
      <w:bookmarkEnd w:id="66"/>
    </w:p>
    <w:p w14:paraId="04CA6517">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6F445C6">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D4B70A9">
      <w:pPr>
        <w:pStyle w:val="8"/>
        <w:spacing w:line="447" w:lineRule="auto"/>
        <w:rPr>
          <w:rFonts w:hint="eastAsia" w:ascii="宋体" w:hAnsi="宋体" w:eastAsia="宋体" w:cs="宋体"/>
          <w:highlight w:val="none"/>
        </w:rPr>
      </w:pPr>
    </w:p>
    <w:p w14:paraId="02C46C98">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D201123">
      <w:pPr>
        <w:rPr>
          <w:rFonts w:hint="eastAsia" w:ascii="宋体" w:hAnsi="宋体" w:eastAsia="宋体" w:cs="宋体"/>
          <w:color w:val="auto"/>
          <w:sz w:val="72"/>
          <w:szCs w:val="72"/>
          <w:highlight w:val="none"/>
          <w:lang w:val="en-US" w:eastAsia="zh-CN"/>
        </w:rPr>
      </w:pPr>
    </w:p>
    <w:p w14:paraId="005DB3B9">
      <w:pPr>
        <w:pStyle w:val="16"/>
        <w:rPr>
          <w:rFonts w:hint="eastAsia"/>
          <w:lang w:val="en-US" w:eastAsia="zh-CN"/>
        </w:rPr>
      </w:pPr>
    </w:p>
    <w:p w14:paraId="0E26800E">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D11D60E">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商务技术文件</w:t>
      </w:r>
    </w:p>
    <w:p w14:paraId="462C9B58">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25801AF0">
      <w:pPr>
        <w:rPr>
          <w:rFonts w:hint="eastAsia" w:ascii="宋体" w:hAnsi="宋体" w:eastAsia="宋体" w:cs="宋体"/>
          <w:color w:val="auto"/>
          <w:highlight w:val="none"/>
        </w:rPr>
      </w:pPr>
    </w:p>
    <w:p w14:paraId="7782A714">
      <w:pPr>
        <w:pStyle w:val="4"/>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13CAB865">
      <w:pPr>
        <w:pStyle w:val="4"/>
        <w:spacing w:before="120" w:beforeLines="50" w:line="360" w:lineRule="auto"/>
        <w:ind w:firstLineChars="200"/>
        <w:outlineLvl w:val="9"/>
        <w:rPr>
          <w:rFonts w:hint="eastAsia" w:ascii="宋体" w:hAnsi="宋体" w:eastAsia="宋体" w:cs="宋体"/>
          <w:color w:val="auto"/>
          <w:szCs w:val="21"/>
          <w:highlight w:val="none"/>
        </w:rPr>
      </w:pPr>
    </w:p>
    <w:p w14:paraId="50FACB7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05814D77">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38CDBA6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509E7674">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21F7C2DC">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47F53E2A">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六、技术文件 …………………………………………………………………………</w:t>
      </w:r>
    </w:p>
    <w:p w14:paraId="46401024">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七、供应商认为有必要补充说明的事项 ……………………………………………</w:t>
      </w:r>
    </w:p>
    <w:p w14:paraId="5145DA4D">
      <w:pPr>
        <w:pStyle w:val="16"/>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p>
    <w:p w14:paraId="6275250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4C4C848A">
      <w:pPr>
        <w:numPr>
          <w:ilvl w:val="0"/>
          <w:numId w:val="1"/>
        </w:numPr>
        <w:spacing w:before="0" w:after="360" w:line="360" w:lineRule="auto"/>
        <w:ind w:firstLine="2891" w:firstLineChars="9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117939E3">
      <w:pPr>
        <w:numPr>
          <w:ilvl w:val="0"/>
          <w:numId w:val="0"/>
        </w:numPr>
        <w:spacing w:before="0" w:after="360" w:line="360" w:lineRule="auto"/>
        <w:ind w:firstLine="3840" w:firstLineChars="1600"/>
        <w:jc w:val="both"/>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0934D25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FB8752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CD96AE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0B97AE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21D32C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3F8898A">
      <w:pPr>
        <w:pStyle w:val="16"/>
        <w:rPr>
          <w:rFonts w:hint="eastAsia" w:ascii="宋体" w:hAnsi="宋体" w:eastAsia="宋体" w:cs="宋体"/>
          <w:lang w:val="en-US" w:eastAsia="zh-CN"/>
        </w:rPr>
      </w:pPr>
    </w:p>
    <w:p w14:paraId="0B0A5819">
      <w:pPr>
        <w:pStyle w:val="16"/>
        <w:rPr>
          <w:rFonts w:hint="eastAsia" w:ascii="宋体" w:hAnsi="宋体" w:eastAsia="宋体" w:cs="宋体"/>
          <w:lang w:val="en-US" w:eastAsia="zh-CN"/>
        </w:rPr>
      </w:pPr>
    </w:p>
    <w:p w14:paraId="65E6CF50">
      <w:pPr>
        <w:pStyle w:val="16"/>
        <w:rPr>
          <w:rFonts w:hint="eastAsia" w:ascii="宋体" w:hAnsi="宋体" w:eastAsia="宋体" w:cs="宋体"/>
          <w:lang w:val="en-US" w:eastAsia="zh-CN"/>
        </w:rPr>
      </w:pPr>
    </w:p>
    <w:p w14:paraId="432DEA7C">
      <w:pPr>
        <w:pStyle w:val="16"/>
        <w:rPr>
          <w:rFonts w:hint="eastAsia" w:ascii="宋体" w:hAnsi="宋体" w:eastAsia="宋体" w:cs="宋体"/>
          <w:lang w:val="en-US" w:eastAsia="zh-CN"/>
        </w:rPr>
      </w:pPr>
    </w:p>
    <w:p w14:paraId="360CEF30">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lang w:eastAsia="zh-CN"/>
        </w:rPr>
      </w:pPr>
    </w:p>
    <w:p w14:paraId="5ECAB721">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00FD39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BAB83A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136E77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63B9C9FE">
      <w:pPr>
        <w:pStyle w:val="4"/>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8"/>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20B77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763B7C1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3D6DC9D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54BCEAD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63CB4AB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2F5139F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C50C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8B453D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67437A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F50A87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A379D0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FEBE955">
            <w:pPr>
              <w:adjustRightInd w:val="0"/>
              <w:snapToGrid w:val="0"/>
              <w:spacing w:line="360" w:lineRule="auto"/>
              <w:ind w:right="24"/>
              <w:rPr>
                <w:rFonts w:hint="eastAsia" w:ascii="宋体" w:hAnsi="宋体" w:eastAsia="宋体" w:cs="宋体"/>
                <w:bCs/>
                <w:color w:val="auto"/>
                <w:sz w:val="24"/>
                <w:highlight w:val="none"/>
              </w:rPr>
            </w:pPr>
          </w:p>
        </w:tc>
      </w:tr>
      <w:tr w14:paraId="1FD4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37D4BD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E5349B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6FA56C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4D28E8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6987240">
            <w:pPr>
              <w:adjustRightInd w:val="0"/>
              <w:snapToGrid w:val="0"/>
              <w:spacing w:line="360" w:lineRule="auto"/>
              <w:ind w:right="24"/>
              <w:rPr>
                <w:rFonts w:hint="eastAsia" w:ascii="宋体" w:hAnsi="宋体" w:eastAsia="宋体" w:cs="宋体"/>
                <w:bCs/>
                <w:color w:val="auto"/>
                <w:sz w:val="24"/>
                <w:highlight w:val="none"/>
              </w:rPr>
            </w:pPr>
          </w:p>
        </w:tc>
      </w:tr>
      <w:tr w14:paraId="291C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031ED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919CAF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B9C311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01ED86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70FA3BB">
            <w:pPr>
              <w:adjustRightInd w:val="0"/>
              <w:snapToGrid w:val="0"/>
              <w:spacing w:line="360" w:lineRule="auto"/>
              <w:ind w:right="24"/>
              <w:rPr>
                <w:rFonts w:hint="eastAsia" w:ascii="宋体" w:hAnsi="宋体" w:eastAsia="宋体" w:cs="宋体"/>
                <w:bCs/>
                <w:color w:val="auto"/>
                <w:sz w:val="24"/>
                <w:highlight w:val="none"/>
              </w:rPr>
            </w:pPr>
          </w:p>
        </w:tc>
      </w:tr>
      <w:tr w14:paraId="56611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3C7419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2659A4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081C65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D55B4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FDB86E">
            <w:pPr>
              <w:adjustRightInd w:val="0"/>
              <w:snapToGrid w:val="0"/>
              <w:spacing w:line="360" w:lineRule="auto"/>
              <w:ind w:right="24"/>
              <w:rPr>
                <w:rFonts w:hint="eastAsia" w:ascii="宋体" w:hAnsi="宋体" w:eastAsia="宋体" w:cs="宋体"/>
                <w:bCs/>
                <w:color w:val="auto"/>
                <w:sz w:val="24"/>
                <w:highlight w:val="none"/>
              </w:rPr>
            </w:pPr>
          </w:p>
        </w:tc>
      </w:tr>
      <w:tr w14:paraId="457D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C41D4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2C7F70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5E7813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B28580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E49F2D">
            <w:pPr>
              <w:adjustRightInd w:val="0"/>
              <w:snapToGrid w:val="0"/>
              <w:spacing w:line="360" w:lineRule="auto"/>
              <w:ind w:right="24"/>
              <w:rPr>
                <w:rFonts w:hint="eastAsia" w:ascii="宋体" w:hAnsi="宋体" w:eastAsia="宋体" w:cs="宋体"/>
                <w:bCs/>
                <w:color w:val="auto"/>
                <w:sz w:val="24"/>
                <w:highlight w:val="none"/>
              </w:rPr>
            </w:pPr>
          </w:p>
        </w:tc>
      </w:tr>
      <w:tr w14:paraId="3CDC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315C67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50DBB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A30A93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6BA7A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0CCA643">
            <w:pPr>
              <w:adjustRightInd w:val="0"/>
              <w:snapToGrid w:val="0"/>
              <w:spacing w:line="360" w:lineRule="auto"/>
              <w:ind w:right="24"/>
              <w:rPr>
                <w:rFonts w:hint="eastAsia" w:ascii="宋体" w:hAnsi="宋体" w:eastAsia="宋体" w:cs="宋体"/>
                <w:bCs/>
                <w:color w:val="auto"/>
                <w:sz w:val="24"/>
                <w:highlight w:val="none"/>
              </w:rPr>
            </w:pPr>
          </w:p>
        </w:tc>
      </w:tr>
      <w:tr w14:paraId="3F91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FC2922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1D55EC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9F164D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846E02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D334F7C">
            <w:pPr>
              <w:adjustRightInd w:val="0"/>
              <w:snapToGrid w:val="0"/>
              <w:spacing w:line="360" w:lineRule="auto"/>
              <w:ind w:right="24"/>
              <w:rPr>
                <w:rFonts w:hint="eastAsia" w:ascii="宋体" w:hAnsi="宋体" w:eastAsia="宋体" w:cs="宋体"/>
                <w:bCs/>
                <w:color w:val="auto"/>
                <w:sz w:val="24"/>
                <w:highlight w:val="none"/>
              </w:rPr>
            </w:pPr>
          </w:p>
        </w:tc>
      </w:tr>
      <w:tr w14:paraId="10923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EDCD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E18D5D5">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7A648B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C64299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EA070A6">
            <w:pPr>
              <w:adjustRightInd w:val="0"/>
              <w:snapToGrid w:val="0"/>
              <w:spacing w:line="360" w:lineRule="auto"/>
              <w:ind w:right="24"/>
              <w:rPr>
                <w:rFonts w:hint="eastAsia" w:ascii="宋体" w:hAnsi="宋体" w:eastAsia="宋体" w:cs="宋体"/>
                <w:bCs/>
                <w:color w:val="auto"/>
                <w:sz w:val="24"/>
                <w:highlight w:val="none"/>
              </w:rPr>
            </w:pPr>
          </w:p>
        </w:tc>
      </w:tr>
      <w:tr w14:paraId="61444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098923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AEEFF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D32F89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DB01B3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4338647">
            <w:pPr>
              <w:adjustRightInd w:val="0"/>
              <w:snapToGrid w:val="0"/>
              <w:spacing w:line="360" w:lineRule="auto"/>
              <w:ind w:right="24"/>
              <w:rPr>
                <w:rFonts w:hint="eastAsia" w:ascii="宋体" w:hAnsi="宋体" w:eastAsia="宋体" w:cs="宋体"/>
                <w:bCs/>
                <w:color w:val="auto"/>
                <w:sz w:val="24"/>
                <w:highlight w:val="none"/>
              </w:rPr>
            </w:pPr>
          </w:p>
        </w:tc>
      </w:tr>
      <w:tr w14:paraId="30219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8A3E4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10BB7B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13858E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F604DF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669AE51">
            <w:pPr>
              <w:adjustRightInd w:val="0"/>
              <w:snapToGrid w:val="0"/>
              <w:spacing w:line="360" w:lineRule="auto"/>
              <w:ind w:right="24"/>
              <w:rPr>
                <w:rFonts w:hint="eastAsia" w:ascii="宋体" w:hAnsi="宋体" w:eastAsia="宋体" w:cs="宋体"/>
                <w:bCs/>
                <w:color w:val="auto"/>
                <w:sz w:val="24"/>
                <w:highlight w:val="none"/>
              </w:rPr>
            </w:pPr>
          </w:p>
        </w:tc>
      </w:tr>
      <w:tr w14:paraId="18815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C1885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7AAB1D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B22A78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D7A178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57DF519">
            <w:pPr>
              <w:adjustRightInd w:val="0"/>
              <w:snapToGrid w:val="0"/>
              <w:spacing w:line="360" w:lineRule="auto"/>
              <w:ind w:right="24"/>
              <w:rPr>
                <w:rFonts w:hint="eastAsia" w:ascii="宋体" w:hAnsi="宋体" w:eastAsia="宋体" w:cs="宋体"/>
                <w:bCs/>
                <w:color w:val="auto"/>
                <w:sz w:val="24"/>
                <w:highlight w:val="none"/>
              </w:rPr>
            </w:pPr>
          </w:p>
        </w:tc>
      </w:tr>
      <w:tr w14:paraId="3F8E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F36E02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3BB448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45F0E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E9B03B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BF47792">
            <w:pPr>
              <w:adjustRightInd w:val="0"/>
              <w:snapToGrid w:val="0"/>
              <w:spacing w:line="360" w:lineRule="auto"/>
              <w:ind w:right="24"/>
              <w:rPr>
                <w:rFonts w:hint="eastAsia" w:ascii="宋体" w:hAnsi="宋体" w:eastAsia="宋体" w:cs="宋体"/>
                <w:bCs/>
                <w:color w:val="auto"/>
                <w:sz w:val="24"/>
                <w:highlight w:val="none"/>
              </w:rPr>
            </w:pPr>
          </w:p>
        </w:tc>
      </w:tr>
      <w:tr w14:paraId="1B36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17352F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8B821B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037030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12BC9E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0839CE5">
            <w:pPr>
              <w:adjustRightInd w:val="0"/>
              <w:snapToGrid w:val="0"/>
              <w:spacing w:line="360" w:lineRule="auto"/>
              <w:ind w:right="24"/>
              <w:rPr>
                <w:rFonts w:hint="eastAsia" w:ascii="宋体" w:hAnsi="宋体" w:eastAsia="宋体" w:cs="宋体"/>
                <w:bCs/>
                <w:color w:val="auto"/>
                <w:sz w:val="24"/>
                <w:highlight w:val="none"/>
              </w:rPr>
            </w:pPr>
          </w:p>
        </w:tc>
      </w:tr>
      <w:tr w14:paraId="6BFD1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B37C1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DE55D5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408FAD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D023D8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8EB4400">
            <w:pPr>
              <w:adjustRightInd w:val="0"/>
              <w:snapToGrid w:val="0"/>
              <w:spacing w:line="360" w:lineRule="auto"/>
              <w:ind w:right="24"/>
              <w:rPr>
                <w:rFonts w:hint="eastAsia" w:ascii="宋体" w:hAnsi="宋体" w:eastAsia="宋体" w:cs="宋体"/>
                <w:bCs/>
                <w:color w:val="auto"/>
                <w:sz w:val="24"/>
                <w:highlight w:val="none"/>
              </w:rPr>
            </w:pPr>
          </w:p>
        </w:tc>
      </w:tr>
      <w:tr w14:paraId="49878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B2D14D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57CE9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F660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1F143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0057D59">
            <w:pPr>
              <w:adjustRightInd w:val="0"/>
              <w:snapToGrid w:val="0"/>
              <w:spacing w:line="360" w:lineRule="auto"/>
              <w:ind w:right="24"/>
              <w:rPr>
                <w:rFonts w:hint="eastAsia" w:ascii="宋体" w:hAnsi="宋体" w:eastAsia="宋体" w:cs="宋体"/>
                <w:bCs/>
                <w:color w:val="auto"/>
                <w:sz w:val="24"/>
                <w:highlight w:val="none"/>
              </w:rPr>
            </w:pPr>
          </w:p>
        </w:tc>
      </w:tr>
    </w:tbl>
    <w:p w14:paraId="19BC1B24">
      <w:pPr>
        <w:spacing w:line="400" w:lineRule="exact"/>
        <w:ind w:left="-141" w:leftChars="-67" w:firstLine="260" w:firstLineChars="124"/>
        <w:rPr>
          <w:rFonts w:hint="eastAsia" w:ascii="宋体" w:hAnsi="宋体" w:eastAsia="宋体" w:cs="宋体"/>
          <w:color w:val="auto"/>
          <w:szCs w:val="21"/>
          <w:highlight w:val="none"/>
        </w:rPr>
      </w:pPr>
    </w:p>
    <w:p w14:paraId="054165B2">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207D6B8E">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29C77D2D">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供应商必须据实填写，不得虚假响应，否则将取消其协商或成交资格，并按有关规定进行处罚。</w:t>
      </w:r>
    </w:p>
    <w:p w14:paraId="42F58F04">
      <w:pPr>
        <w:adjustRightInd w:val="0"/>
        <w:spacing w:line="400" w:lineRule="exact"/>
        <w:ind w:firstLine="367" w:firstLineChars="175"/>
        <w:jc w:val="left"/>
        <w:rPr>
          <w:rFonts w:hint="eastAsia" w:ascii="宋体" w:hAnsi="宋体" w:eastAsia="宋体" w:cs="宋体"/>
          <w:bCs/>
          <w:color w:val="auto"/>
          <w:szCs w:val="21"/>
          <w:highlight w:val="none"/>
        </w:rPr>
      </w:pPr>
    </w:p>
    <w:p w14:paraId="13104509">
      <w:pPr>
        <w:adjustRightInd w:val="0"/>
        <w:spacing w:line="400" w:lineRule="exact"/>
        <w:ind w:firstLine="367" w:firstLineChars="175"/>
        <w:jc w:val="left"/>
        <w:rPr>
          <w:rFonts w:hint="eastAsia" w:ascii="宋体" w:hAnsi="宋体" w:eastAsia="宋体" w:cs="宋体"/>
          <w:bCs/>
          <w:color w:val="auto"/>
          <w:szCs w:val="21"/>
          <w:highlight w:val="none"/>
        </w:rPr>
      </w:pPr>
    </w:p>
    <w:p w14:paraId="6963FC28">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8E8DC15">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5CDCB6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36D829A7">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57979406">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8"/>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0BA3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3CA221A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5EB3083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9EED56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779C8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69961FA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3EDD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FD6D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9D38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5FB909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34700A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AB54AB9">
            <w:pPr>
              <w:adjustRightInd w:val="0"/>
              <w:snapToGrid w:val="0"/>
              <w:spacing w:line="360" w:lineRule="auto"/>
              <w:ind w:right="24"/>
              <w:rPr>
                <w:rFonts w:hint="eastAsia" w:ascii="宋体" w:hAnsi="宋体" w:eastAsia="宋体" w:cs="宋体"/>
                <w:bCs/>
                <w:color w:val="auto"/>
                <w:sz w:val="24"/>
                <w:highlight w:val="none"/>
              </w:rPr>
            </w:pPr>
          </w:p>
        </w:tc>
      </w:tr>
      <w:tr w14:paraId="3F984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09A22F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A2495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E2690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310C6A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74006B5">
            <w:pPr>
              <w:adjustRightInd w:val="0"/>
              <w:snapToGrid w:val="0"/>
              <w:spacing w:line="360" w:lineRule="auto"/>
              <w:ind w:right="24"/>
              <w:rPr>
                <w:rFonts w:hint="eastAsia" w:ascii="宋体" w:hAnsi="宋体" w:eastAsia="宋体" w:cs="宋体"/>
                <w:bCs/>
                <w:color w:val="auto"/>
                <w:sz w:val="24"/>
                <w:highlight w:val="none"/>
              </w:rPr>
            </w:pPr>
          </w:p>
        </w:tc>
      </w:tr>
      <w:tr w14:paraId="0D6DE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17D59E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25ECA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028FD1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8C882E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6B39B2B">
            <w:pPr>
              <w:adjustRightInd w:val="0"/>
              <w:snapToGrid w:val="0"/>
              <w:spacing w:line="360" w:lineRule="auto"/>
              <w:ind w:right="24"/>
              <w:rPr>
                <w:rFonts w:hint="eastAsia" w:ascii="宋体" w:hAnsi="宋体" w:eastAsia="宋体" w:cs="宋体"/>
                <w:bCs/>
                <w:color w:val="auto"/>
                <w:sz w:val="24"/>
                <w:highlight w:val="none"/>
              </w:rPr>
            </w:pPr>
          </w:p>
        </w:tc>
      </w:tr>
      <w:tr w14:paraId="4BDE0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D9A10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A1225B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A6DB8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A8DE21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6450F8F">
            <w:pPr>
              <w:adjustRightInd w:val="0"/>
              <w:snapToGrid w:val="0"/>
              <w:spacing w:line="360" w:lineRule="auto"/>
              <w:ind w:right="24"/>
              <w:rPr>
                <w:rFonts w:hint="eastAsia" w:ascii="宋体" w:hAnsi="宋体" w:eastAsia="宋体" w:cs="宋体"/>
                <w:bCs/>
                <w:color w:val="auto"/>
                <w:sz w:val="24"/>
                <w:highlight w:val="none"/>
              </w:rPr>
            </w:pPr>
          </w:p>
        </w:tc>
      </w:tr>
      <w:tr w14:paraId="337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26539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AD73E5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F9EDB6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DDA168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747351F">
            <w:pPr>
              <w:adjustRightInd w:val="0"/>
              <w:snapToGrid w:val="0"/>
              <w:spacing w:line="360" w:lineRule="auto"/>
              <w:ind w:right="24"/>
              <w:rPr>
                <w:rFonts w:hint="eastAsia" w:ascii="宋体" w:hAnsi="宋体" w:eastAsia="宋体" w:cs="宋体"/>
                <w:bCs/>
                <w:color w:val="auto"/>
                <w:sz w:val="24"/>
                <w:highlight w:val="none"/>
              </w:rPr>
            </w:pPr>
          </w:p>
        </w:tc>
      </w:tr>
      <w:tr w14:paraId="5B0E3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A7B4F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9B129E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03121B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8DEB2E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98C5067">
            <w:pPr>
              <w:adjustRightInd w:val="0"/>
              <w:snapToGrid w:val="0"/>
              <w:spacing w:line="360" w:lineRule="auto"/>
              <w:ind w:right="24"/>
              <w:rPr>
                <w:rFonts w:hint="eastAsia" w:ascii="宋体" w:hAnsi="宋体" w:eastAsia="宋体" w:cs="宋体"/>
                <w:bCs/>
                <w:color w:val="auto"/>
                <w:sz w:val="24"/>
                <w:highlight w:val="none"/>
              </w:rPr>
            </w:pPr>
          </w:p>
        </w:tc>
      </w:tr>
      <w:tr w14:paraId="1E6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9644DC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DFDB1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ABF1D3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B33581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D76A3C">
            <w:pPr>
              <w:adjustRightInd w:val="0"/>
              <w:snapToGrid w:val="0"/>
              <w:spacing w:line="360" w:lineRule="auto"/>
              <w:ind w:right="24"/>
              <w:rPr>
                <w:rFonts w:hint="eastAsia" w:ascii="宋体" w:hAnsi="宋体" w:eastAsia="宋体" w:cs="宋体"/>
                <w:bCs/>
                <w:color w:val="auto"/>
                <w:sz w:val="24"/>
                <w:highlight w:val="none"/>
              </w:rPr>
            </w:pPr>
          </w:p>
        </w:tc>
      </w:tr>
      <w:tr w14:paraId="012E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6BC70D4">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D03D1F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3A6067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1D444F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4E021C9">
            <w:pPr>
              <w:adjustRightInd w:val="0"/>
              <w:snapToGrid w:val="0"/>
              <w:spacing w:line="360" w:lineRule="auto"/>
              <w:ind w:right="24"/>
              <w:rPr>
                <w:rFonts w:hint="eastAsia" w:ascii="宋体" w:hAnsi="宋体" w:eastAsia="宋体" w:cs="宋体"/>
                <w:bCs/>
                <w:color w:val="auto"/>
                <w:sz w:val="24"/>
                <w:highlight w:val="none"/>
              </w:rPr>
            </w:pPr>
          </w:p>
        </w:tc>
      </w:tr>
      <w:tr w14:paraId="53F84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05FC2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9C9C0C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CD3CF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124C4D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44AB4E9">
            <w:pPr>
              <w:adjustRightInd w:val="0"/>
              <w:snapToGrid w:val="0"/>
              <w:spacing w:line="360" w:lineRule="auto"/>
              <w:ind w:right="24"/>
              <w:rPr>
                <w:rFonts w:hint="eastAsia" w:ascii="宋体" w:hAnsi="宋体" w:eastAsia="宋体" w:cs="宋体"/>
                <w:bCs/>
                <w:color w:val="auto"/>
                <w:sz w:val="24"/>
                <w:highlight w:val="none"/>
              </w:rPr>
            </w:pPr>
          </w:p>
        </w:tc>
      </w:tr>
      <w:tr w14:paraId="7F77C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8CB05B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E0DEE1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B61B05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59B5A2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4DE44A">
            <w:pPr>
              <w:adjustRightInd w:val="0"/>
              <w:snapToGrid w:val="0"/>
              <w:spacing w:line="360" w:lineRule="auto"/>
              <w:ind w:right="24"/>
              <w:rPr>
                <w:rFonts w:hint="eastAsia" w:ascii="宋体" w:hAnsi="宋体" w:eastAsia="宋体" w:cs="宋体"/>
                <w:bCs/>
                <w:color w:val="auto"/>
                <w:sz w:val="24"/>
                <w:highlight w:val="none"/>
              </w:rPr>
            </w:pPr>
          </w:p>
        </w:tc>
      </w:tr>
      <w:tr w14:paraId="1542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685DE0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DF6E5A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C38151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98ECBE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38DECD">
            <w:pPr>
              <w:adjustRightInd w:val="0"/>
              <w:snapToGrid w:val="0"/>
              <w:spacing w:line="360" w:lineRule="auto"/>
              <w:ind w:right="24"/>
              <w:rPr>
                <w:rFonts w:hint="eastAsia" w:ascii="宋体" w:hAnsi="宋体" w:eastAsia="宋体" w:cs="宋体"/>
                <w:bCs/>
                <w:color w:val="auto"/>
                <w:sz w:val="24"/>
                <w:highlight w:val="none"/>
              </w:rPr>
            </w:pPr>
          </w:p>
        </w:tc>
      </w:tr>
      <w:tr w14:paraId="656A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F1F712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0B7D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E1384E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3099A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79FF8B4">
            <w:pPr>
              <w:adjustRightInd w:val="0"/>
              <w:snapToGrid w:val="0"/>
              <w:spacing w:line="360" w:lineRule="auto"/>
              <w:ind w:right="24"/>
              <w:rPr>
                <w:rFonts w:hint="eastAsia" w:ascii="宋体" w:hAnsi="宋体" w:eastAsia="宋体" w:cs="宋体"/>
                <w:bCs/>
                <w:color w:val="auto"/>
                <w:sz w:val="24"/>
                <w:highlight w:val="none"/>
              </w:rPr>
            </w:pPr>
          </w:p>
        </w:tc>
      </w:tr>
      <w:tr w14:paraId="2DA61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978C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9512CE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E12CF7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4571E7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0BA2E86">
            <w:pPr>
              <w:adjustRightInd w:val="0"/>
              <w:snapToGrid w:val="0"/>
              <w:spacing w:line="360" w:lineRule="auto"/>
              <w:ind w:right="24"/>
              <w:rPr>
                <w:rFonts w:hint="eastAsia" w:ascii="宋体" w:hAnsi="宋体" w:eastAsia="宋体" w:cs="宋体"/>
                <w:bCs/>
                <w:color w:val="auto"/>
                <w:sz w:val="24"/>
                <w:highlight w:val="none"/>
              </w:rPr>
            </w:pPr>
          </w:p>
        </w:tc>
      </w:tr>
      <w:tr w14:paraId="57CA7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1D5F65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8193A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89ACD1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262F9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8A5DCBB">
            <w:pPr>
              <w:adjustRightInd w:val="0"/>
              <w:snapToGrid w:val="0"/>
              <w:spacing w:line="360" w:lineRule="auto"/>
              <w:ind w:right="24"/>
              <w:rPr>
                <w:rFonts w:hint="eastAsia" w:ascii="宋体" w:hAnsi="宋体" w:eastAsia="宋体" w:cs="宋体"/>
                <w:bCs/>
                <w:color w:val="auto"/>
                <w:sz w:val="24"/>
                <w:highlight w:val="none"/>
              </w:rPr>
            </w:pPr>
          </w:p>
        </w:tc>
      </w:tr>
    </w:tbl>
    <w:p w14:paraId="197A225A">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0B63BAF0">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4102D33C">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2.供应商必须据实填写，不得虚假响应，否则将取消其协商或成交资格，并按有关规定进</w:t>
      </w:r>
      <w:r>
        <w:rPr>
          <w:rFonts w:hint="eastAsia" w:ascii="宋体" w:hAnsi="宋体" w:eastAsia="宋体" w:cs="宋体"/>
          <w:color w:val="auto"/>
          <w:szCs w:val="21"/>
          <w:highlight w:val="none"/>
          <w:lang w:val="en-US" w:eastAsia="zh-CN"/>
        </w:rPr>
        <w:t>行</w:t>
      </w:r>
      <w:r>
        <w:rPr>
          <w:rFonts w:hint="eastAsia" w:ascii="宋体" w:hAnsi="宋体" w:eastAsia="宋体" w:cs="宋体"/>
          <w:color w:val="auto"/>
          <w:szCs w:val="21"/>
          <w:highlight w:val="none"/>
        </w:rPr>
        <w:t>处罚。</w:t>
      </w:r>
    </w:p>
    <w:p w14:paraId="62738945">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17D944A">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15C1A96">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8F6ED03">
      <w:pPr>
        <w:adjustRightInd w:val="0"/>
        <w:spacing w:line="400" w:lineRule="exact"/>
        <w:jc w:val="center"/>
        <w:rPr>
          <w:rFonts w:hint="eastAsia" w:ascii="宋体" w:hAnsi="宋体" w:eastAsia="宋体" w:cs="宋体"/>
          <w:b/>
          <w:color w:val="auto"/>
          <w:sz w:val="36"/>
          <w:szCs w:val="36"/>
          <w:highlight w:val="none"/>
        </w:rPr>
      </w:pPr>
    </w:p>
    <w:p w14:paraId="4924EF6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2899A90F">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61EB2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717E4C5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7852FE3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06A2B0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497098C7">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768E518D">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7DED9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E42909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9DF8A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C391ED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2ACAE7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916095">
            <w:pPr>
              <w:adjustRightInd w:val="0"/>
              <w:snapToGrid w:val="0"/>
              <w:jc w:val="center"/>
              <w:rPr>
                <w:rFonts w:hint="eastAsia" w:ascii="宋体" w:hAnsi="宋体" w:eastAsia="宋体" w:cs="宋体"/>
                <w:color w:val="auto"/>
                <w:sz w:val="24"/>
                <w:highlight w:val="none"/>
              </w:rPr>
            </w:pPr>
          </w:p>
        </w:tc>
      </w:tr>
      <w:tr w14:paraId="1895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2047F8D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D6B029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827FBA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67DDE3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FCF99D7">
            <w:pPr>
              <w:adjustRightInd w:val="0"/>
              <w:snapToGrid w:val="0"/>
              <w:jc w:val="center"/>
              <w:rPr>
                <w:rFonts w:hint="eastAsia" w:ascii="宋体" w:hAnsi="宋体" w:eastAsia="宋体" w:cs="宋体"/>
                <w:color w:val="auto"/>
                <w:sz w:val="24"/>
                <w:highlight w:val="none"/>
              </w:rPr>
            </w:pPr>
          </w:p>
        </w:tc>
      </w:tr>
      <w:tr w14:paraId="6ACB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6C5DA4F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EF1065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6937E5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B31A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2BFFC39">
            <w:pPr>
              <w:adjustRightInd w:val="0"/>
              <w:snapToGrid w:val="0"/>
              <w:jc w:val="center"/>
              <w:rPr>
                <w:rFonts w:hint="eastAsia" w:ascii="宋体" w:hAnsi="宋体" w:eastAsia="宋体" w:cs="宋体"/>
                <w:color w:val="auto"/>
                <w:sz w:val="24"/>
                <w:highlight w:val="none"/>
              </w:rPr>
            </w:pPr>
          </w:p>
        </w:tc>
      </w:tr>
      <w:tr w14:paraId="0F571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322D82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1AF443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2CACB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D49A79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89A7239">
            <w:pPr>
              <w:adjustRightInd w:val="0"/>
              <w:snapToGrid w:val="0"/>
              <w:jc w:val="center"/>
              <w:rPr>
                <w:rFonts w:hint="eastAsia" w:ascii="宋体" w:hAnsi="宋体" w:eastAsia="宋体" w:cs="宋体"/>
                <w:color w:val="auto"/>
                <w:sz w:val="24"/>
                <w:highlight w:val="none"/>
              </w:rPr>
            </w:pPr>
          </w:p>
        </w:tc>
      </w:tr>
      <w:tr w14:paraId="27B16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05DE717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DAAB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DD93B1C">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12D12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9234492">
            <w:pPr>
              <w:adjustRightInd w:val="0"/>
              <w:snapToGrid w:val="0"/>
              <w:jc w:val="center"/>
              <w:rPr>
                <w:rFonts w:hint="eastAsia" w:ascii="宋体" w:hAnsi="宋体" w:eastAsia="宋体" w:cs="宋体"/>
                <w:color w:val="auto"/>
                <w:sz w:val="24"/>
                <w:highlight w:val="none"/>
              </w:rPr>
            </w:pPr>
          </w:p>
        </w:tc>
      </w:tr>
      <w:tr w14:paraId="7FAB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F7E476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FE0C82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148CDB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633FF2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E95DC11">
            <w:pPr>
              <w:adjustRightInd w:val="0"/>
              <w:snapToGrid w:val="0"/>
              <w:jc w:val="center"/>
              <w:rPr>
                <w:rFonts w:hint="eastAsia" w:ascii="宋体" w:hAnsi="宋体" w:eastAsia="宋体" w:cs="宋体"/>
                <w:color w:val="auto"/>
                <w:sz w:val="24"/>
                <w:highlight w:val="none"/>
              </w:rPr>
            </w:pPr>
          </w:p>
        </w:tc>
      </w:tr>
      <w:tr w14:paraId="0037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A3481F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539D55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C74CD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33AB7C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B9F29D3">
            <w:pPr>
              <w:adjustRightInd w:val="0"/>
              <w:snapToGrid w:val="0"/>
              <w:jc w:val="center"/>
              <w:rPr>
                <w:rFonts w:hint="eastAsia" w:ascii="宋体" w:hAnsi="宋体" w:eastAsia="宋体" w:cs="宋体"/>
                <w:color w:val="auto"/>
                <w:sz w:val="24"/>
                <w:highlight w:val="none"/>
              </w:rPr>
            </w:pPr>
          </w:p>
        </w:tc>
      </w:tr>
      <w:tr w14:paraId="0765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088AFA4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38A9AC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4FF979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BCD13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DA99D6F">
            <w:pPr>
              <w:adjustRightInd w:val="0"/>
              <w:snapToGrid w:val="0"/>
              <w:jc w:val="center"/>
              <w:rPr>
                <w:rFonts w:hint="eastAsia" w:ascii="宋体" w:hAnsi="宋体" w:eastAsia="宋体" w:cs="宋体"/>
                <w:color w:val="auto"/>
                <w:sz w:val="24"/>
                <w:highlight w:val="none"/>
              </w:rPr>
            </w:pPr>
          </w:p>
        </w:tc>
      </w:tr>
      <w:tr w14:paraId="0234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6C7EE01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F2295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9873F5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280125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6B838F6">
            <w:pPr>
              <w:adjustRightInd w:val="0"/>
              <w:snapToGrid w:val="0"/>
              <w:jc w:val="center"/>
              <w:rPr>
                <w:rFonts w:hint="eastAsia" w:ascii="宋体" w:hAnsi="宋体" w:eastAsia="宋体" w:cs="宋体"/>
                <w:color w:val="auto"/>
                <w:sz w:val="24"/>
                <w:highlight w:val="none"/>
              </w:rPr>
            </w:pPr>
          </w:p>
        </w:tc>
      </w:tr>
      <w:tr w14:paraId="7824D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6A7C81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127E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FDF762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AE0BBF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575C98C">
            <w:pPr>
              <w:adjustRightInd w:val="0"/>
              <w:snapToGrid w:val="0"/>
              <w:jc w:val="center"/>
              <w:rPr>
                <w:rFonts w:hint="eastAsia" w:ascii="宋体" w:hAnsi="宋体" w:eastAsia="宋体" w:cs="宋体"/>
                <w:color w:val="auto"/>
                <w:sz w:val="24"/>
                <w:highlight w:val="none"/>
              </w:rPr>
            </w:pPr>
          </w:p>
        </w:tc>
      </w:tr>
      <w:tr w14:paraId="28E9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1980F60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B193F8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D49D5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2D7FF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98542F4">
            <w:pPr>
              <w:adjustRightInd w:val="0"/>
              <w:snapToGrid w:val="0"/>
              <w:jc w:val="center"/>
              <w:rPr>
                <w:rFonts w:hint="eastAsia" w:ascii="宋体" w:hAnsi="宋体" w:eastAsia="宋体" w:cs="宋体"/>
                <w:color w:val="auto"/>
                <w:sz w:val="24"/>
                <w:highlight w:val="none"/>
              </w:rPr>
            </w:pPr>
          </w:p>
        </w:tc>
      </w:tr>
      <w:tr w14:paraId="61DC5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B82D2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BE4233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27C537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F5E93A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EBE94C2">
            <w:pPr>
              <w:adjustRightInd w:val="0"/>
              <w:snapToGrid w:val="0"/>
              <w:jc w:val="center"/>
              <w:rPr>
                <w:rFonts w:hint="eastAsia" w:ascii="宋体" w:hAnsi="宋体" w:eastAsia="宋体" w:cs="宋体"/>
                <w:color w:val="auto"/>
                <w:sz w:val="24"/>
                <w:highlight w:val="none"/>
              </w:rPr>
            </w:pPr>
          </w:p>
        </w:tc>
      </w:tr>
      <w:tr w14:paraId="485D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B616EB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29229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8250C0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E4ACB7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8A4B6E5">
            <w:pPr>
              <w:adjustRightInd w:val="0"/>
              <w:snapToGrid w:val="0"/>
              <w:jc w:val="center"/>
              <w:rPr>
                <w:rFonts w:hint="eastAsia" w:ascii="宋体" w:hAnsi="宋体" w:eastAsia="宋体" w:cs="宋体"/>
                <w:color w:val="auto"/>
                <w:sz w:val="24"/>
                <w:highlight w:val="none"/>
              </w:rPr>
            </w:pPr>
          </w:p>
        </w:tc>
      </w:tr>
      <w:tr w14:paraId="0D466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47C6F8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409E6C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113D9C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91AF9B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18401E0">
            <w:pPr>
              <w:adjustRightInd w:val="0"/>
              <w:snapToGrid w:val="0"/>
              <w:jc w:val="center"/>
              <w:rPr>
                <w:rFonts w:hint="eastAsia" w:ascii="宋体" w:hAnsi="宋体" w:eastAsia="宋体" w:cs="宋体"/>
                <w:color w:val="auto"/>
                <w:sz w:val="24"/>
                <w:highlight w:val="none"/>
              </w:rPr>
            </w:pPr>
          </w:p>
        </w:tc>
      </w:tr>
      <w:tr w14:paraId="0B7B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797FA5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A2F24A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CC3296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B09057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E535B7B">
            <w:pPr>
              <w:adjustRightInd w:val="0"/>
              <w:snapToGrid w:val="0"/>
              <w:jc w:val="center"/>
              <w:rPr>
                <w:rFonts w:hint="eastAsia" w:ascii="宋体" w:hAnsi="宋体" w:eastAsia="宋体" w:cs="宋体"/>
                <w:color w:val="auto"/>
                <w:sz w:val="24"/>
                <w:highlight w:val="none"/>
              </w:rPr>
            </w:pPr>
          </w:p>
        </w:tc>
      </w:tr>
      <w:tr w14:paraId="25EB7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0CB717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731E5D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C8B09D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824D9B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AFE2BA">
            <w:pPr>
              <w:adjustRightInd w:val="0"/>
              <w:snapToGrid w:val="0"/>
              <w:jc w:val="center"/>
              <w:rPr>
                <w:rFonts w:hint="eastAsia" w:ascii="宋体" w:hAnsi="宋体" w:eastAsia="宋体" w:cs="宋体"/>
                <w:color w:val="auto"/>
                <w:sz w:val="24"/>
                <w:highlight w:val="none"/>
              </w:rPr>
            </w:pPr>
          </w:p>
        </w:tc>
      </w:tr>
      <w:tr w14:paraId="5AA1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F28B48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0880E3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B67C8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740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F959BD">
            <w:pPr>
              <w:adjustRightInd w:val="0"/>
              <w:snapToGrid w:val="0"/>
              <w:jc w:val="center"/>
              <w:rPr>
                <w:rFonts w:hint="eastAsia" w:ascii="宋体" w:hAnsi="宋体" w:eastAsia="宋体" w:cs="宋体"/>
                <w:color w:val="auto"/>
                <w:sz w:val="24"/>
                <w:highlight w:val="none"/>
              </w:rPr>
            </w:pPr>
          </w:p>
        </w:tc>
      </w:tr>
      <w:tr w14:paraId="101D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2FA69B7">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08ECF766">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1B9873C0">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73FF3D2">
      <w:pPr>
        <w:adjustRightInd w:val="0"/>
        <w:spacing w:line="400" w:lineRule="exact"/>
        <w:ind w:firstLine="420" w:firstLineChars="200"/>
        <w:jc w:val="left"/>
        <w:rPr>
          <w:rFonts w:hint="eastAsia" w:ascii="宋体" w:hAnsi="宋体" w:eastAsia="宋体" w:cs="宋体"/>
          <w:bCs/>
          <w:color w:val="auto"/>
          <w:szCs w:val="21"/>
          <w:highlight w:val="none"/>
        </w:rPr>
      </w:pPr>
    </w:p>
    <w:p w14:paraId="56536E5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452DB5D7">
      <w:pPr>
        <w:pStyle w:val="13"/>
        <w:rPr>
          <w:rFonts w:hint="eastAsia" w:ascii="宋体" w:hAnsi="宋体" w:eastAsia="宋体" w:cs="宋体"/>
          <w:color w:val="auto"/>
          <w:highlight w:val="none"/>
        </w:rPr>
      </w:pPr>
    </w:p>
    <w:p w14:paraId="68C0F9F1">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9C57478">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03823E48">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2801D4CD">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2652F10">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6B07F70B">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55B23D6D">
      <w:pPr>
        <w:pStyle w:val="5"/>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6D6A37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44BE66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0620D6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037490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65B75C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590917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58698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E086D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B8CFE16">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3B14686">
      <w:pPr>
        <w:adjustRightInd w:val="0"/>
        <w:spacing w:line="360" w:lineRule="auto"/>
        <w:ind w:firstLine="420"/>
        <w:jc w:val="left"/>
        <w:rPr>
          <w:rFonts w:hint="eastAsia" w:ascii="宋体" w:hAnsi="宋体" w:eastAsia="宋体" w:cs="宋体"/>
          <w:color w:val="auto"/>
          <w:szCs w:val="21"/>
          <w:highlight w:val="none"/>
        </w:rPr>
      </w:pPr>
    </w:p>
    <w:p w14:paraId="37EA6B6F">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550F2898">
      <w:pPr>
        <w:pStyle w:val="5"/>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376F0A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703B08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59B553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1977E6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5B1547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3B4CFC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456BB80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6C292F5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3CE5AEC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1E71451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624FE5F5">
      <w:pPr>
        <w:spacing w:line="360" w:lineRule="auto"/>
        <w:ind w:firstLine="420" w:firstLineChars="200"/>
        <w:rPr>
          <w:rFonts w:hint="eastAsia" w:ascii="宋体" w:hAnsi="宋体" w:eastAsia="宋体" w:cs="宋体"/>
          <w:color w:val="auto"/>
          <w:szCs w:val="21"/>
          <w:highlight w:val="none"/>
        </w:rPr>
      </w:pPr>
    </w:p>
    <w:p w14:paraId="4DDD4EC4">
      <w:pPr>
        <w:spacing w:line="360" w:lineRule="auto"/>
        <w:ind w:firstLine="420" w:firstLineChars="200"/>
        <w:rPr>
          <w:rFonts w:hint="eastAsia" w:ascii="宋体" w:hAnsi="宋体" w:eastAsia="宋体" w:cs="宋体"/>
          <w:color w:val="auto"/>
          <w:szCs w:val="21"/>
          <w:highlight w:val="none"/>
        </w:rPr>
      </w:pPr>
    </w:p>
    <w:p w14:paraId="1F0E88FC">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647EA029">
      <w:pPr>
        <w:spacing w:line="360" w:lineRule="auto"/>
        <w:ind w:firstLine="420" w:firstLineChars="200"/>
        <w:jc w:val="right"/>
        <w:rPr>
          <w:rFonts w:hint="eastAsia" w:ascii="宋体" w:hAnsi="宋体" w:eastAsia="宋体" w:cs="宋体"/>
          <w:color w:val="auto"/>
          <w:szCs w:val="21"/>
          <w:highlight w:val="none"/>
        </w:rPr>
      </w:pPr>
    </w:p>
    <w:p w14:paraId="4CDED947">
      <w:pPr>
        <w:pStyle w:val="8"/>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61240CE">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4A599F69">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213089F6">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AD8888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03A07D9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2BABC830">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41E3576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13FCE22">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5FAC4EE9">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95F9F39">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4210A670">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0481BCE9">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312354D4">
      <w:pPr>
        <w:pStyle w:val="8"/>
        <w:spacing w:line="360" w:lineRule="auto"/>
        <w:rPr>
          <w:rFonts w:hint="eastAsia" w:ascii="宋体" w:hAnsi="宋体" w:eastAsia="宋体" w:cs="宋体"/>
          <w:color w:val="auto"/>
          <w:highlight w:val="none"/>
          <w:lang w:val="en-US" w:eastAsia="en-US"/>
        </w:rPr>
      </w:pPr>
    </w:p>
    <w:p w14:paraId="2EE5EC46">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1CBC0E2">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1174788E">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六、技术文件</w:t>
      </w:r>
    </w:p>
    <w:p w14:paraId="03238688">
      <w:pPr>
        <w:adjustRightInd w:val="0"/>
        <w:spacing w:line="400" w:lineRule="exact"/>
        <w:jc w:val="center"/>
        <w:rPr>
          <w:rFonts w:hint="eastAsia" w:ascii="宋体" w:hAnsi="宋体" w:eastAsia="宋体" w:cs="宋体"/>
          <w:bCs/>
          <w:color w:val="auto"/>
          <w:sz w:val="21"/>
          <w:szCs w:val="21"/>
          <w:highlight w:val="none"/>
        </w:rPr>
      </w:pPr>
    </w:p>
    <w:p w14:paraId="7795D59C">
      <w:pPr>
        <w:pStyle w:val="10"/>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6E50971F">
      <w:pPr>
        <w:pStyle w:val="10"/>
        <w:adjustRightInd w:val="0"/>
        <w:snapToGrid w:val="0"/>
        <w:spacing w:line="360" w:lineRule="auto"/>
        <w:jc w:val="center"/>
        <w:rPr>
          <w:rFonts w:hint="eastAsia" w:ascii="宋体" w:hAnsi="宋体" w:eastAsia="宋体" w:cs="宋体"/>
          <w:color w:val="auto"/>
          <w:sz w:val="28"/>
          <w:szCs w:val="28"/>
          <w:highlight w:val="none"/>
        </w:rPr>
      </w:pPr>
    </w:p>
    <w:p w14:paraId="3957114C">
      <w:pPr>
        <w:pStyle w:val="10"/>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13E8B76F">
      <w:pPr>
        <w:numPr>
          <w:ilvl w:val="0"/>
          <w:numId w:val="0"/>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七、供应商认为有必要补充说明的事项</w:t>
      </w:r>
    </w:p>
    <w:p w14:paraId="7DCF668F">
      <w:pPr>
        <w:rPr>
          <w:rFonts w:hint="eastAsia" w:ascii="宋体" w:hAnsi="宋体" w:eastAsia="宋体" w:cs="宋体"/>
        </w:rPr>
      </w:pPr>
    </w:p>
    <w:p w14:paraId="0354FC29">
      <w:pPr>
        <w:rPr>
          <w:rFonts w:hint="eastAsia" w:ascii="宋体" w:hAnsi="宋体" w:eastAsia="宋体" w:cs="宋体"/>
          <w:spacing w:val="6"/>
          <w:sz w:val="29"/>
          <w:szCs w:val="29"/>
          <w:highlight w:val="none"/>
          <w:lang w:eastAsia="zh-CN"/>
        </w:rPr>
      </w:pPr>
      <w:r>
        <w:rPr>
          <w:rFonts w:hint="eastAsia" w:ascii="宋体" w:hAnsi="宋体" w:eastAsia="宋体" w:cs="宋体"/>
          <w:spacing w:val="6"/>
          <w:sz w:val="29"/>
          <w:szCs w:val="29"/>
          <w:highlight w:val="none"/>
          <w:lang w:eastAsia="zh-CN"/>
        </w:rPr>
        <w:br w:type="page"/>
      </w:r>
    </w:p>
    <w:p w14:paraId="2F8A5AC2">
      <w:pPr>
        <w:spacing w:before="58" w:line="220" w:lineRule="auto"/>
        <w:ind w:left="3720"/>
        <w:outlineLvl w:val="0"/>
        <w:rPr>
          <w:rFonts w:hint="eastAsia" w:ascii="宋体" w:hAnsi="宋体" w:eastAsia="宋体" w:cs="宋体"/>
          <w:spacing w:val="6"/>
          <w:sz w:val="29"/>
          <w:szCs w:val="29"/>
          <w:highlight w:val="yellow"/>
          <w:lang w:val="en-US" w:eastAsia="zh-CN"/>
        </w:rPr>
      </w:pPr>
      <w:r>
        <w:rPr>
          <w:rFonts w:hint="eastAsia" w:ascii="宋体" w:hAnsi="宋体" w:eastAsia="宋体" w:cs="宋体"/>
          <w:spacing w:val="6"/>
          <w:sz w:val="29"/>
          <w:szCs w:val="29"/>
          <w:highlight w:val="yellow"/>
          <w:lang w:eastAsia="zh-CN"/>
        </w:rPr>
        <w:t>第七章</w:t>
      </w:r>
      <w:r>
        <w:rPr>
          <w:rFonts w:hint="eastAsia" w:ascii="宋体" w:hAnsi="宋体" w:eastAsia="宋体" w:cs="宋体"/>
          <w:spacing w:val="6"/>
          <w:sz w:val="29"/>
          <w:szCs w:val="29"/>
          <w:highlight w:val="yellow"/>
          <w:lang w:val="en-US" w:eastAsia="zh-CN"/>
        </w:rPr>
        <w:t xml:space="preserve"> 拟签订采购合同文本</w:t>
      </w:r>
    </w:p>
    <w:p w14:paraId="018EDB32">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43" w:firstLineChars="200"/>
        <w:jc w:val="center"/>
        <w:textAlignment w:val="auto"/>
        <w:rPr>
          <w:rFonts w:hint="eastAsia" w:ascii="宋体" w:hAnsi="宋体" w:eastAsia="宋体" w:cs="宋体"/>
          <w:b/>
          <w:bCs/>
          <w:color w:val="auto"/>
          <w:sz w:val="32"/>
          <w:szCs w:val="32"/>
          <w:highlight w:val="yellow"/>
          <w:lang w:val="en-US" w:eastAsia="zh-CN"/>
        </w:rPr>
      </w:pPr>
    </w:p>
    <w:p w14:paraId="0B98C687">
      <w:pPr>
        <w:pStyle w:val="24"/>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sz w:val="40"/>
          <w:szCs w:val="40"/>
          <w:lang w:val="en-US" w:eastAsia="zh-CN"/>
        </w:rPr>
      </w:pPr>
      <w:r>
        <w:rPr>
          <w:rFonts w:hint="eastAsia" w:ascii="宋体" w:hAnsi="宋体" w:eastAsia="宋体" w:cs="宋体"/>
          <w:b/>
          <w:bCs/>
          <w:sz w:val="40"/>
          <w:szCs w:val="40"/>
          <w:lang w:val="en-US" w:eastAsia="zh-CN"/>
        </w:rPr>
        <w:t>政府采购合同格式</w:t>
      </w:r>
    </w:p>
    <w:p w14:paraId="078053D2">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合同编号： </w:t>
      </w:r>
    </w:p>
    <w:p w14:paraId="440CE83E">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签订地点： </w:t>
      </w:r>
    </w:p>
    <w:p w14:paraId="3194830C">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签订时间: </w:t>
      </w:r>
    </w:p>
    <w:p w14:paraId="0E9298BC">
      <w:pPr>
        <w:pStyle w:val="24"/>
        <w:keepNext w:val="0"/>
        <w:keepLines w:val="0"/>
        <w:pageBreakBefore w:val="0"/>
        <w:kinsoku/>
        <w:wordWrap/>
        <w:overflowPunct/>
        <w:topLinePunct w:val="0"/>
        <w:autoSpaceDE/>
        <w:autoSpaceDN/>
        <w:bidi w:val="0"/>
        <w:adjustRightInd/>
        <w:spacing w:line="360" w:lineRule="auto"/>
        <w:ind w:firstLine="439" w:firstLineChars="183"/>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是否为专门面向中小企业的采购项目：</w:t>
      </w:r>
      <w:r>
        <w:rPr>
          <w:rFonts w:hint="eastAsia" w:ascii="宋体" w:hAnsi="宋体" w:eastAsia="宋体" w:cs="宋体"/>
          <w:sz w:val="24"/>
          <w:szCs w:val="24"/>
          <w:lang w:val="en-US" w:eastAsia="zh-CN"/>
        </w:rPr>
        <w:t>否</w:t>
      </w:r>
    </w:p>
    <w:p w14:paraId="067B319F">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采购人（甲方）：</w:t>
      </w:r>
    </w:p>
    <w:p w14:paraId="0AC9F0D7">
      <w:pPr>
        <w:pStyle w:val="2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供应商（乙方）：</w:t>
      </w:r>
    </w:p>
    <w:p w14:paraId="154A7929">
      <w:pPr>
        <w:pStyle w:val="13"/>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根据《中华人民共和国政府采购法》及实施条例、《中华人民共和国民法典》和融媒体中心代运营项目（采购项目编号</w:t>
      </w:r>
      <w:r>
        <w:rPr>
          <w:rFonts w:hint="eastAsia" w:ascii="宋体" w:hAnsi="宋体" w:eastAsia="宋体" w:cs="宋体"/>
          <w:color w:val="000000"/>
          <w:sz w:val="24"/>
          <w:szCs w:val="24"/>
          <w:lang w:eastAsia="zh-CN"/>
        </w:rPr>
        <w:t>SXLX25-02-044Z(F)）</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1F9AF46F">
      <w:pPr>
        <w:keepNext w:val="0"/>
        <w:keepLines w:val="0"/>
        <w:pageBreakBefore w:val="0"/>
        <w:widowControl/>
        <w:kinsoku/>
        <w:wordWrap/>
        <w:overflowPunct/>
        <w:topLinePunct w:val="0"/>
        <w:autoSpaceDE/>
        <w:autoSpaceDN/>
        <w:bidi w:val="0"/>
        <w:adjustRightInd/>
        <w:spacing w:line="360" w:lineRule="auto"/>
        <w:ind w:firstLine="482" w:firstLineChars="200"/>
        <w:jc w:val="left"/>
        <w:textAlignment w:val="auto"/>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第一条  项目基本情况</w:t>
      </w:r>
      <w:bookmarkEnd w:id="0"/>
    </w:p>
    <w:p w14:paraId="5549CB1D">
      <w:pPr>
        <w:pStyle w:val="26"/>
        <w:spacing w:line="360" w:lineRule="auto"/>
        <w:ind w:firstLine="400"/>
        <w:jc w:val="both"/>
        <w:rPr>
          <w:rFonts w:hint="eastAsia" w:ascii="宋体" w:hAnsi="宋体" w:eastAsia="宋体" w:cs="宋体"/>
          <w:color w:val="auto"/>
          <w:sz w:val="24"/>
          <w:szCs w:val="24"/>
          <w:highlight w:val="yellow"/>
          <w:lang w:eastAsia="zh-CN"/>
        </w:rPr>
      </w:pPr>
      <w:bookmarkStart w:id="1" w:name="_Toc24394"/>
      <w:r>
        <w:rPr>
          <w:rFonts w:hint="eastAsia" w:ascii="宋体" w:hAnsi="宋体" w:eastAsia="宋体" w:cs="宋体"/>
          <w:color w:val="auto"/>
          <w:sz w:val="24"/>
          <w:szCs w:val="24"/>
          <w:highlight w:val="yellow"/>
          <w:lang w:eastAsia="zh-CN"/>
        </w:rPr>
        <w:t>采购内容:碑林区融媒体中心代运营项目；主要功能或目标:依托供应商技术平台和人力资源优势，应用西安台“长安云”融媒体平台开展工作。形成“统一指挥、一次采集、多次生成、全发布”的高效运营模式，讲好碑林故事、传递碑林声音；需满足的要求:碑林区融媒体中心代运营项目所有需求。</w:t>
      </w:r>
    </w:p>
    <w:p w14:paraId="33408560">
      <w:pPr>
        <w:keepNext w:val="0"/>
        <w:keepLines w:val="0"/>
        <w:pageBreakBefore w:val="0"/>
        <w:widowControl/>
        <w:numPr>
          <w:ilvl w:val="0"/>
          <w:numId w:val="2"/>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 服务期限</w:t>
      </w:r>
      <w:bookmarkEnd w:id="1"/>
    </w:p>
    <w:p w14:paraId="4A66E76C">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sz w:val="24"/>
          <w:szCs w:val="24"/>
          <w:highlight w:val="none"/>
          <w:u w:val="single"/>
          <w:lang w:val="en-US" w:eastAsia="zh-CN"/>
        </w:rPr>
      </w:pPr>
      <w:r>
        <w:rPr>
          <w:rFonts w:hint="eastAsia" w:ascii="宋体" w:hAnsi="宋体" w:eastAsia="宋体" w:cs="宋体"/>
          <w:b/>
          <w:sz w:val="24"/>
          <w:szCs w:val="24"/>
          <w:highlight w:val="none"/>
          <w:lang w:val="en-US" w:eastAsia="zh-CN"/>
        </w:rPr>
        <w:t xml:space="preserve">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u w:val="single"/>
          <w:lang w:val="en-US" w:eastAsia="zh-CN"/>
        </w:rPr>
        <w:t>1年。</w:t>
      </w:r>
    </w:p>
    <w:p w14:paraId="4F8B903B">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highlight w:val="none"/>
        </w:rPr>
      </w:pPr>
      <w:bookmarkStart w:id="2" w:name="_Toc2407"/>
      <w:bookmarkStart w:id="3" w:name="_Toc286993786"/>
      <w:bookmarkStart w:id="4" w:name="_Toc225670751"/>
      <w:bookmarkStart w:id="5" w:name="_Toc251768862"/>
      <w:bookmarkStart w:id="6" w:name="_Toc283019214"/>
      <w:bookmarkStart w:id="7" w:name="_Toc239233914"/>
      <w:bookmarkStart w:id="8" w:name="_Toc225654644"/>
      <w:bookmarkStart w:id="9" w:name="_Toc239568418"/>
      <w:bookmarkStart w:id="10" w:name="_Toc282696226"/>
      <w:bookmarkStart w:id="11" w:name="_Toc185395249"/>
      <w:bookmarkStart w:id="12" w:name="_Toc238984975"/>
      <w:bookmarkStart w:id="13" w:name="_Toc237145406"/>
      <w:bookmarkStart w:id="14" w:name="_Toc211854449"/>
      <w:bookmarkStart w:id="15" w:name="_Toc211911348"/>
      <w:bookmarkStart w:id="16" w:name="_Toc212019594"/>
      <w:bookmarkStart w:id="17" w:name="_Toc241833903"/>
      <w:bookmarkStart w:id="18" w:name="_Toc247334841"/>
      <w:bookmarkStart w:id="19" w:name="_Toc232492928"/>
      <w:bookmarkStart w:id="20" w:name="_Toc225244852"/>
      <w:r>
        <w:rPr>
          <w:rFonts w:hint="eastAsia" w:ascii="宋体" w:hAnsi="宋体" w:eastAsia="宋体" w:cs="宋体"/>
          <w:b/>
          <w:sz w:val="24"/>
          <w:szCs w:val="24"/>
          <w:highlight w:val="none"/>
        </w:rPr>
        <w:t>第三条  服务内容与质量标准</w:t>
      </w:r>
      <w:bookmarkEnd w:id="2"/>
    </w:p>
    <w:p w14:paraId="57836DFE">
      <w:pPr>
        <w:pStyle w:val="26"/>
        <w:spacing w:line="360" w:lineRule="auto"/>
        <w:ind w:firstLine="400"/>
        <w:jc w:val="both"/>
        <w:rPr>
          <w:rFonts w:hint="eastAsia" w:ascii="宋体" w:hAnsi="宋体" w:eastAsia="宋体" w:cs="宋体"/>
          <w:color w:val="auto"/>
          <w:sz w:val="24"/>
          <w:szCs w:val="24"/>
          <w:highlight w:val="yellow"/>
          <w:lang w:val="en-US" w:eastAsia="zh-CN"/>
        </w:rPr>
      </w:pPr>
      <w:bookmarkStart w:id="21" w:name="_Toc20078"/>
      <w:r>
        <w:rPr>
          <w:rFonts w:hint="eastAsia" w:ascii="宋体" w:hAnsi="宋体" w:eastAsia="宋体" w:cs="宋体"/>
          <w:color w:val="auto"/>
          <w:sz w:val="24"/>
          <w:szCs w:val="24"/>
          <w:highlight w:val="yellow"/>
          <w:lang w:val="en-US" w:eastAsia="zh-CN"/>
        </w:rPr>
        <w:t>甲方依托乙方技术平台和人力资源优势，依托供应商技术平台和人力资源优势，应用西安台“长安云”融媒体平台开展工作。形成“统一指挥、一次采集、多次生成、全发布”的高效运营模式，讲好碑林故事、传递碑林声音。</w:t>
      </w:r>
    </w:p>
    <w:p w14:paraId="35875733">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一、服务内容与要求</w:t>
      </w:r>
    </w:p>
    <w:p w14:paraId="7A6BC019">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（1）按照采购人要求乙方每日推出能反映碑林风貌、契合形势发展以及群众喜闻乐见的融媒体产品（视频或图文）；</w:t>
      </w:r>
    </w:p>
    <w:p w14:paraId="09440977">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（2）每日在碑林融媒app、原点新闻app碑林融媒原点号、西安网碑林频道更新相关视频、图文信息内容，更新时间不晚于当日23:00；</w:t>
      </w:r>
    </w:p>
    <w:p w14:paraId="3FF2FF54">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（3）乙方每季度向西安台推送碑林区相关的宣传稿件；</w:t>
      </w:r>
    </w:p>
    <w:p w14:paraId="3400AD2B">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（4）乙方每季度向中省媒体推送碑林区相关的宣传稿件；</w:t>
      </w:r>
    </w:p>
    <w:p w14:paraId="75D47F64">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（5）乙方完成采购人交办的临时性工作；</w:t>
      </w:r>
    </w:p>
    <w:p w14:paraId="14DCE480">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二、执行标准、规范</w:t>
      </w:r>
    </w:p>
    <w:p w14:paraId="76C21284">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 xml:space="preserve"> 1.顺序执行：国家标准→行业标准→地方标准→企业标准（有国家标准按国家标准执行，没有国家标准按行业标准，以此类推）；</w:t>
      </w:r>
    </w:p>
    <w:p w14:paraId="1FCC0159">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 xml:space="preserve"> 2.最高标准执行：国家标准，行业标准，地方标准，企业标准（按最高标准执行）；</w:t>
      </w:r>
    </w:p>
    <w:p w14:paraId="08F241D3">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 xml:space="preserve"> 3. 必须执行：国家强制性标准。</w:t>
      </w:r>
    </w:p>
    <w:p w14:paraId="2AD9ADF4">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三、工作边界</w:t>
      </w:r>
    </w:p>
    <w:p w14:paraId="5EB49261">
      <w:pPr>
        <w:pStyle w:val="26"/>
        <w:spacing w:line="360" w:lineRule="auto"/>
        <w:ind w:firstLine="40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1、新闻及融媒产品采访报道。</w:t>
      </w:r>
    </w:p>
    <w:p w14:paraId="3FE27DF5">
      <w:pPr>
        <w:pStyle w:val="26"/>
        <w:spacing w:line="360" w:lineRule="auto"/>
        <w:ind w:firstLine="400"/>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color w:val="auto"/>
          <w:sz w:val="24"/>
          <w:szCs w:val="24"/>
          <w:highlight w:val="yellow"/>
          <w:lang w:val="en-US" w:eastAsia="zh-CN"/>
        </w:rPr>
        <w:t>2、平台更新（碑林融媒app、原点新闻app碑林融媒原点号、西安网碑林频道）。</w:t>
      </w:r>
    </w:p>
    <w:p w14:paraId="34654C80">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服务费用及支付方式</w:t>
      </w:r>
      <w:bookmarkEnd w:id="21"/>
    </w:p>
    <w:p w14:paraId="31AE91F5">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1、服务费按下列比例支付价款</w:t>
      </w:r>
    </w:p>
    <w:p w14:paraId="04E537C7">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服务总费用为人民币（大写）：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AAF7338">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支付方式：</w:t>
      </w:r>
      <w:r>
        <w:rPr>
          <w:rFonts w:hint="eastAsia" w:ascii="宋体" w:hAnsi="宋体" w:cs="宋体"/>
          <w:color w:val="auto"/>
          <w:sz w:val="24"/>
          <w:szCs w:val="24"/>
          <w:highlight w:val="none"/>
          <w:lang w:eastAsia="zh-CN"/>
        </w:rPr>
        <w:t>软件运维服务</w:t>
      </w:r>
      <w:r>
        <w:rPr>
          <w:rFonts w:hint="eastAsia" w:ascii="宋体" w:hAnsi="宋体" w:eastAsia="宋体" w:cs="宋体"/>
          <w:color w:val="auto"/>
          <w:sz w:val="24"/>
          <w:szCs w:val="24"/>
          <w:highlight w:val="none"/>
        </w:rPr>
        <w:t>项目执行固定总价合同，该项目不受市场价格变化因素影响。</w:t>
      </w:r>
    </w:p>
    <w:p w14:paraId="60418013">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①付款条件说明:达到付款条件起20日内，甲方收到发票后，以转账方式向供应商一次性支付合同总金额的100.00%。</w:t>
      </w:r>
    </w:p>
    <w:p w14:paraId="72B46FB2">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2、结算方式：银行转账</w:t>
      </w:r>
    </w:p>
    <w:p w14:paraId="090F47B6">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乙方收款账户</w:t>
      </w:r>
    </w:p>
    <w:p w14:paraId="4F68EEAF">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账户名称：                 </w:t>
      </w:r>
    </w:p>
    <w:p w14:paraId="62202894">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1082492C">
      <w:pPr>
        <w:pStyle w:val="26"/>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 xml:space="preserve">                  </w:t>
      </w:r>
    </w:p>
    <w:p w14:paraId="5194B15D">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知识产权（若有）</w:t>
      </w:r>
      <w:bookmarkEnd w:id="22"/>
    </w:p>
    <w:p w14:paraId="051C9042">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4F64E853">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4134BDDB">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0E8E415B">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28884A4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23C7A3F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52229CAB">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0B6CA556">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263F5E03">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27449A8C">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42E3CC4A">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2F34C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6B019E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59127E76">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、按照甲方要求乙方派遣</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名人员，负责碑林区融媒体中心内容生产采推送、技术支持。</w:t>
      </w:r>
    </w:p>
    <w:p w14:paraId="3796638B">
      <w:pPr>
        <w:keepNext w:val="0"/>
        <w:keepLines w:val="0"/>
        <w:pageBreakBefore w:val="0"/>
        <w:widowControl w:val="0"/>
        <w:kinsoku/>
        <w:wordWrap/>
        <w:overflowPunct/>
        <w:topLinePunct w:val="0"/>
        <w:autoSpaceDE/>
        <w:autoSpaceDN/>
        <w:bidi w:val="0"/>
        <w:snapToGrid/>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、乙方派遣人员不符合甲方要求被退回，乙方在15个工作日内，按照甲方岗位要求重新派遣人员。</w:t>
      </w:r>
    </w:p>
    <w:p w14:paraId="45DC23E7">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、甲方对选题策划、新闻线索和现场采访等环节提供必要帮助，及时对乙方策划（设计）方案、作品质量及技术要求给予审定，因甲方审定时间过长而影响作品完成时限的，后果由甲方承担。</w:t>
      </w:r>
    </w:p>
    <w:p w14:paraId="7F8DFC94">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、派遣到甲方的工作人员应符合以下标准:</w:t>
      </w:r>
    </w:p>
    <w:p w14:paraId="2F5CCEBA">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(1)身体健康(符合《公务员录用体检通用标准(试行)》),无违法犯罪记录。</w:t>
      </w:r>
    </w:p>
    <w:p w14:paraId="2072CEB4">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(2)能自觉遵守在机关工作必备的政治纪律、保密纪律、宣传纪律和工作纪律等。</w:t>
      </w:r>
    </w:p>
    <w:p w14:paraId="21D542B8">
      <w:pPr>
        <w:keepNext w:val="0"/>
        <w:keepLines w:val="0"/>
        <w:pageBreakBefore w:val="0"/>
        <w:widowControl w:val="0"/>
        <w:kinsoku/>
        <w:wordWrap/>
        <w:overflowPunct/>
        <w:topLinePunct w:val="0"/>
        <w:autoSpaceDE/>
        <w:autoSpaceDN/>
        <w:bidi w:val="0"/>
        <w:snapToGrid/>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(3)具备新闻采编能力和一定的舆情分析、研判能力。</w:t>
      </w:r>
    </w:p>
    <w:p w14:paraId="29454AE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8</w:t>
      </w:r>
      <w:r>
        <w:rPr>
          <w:rFonts w:hint="eastAsia" w:ascii="宋体" w:hAnsi="宋体" w:eastAsia="宋体" w:cs="宋体"/>
          <w:bCs/>
          <w:color w:val="auto"/>
          <w:sz w:val="24"/>
          <w:szCs w:val="24"/>
        </w:rPr>
        <w:t>.国家</w:t>
      </w:r>
      <w:r>
        <w:rPr>
          <w:rFonts w:hint="eastAsia" w:ascii="宋体" w:hAnsi="宋体" w:eastAsia="宋体" w:cs="宋体"/>
          <w:bCs/>
          <w:color w:val="auto"/>
          <w:sz w:val="24"/>
          <w:szCs w:val="24"/>
          <w:lang w:eastAsia="zh-CN"/>
        </w:rPr>
        <w:t>法律法规</w:t>
      </w:r>
      <w:r>
        <w:rPr>
          <w:rFonts w:hint="eastAsia" w:ascii="宋体" w:hAnsi="宋体" w:eastAsia="宋体" w:cs="宋体"/>
          <w:bCs/>
          <w:color w:val="auto"/>
          <w:sz w:val="24"/>
          <w:szCs w:val="24"/>
        </w:rPr>
        <w:t>所规定由甲方承担的</w:t>
      </w:r>
      <w:r>
        <w:rPr>
          <w:rFonts w:hint="eastAsia" w:ascii="宋体" w:hAnsi="宋体" w:eastAsia="宋体" w:cs="宋体"/>
          <w:bCs/>
          <w:color w:val="auto"/>
          <w:sz w:val="24"/>
          <w:szCs w:val="24"/>
          <w:lang w:eastAsia="zh-CN"/>
        </w:rPr>
        <w:t>其他</w:t>
      </w:r>
      <w:r>
        <w:rPr>
          <w:rFonts w:hint="eastAsia" w:ascii="宋体" w:hAnsi="宋体" w:eastAsia="宋体" w:cs="宋体"/>
          <w:bCs/>
          <w:color w:val="auto"/>
          <w:sz w:val="24"/>
          <w:szCs w:val="24"/>
        </w:rPr>
        <w:t>责任。</w:t>
      </w:r>
    </w:p>
    <w:p w14:paraId="689515C9">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70A00F4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1537C14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0308881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24DF015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6A0CA74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en-US"/>
        </w:rPr>
      </w:pP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lang w:val="en-US" w:eastAsia="en-US"/>
        </w:rPr>
        <w:t>乙方按照甲方工作要求完成融媒体中心的运营工作。</w:t>
      </w:r>
    </w:p>
    <w:p w14:paraId="67995913">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en-US"/>
        </w:rPr>
      </w:pPr>
      <w:r>
        <w:rPr>
          <w:rFonts w:hint="eastAsia" w:ascii="宋体" w:hAnsi="宋体" w:eastAsia="宋体" w:cs="宋体"/>
          <w:bCs/>
          <w:color w:val="auto"/>
          <w:sz w:val="24"/>
          <w:szCs w:val="24"/>
          <w:lang w:val="en-US" w:eastAsia="zh-CN"/>
        </w:rPr>
        <w:t>6.</w:t>
      </w:r>
      <w:r>
        <w:rPr>
          <w:rFonts w:hint="eastAsia" w:ascii="宋体" w:hAnsi="宋体" w:eastAsia="宋体" w:cs="宋体"/>
          <w:bCs/>
          <w:color w:val="auto"/>
          <w:sz w:val="24"/>
          <w:szCs w:val="24"/>
          <w:lang w:val="en-US" w:eastAsia="en-US"/>
        </w:rPr>
        <w:t>乙方按照甲方工作要求做好选题策划、拍摄制作，各类融媒体产品生产。</w:t>
      </w:r>
    </w:p>
    <w:p w14:paraId="710F8E67">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.国家</w:t>
      </w:r>
      <w:r>
        <w:rPr>
          <w:rFonts w:hint="eastAsia" w:ascii="宋体" w:hAnsi="宋体" w:eastAsia="宋体" w:cs="宋体"/>
          <w:bCs/>
          <w:color w:val="auto"/>
          <w:sz w:val="24"/>
          <w:szCs w:val="24"/>
          <w:lang w:eastAsia="zh-CN"/>
        </w:rPr>
        <w:t>法律法规</w:t>
      </w:r>
      <w:r>
        <w:rPr>
          <w:rFonts w:hint="eastAsia" w:ascii="宋体" w:hAnsi="宋体" w:eastAsia="宋体" w:cs="宋体"/>
          <w:bCs/>
          <w:color w:val="auto"/>
          <w:sz w:val="24"/>
          <w:szCs w:val="24"/>
        </w:rPr>
        <w:t>所规定由乙方承担的</w:t>
      </w:r>
      <w:r>
        <w:rPr>
          <w:rFonts w:hint="eastAsia" w:ascii="宋体" w:hAnsi="宋体" w:eastAsia="宋体" w:cs="宋体"/>
          <w:bCs/>
          <w:color w:val="auto"/>
          <w:sz w:val="24"/>
          <w:szCs w:val="24"/>
          <w:lang w:eastAsia="zh-CN"/>
        </w:rPr>
        <w:t>其他</w:t>
      </w:r>
      <w:r>
        <w:rPr>
          <w:rFonts w:hint="eastAsia" w:ascii="宋体" w:hAnsi="宋体" w:eastAsia="宋体" w:cs="宋体"/>
          <w:bCs/>
          <w:color w:val="auto"/>
          <w:sz w:val="24"/>
          <w:szCs w:val="24"/>
        </w:rPr>
        <w:t>责任。</w:t>
      </w:r>
    </w:p>
    <w:p w14:paraId="00EFE3CD">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0C04ECB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bookmarkStart w:id="28" w:name="_Toc26448"/>
      <w:r>
        <w:rPr>
          <w:rFonts w:hint="eastAsia" w:ascii="宋体" w:hAnsi="宋体" w:eastAsia="宋体" w:cs="宋体"/>
          <w:bCs/>
          <w:color w:val="auto"/>
          <w:sz w:val="24"/>
          <w:szCs w:val="24"/>
          <w:lang w:val="en-US" w:eastAsia="zh-CN"/>
        </w:rPr>
        <w:t>由于一方的过错造成本合同不能履行或不能完全履行时，由过错方承担下列违约责任:</w:t>
      </w:r>
    </w:p>
    <w:p w14:paraId="144D5AA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1.继续履行合同。</w:t>
      </w:r>
    </w:p>
    <w:p w14:paraId="5CF599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2.向守约方支付违约金，违约金的支付方法为:</w:t>
      </w:r>
    </w:p>
    <w:p w14:paraId="51641F9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(1)乙方逾期完成工作成果的，每逾期一日，乙方向甲方支付违约金1000元，逾期超过30日，甲方有权解除合同，乙方应一次性向甲方支付合同总价款20%违约金，违约金不足以弥补甲方损失的，乙方应予以补足。</w:t>
      </w:r>
    </w:p>
    <w:p w14:paraId="61066F9D">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(2)甲方逾期付款的，乙方应予以书面催告，甲方在接到乙方书面催告之日起15日内仍未付款的，自催告期满，按日向乙方支付应付未付价款的千分之一的违约金。3、违约造成对方损失的，应赔偿守约方的损失</w:t>
      </w:r>
    </w:p>
    <w:p w14:paraId="2BF2FF4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r>
        <w:rPr>
          <w:rFonts w:hint="eastAsia" w:ascii="宋体" w:hAnsi="宋体" w:eastAsia="宋体" w:cs="宋体"/>
          <w:b/>
          <w:sz w:val="24"/>
          <w:szCs w:val="24"/>
        </w:rPr>
        <w:t>第十一条  不可抗力事件处理</w:t>
      </w:r>
      <w:bookmarkEnd w:id="28"/>
    </w:p>
    <w:p w14:paraId="196CDF8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bookmarkStart w:id="29" w:name="_Toc211911353"/>
      <w:bookmarkStart w:id="30" w:name="_Toc225244857"/>
      <w:bookmarkStart w:id="31" w:name="_Toc286993792"/>
      <w:bookmarkStart w:id="32" w:name="_Toc247334846"/>
      <w:bookmarkStart w:id="33" w:name="_Toc211854454"/>
      <w:bookmarkStart w:id="34" w:name="_Toc212019599"/>
      <w:bookmarkStart w:id="35" w:name="_Toc241833908"/>
      <w:bookmarkStart w:id="36" w:name="_Toc225654649"/>
      <w:bookmarkStart w:id="37" w:name="_Toc239233919"/>
      <w:bookmarkStart w:id="38" w:name="_Toc239568423"/>
      <w:bookmarkStart w:id="39" w:name="_Toc225670756"/>
      <w:bookmarkStart w:id="40" w:name="_Toc185395254"/>
      <w:bookmarkStart w:id="41" w:name="_Toc237145411"/>
      <w:bookmarkStart w:id="42" w:name="_Toc251768867"/>
      <w:bookmarkStart w:id="43" w:name="_Toc232492933"/>
      <w:bookmarkStart w:id="44" w:name="_Toc238984980"/>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2B07A66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56017948">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天以上，双方应通过友好协商，确定是否继续履行合同。</w:t>
      </w:r>
    </w:p>
    <w:p w14:paraId="786910F6">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kern w:val="0"/>
          <w:sz w:val="24"/>
          <w:szCs w:val="24"/>
        </w:rPr>
      </w:pPr>
      <w:bookmarkStart w:id="45" w:name="_Toc20448"/>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bookmarkEnd w:id="45"/>
    </w:p>
    <w:p w14:paraId="34969DEA">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2D722CCF">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6" w:name="_Toc32004"/>
      <w:r>
        <w:rPr>
          <w:rFonts w:hint="eastAsia" w:ascii="宋体" w:hAnsi="宋体" w:eastAsia="宋体" w:cs="宋体"/>
          <w:b/>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E271BA4">
      <w:pPr>
        <w:pStyle w:val="24"/>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2</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种方式解决争议：</w:t>
      </w:r>
    </w:p>
    <w:p w14:paraId="131BE6A8">
      <w:pPr>
        <w:pStyle w:val="24"/>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553F0E5E">
      <w:pPr>
        <w:pStyle w:val="24"/>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eastAsia="zh-CN"/>
        </w:rPr>
        <w:t>西安</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仲裁委员会按其仲裁规则申请仲裁。</w:t>
      </w:r>
    </w:p>
    <w:p w14:paraId="6EEE5A6F">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35D5A2C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7" w:name="_Toc211854455"/>
      <w:bookmarkStart w:id="48" w:name="_Toc238984981"/>
      <w:bookmarkStart w:id="49" w:name="_Toc225244858"/>
      <w:bookmarkStart w:id="50" w:name="_Toc283019219"/>
      <w:bookmarkStart w:id="51" w:name="_Toc247334847"/>
      <w:bookmarkStart w:id="52" w:name="_Toc251768868"/>
      <w:bookmarkStart w:id="53" w:name="_Toc225654650"/>
      <w:bookmarkStart w:id="54" w:name="_Toc232492934"/>
      <w:bookmarkStart w:id="55" w:name="_Toc239233920"/>
      <w:bookmarkStart w:id="56" w:name="_Toc211911354"/>
      <w:bookmarkStart w:id="57" w:name="_Toc286993793"/>
      <w:bookmarkStart w:id="58" w:name="_Toc282696231"/>
      <w:bookmarkStart w:id="59" w:name="_Toc225670757"/>
      <w:bookmarkStart w:id="60" w:name="_Toc237145412"/>
      <w:bookmarkStart w:id="61" w:name="_Toc241833909"/>
      <w:bookmarkStart w:id="62" w:name="_Toc212019600"/>
      <w:bookmarkStart w:id="63" w:name="_Toc185395255"/>
      <w:bookmarkStart w:id="64" w:name="_Toc239568424"/>
      <w:bookmarkStart w:id="65" w:name="_Toc28433"/>
      <w:r>
        <w:rPr>
          <w:rFonts w:hint="eastAsia" w:ascii="宋体" w:hAnsi="宋体" w:eastAsia="宋体" w:cs="宋体"/>
          <w:b/>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sz w:val="24"/>
          <w:szCs w:val="24"/>
        </w:rPr>
        <w:t>生效及其他</w:t>
      </w:r>
      <w:bookmarkEnd w:id="65"/>
    </w:p>
    <w:p w14:paraId="10EE08AC">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77B73996">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w:t>
      </w:r>
      <w:r>
        <w:rPr>
          <w:rFonts w:hint="eastAsia" w:ascii="宋体" w:hAnsi="宋体" w:eastAsia="宋体" w:cs="宋体"/>
          <w:sz w:val="24"/>
          <w:szCs w:val="24"/>
          <w:lang w:eastAsia="zh-CN"/>
        </w:rPr>
        <w:t>订</w:t>
      </w:r>
      <w:r>
        <w:rPr>
          <w:rFonts w:hint="eastAsia" w:ascii="宋体" w:hAnsi="宋体" w:eastAsia="宋体" w:cs="宋体"/>
          <w:sz w:val="24"/>
          <w:szCs w:val="24"/>
        </w:rPr>
        <w:t>书面补充协议报政府采购监督管理部门备案，方可作为主合同不可分割的一部分。</w:t>
      </w:r>
    </w:p>
    <w:p w14:paraId="4A2096E4">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w:t>
      </w:r>
      <w:r>
        <w:rPr>
          <w:rFonts w:hint="eastAsia" w:ascii="宋体" w:hAnsi="宋体" w:eastAsia="宋体" w:cs="宋体"/>
          <w:sz w:val="24"/>
          <w:szCs w:val="24"/>
          <w:highlight w:val="none"/>
          <w:lang w:eastAsia="zh-CN"/>
        </w:rPr>
        <w:t>生</w:t>
      </w:r>
      <w:r>
        <w:rPr>
          <w:rFonts w:hint="eastAsia" w:ascii="宋体" w:hAnsi="宋体" w:eastAsia="宋体" w:cs="宋体"/>
          <w:sz w:val="24"/>
          <w:szCs w:val="24"/>
          <w:highlight w:val="none"/>
        </w:rPr>
        <w:t>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6F2F664F">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6C3AA64E">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项目采购文件</w:t>
      </w:r>
      <w:r>
        <w:rPr>
          <w:rFonts w:hint="eastAsia" w:ascii="宋体" w:hAnsi="宋体" w:eastAsia="宋体" w:cs="宋体"/>
          <w:sz w:val="24"/>
          <w:szCs w:val="24"/>
          <w:highlight w:val="none"/>
          <w:lang w:eastAsia="zh-CN"/>
        </w:rPr>
        <w:t>；</w:t>
      </w:r>
    </w:p>
    <w:p w14:paraId="2A0F03FE">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、项目响应文件</w:t>
      </w:r>
      <w:r>
        <w:rPr>
          <w:rFonts w:hint="eastAsia" w:ascii="宋体" w:hAnsi="宋体" w:eastAsia="宋体" w:cs="宋体"/>
          <w:sz w:val="24"/>
          <w:szCs w:val="24"/>
          <w:highlight w:val="none"/>
          <w:lang w:eastAsia="zh-CN"/>
        </w:rPr>
        <w:t>；</w:t>
      </w:r>
    </w:p>
    <w:p w14:paraId="6F90D5BF">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、成交通知书</w:t>
      </w:r>
      <w:r>
        <w:rPr>
          <w:rFonts w:hint="eastAsia" w:ascii="宋体" w:hAnsi="宋体" w:eastAsia="宋体" w:cs="宋体"/>
          <w:sz w:val="24"/>
          <w:szCs w:val="24"/>
          <w:highlight w:val="none"/>
          <w:lang w:eastAsia="zh-CN"/>
        </w:rPr>
        <w:t>；</w:t>
      </w:r>
    </w:p>
    <w:p w14:paraId="4D7B673D">
      <w:pPr>
        <w:pStyle w:val="25"/>
        <w:keepNext w:val="0"/>
        <w:keepLines w:val="0"/>
        <w:pageBreakBefore w:val="0"/>
        <w:kinsoku/>
        <w:wordWrap/>
        <w:overflowPunct/>
        <w:topLinePunct w:val="0"/>
        <w:autoSpaceDE/>
        <w:autoSpaceDN/>
        <w:bidi w:val="0"/>
        <w:spacing w:line="360" w:lineRule="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4、附件（</w:t>
      </w:r>
      <w:r>
        <w:rPr>
          <w:rFonts w:hint="eastAsia" w:ascii="宋体" w:hAnsi="宋体" w:eastAsia="宋体" w:cs="宋体"/>
          <w:b/>
          <w:bCs/>
          <w:color w:val="FF0000"/>
          <w:kern w:val="0"/>
          <w:sz w:val="21"/>
          <w:szCs w:val="21"/>
          <w:highlight w:val="none"/>
          <w:lang w:val="en-US" w:eastAsia="zh-CN" w:bidi="ar"/>
        </w:rPr>
        <w:t>1.</w:t>
      </w:r>
      <w:r>
        <w:rPr>
          <w:rFonts w:hint="eastAsia" w:ascii="宋体" w:hAnsi="宋体" w:eastAsia="宋体" w:cs="宋体"/>
          <w:b/>
          <w:bCs/>
          <w:color w:val="FF0000"/>
          <w:sz w:val="21"/>
          <w:szCs w:val="21"/>
          <w:lang w:eastAsia="zh-CN"/>
        </w:rPr>
        <w:t>财务状况报告；</w:t>
      </w:r>
      <w:r>
        <w:rPr>
          <w:rFonts w:hint="eastAsia" w:ascii="宋体" w:hAnsi="宋体" w:eastAsia="宋体" w:cs="宋体"/>
          <w:b/>
          <w:bCs/>
          <w:color w:val="FF0000"/>
          <w:sz w:val="21"/>
          <w:szCs w:val="21"/>
          <w:lang w:val="en-US" w:eastAsia="zh-CN"/>
        </w:rPr>
        <w:t>2.</w:t>
      </w:r>
      <w:r>
        <w:rPr>
          <w:rFonts w:hint="eastAsia" w:ascii="宋体" w:hAnsi="宋体" w:eastAsia="宋体" w:cs="宋体"/>
          <w:b/>
          <w:bCs/>
          <w:color w:val="FF0000"/>
          <w:sz w:val="21"/>
          <w:szCs w:val="21"/>
          <w:lang w:eastAsia="zh-CN"/>
        </w:rPr>
        <w:t>税收缴纳证明；</w:t>
      </w:r>
      <w:r>
        <w:rPr>
          <w:rFonts w:hint="eastAsia" w:ascii="宋体" w:hAnsi="宋体" w:eastAsia="宋体" w:cs="宋体"/>
          <w:b/>
          <w:bCs/>
          <w:color w:val="FF0000"/>
          <w:sz w:val="21"/>
          <w:szCs w:val="21"/>
          <w:lang w:val="en-US" w:eastAsia="zh-CN"/>
        </w:rPr>
        <w:t>3.</w:t>
      </w:r>
      <w:r>
        <w:rPr>
          <w:rFonts w:hint="default" w:ascii="Times New Roman" w:hAnsi="Times New Roman" w:eastAsia="宋体" w:cs="Times New Roman"/>
          <w:b/>
          <w:bCs/>
          <w:color w:val="FF0000"/>
          <w:sz w:val="21"/>
          <w:szCs w:val="21"/>
          <w:highlight w:val="none"/>
        </w:rPr>
        <w:t>社保资金缴纳证明</w:t>
      </w:r>
      <w:r>
        <w:rPr>
          <w:rFonts w:hint="eastAsia" w:ascii="Times New Roman" w:hAnsi="Times New Roman" w:eastAsia="宋体" w:cs="Times New Roman"/>
          <w:b/>
          <w:bCs/>
          <w:color w:val="FF0000"/>
          <w:sz w:val="21"/>
          <w:szCs w:val="21"/>
          <w:highlight w:val="none"/>
          <w:lang w:eastAsia="zh-CN"/>
        </w:rPr>
        <w:t>；</w:t>
      </w:r>
      <w:r>
        <w:rPr>
          <w:rFonts w:hint="eastAsia" w:ascii="Times New Roman" w:hAnsi="Times New Roman" w:eastAsia="宋体" w:cs="Times New Roman"/>
          <w:b/>
          <w:bCs/>
          <w:color w:val="FF0000"/>
          <w:sz w:val="21"/>
          <w:szCs w:val="21"/>
          <w:highlight w:val="none"/>
          <w:lang w:val="en-US" w:eastAsia="zh-CN"/>
        </w:rPr>
        <w:t>4.被授权代表的身份证复印件以及2025年1月至今任意时段在本单位注册的已缴纳的社会保障资金缴存单据或社保机构开具的社会保险参保缴费情况证明</w:t>
      </w:r>
      <w:r>
        <w:rPr>
          <w:rFonts w:hint="eastAsia" w:ascii="宋体" w:hAnsi="宋体" w:eastAsia="宋体" w:cs="宋体"/>
          <w:sz w:val="24"/>
          <w:szCs w:val="24"/>
          <w:highlight w:val="none"/>
          <w:lang w:val="en-US" w:eastAsia="zh-CN"/>
        </w:rPr>
        <w:t>）。</w:t>
      </w:r>
    </w:p>
    <w:p w14:paraId="6E519CB6">
      <w:pPr>
        <w:pStyle w:val="25"/>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、其他</w:t>
      </w:r>
      <w:r>
        <w:rPr>
          <w:rFonts w:hint="eastAsia" w:ascii="宋体" w:hAnsi="宋体" w:eastAsia="宋体" w:cs="宋体"/>
          <w:sz w:val="24"/>
          <w:szCs w:val="24"/>
          <w:highlight w:val="none"/>
          <w:lang w:eastAsia="zh-CN"/>
        </w:rPr>
        <w:t>。</w:t>
      </w:r>
    </w:p>
    <w:p w14:paraId="5FD38E84">
      <w:pPr>
        <w:rPr>
          <w:rFonts w:hint="eastAsia" w:ascii="宋体" w:hAnsi="宋体" w:eastAsia="宋体" w:cs="宋体"/>
          <w:sz w:val="24"/>
          <w:szCs w:val="24"/>
        </w:rPr>
      </w:pPr>
      <w:r>
        <w:rPr>
          <w:rFonts w:hint="eastAsia" w:ascii="宋体" w:hAnsi="宋体" w:eastAsia="宋体" w:cs="宋体"/>
          <w:sz w:val="24"/>
          <w:szCs w:val="24"/>
        </w:rPr>
        <w:br w:type="page"/>
      </w:r>
    </w:p>
    <w:p w14:paraId="7225274C">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此页无正文</w:t>
      </w:r>
      <w:r>
        <w:rPr>
          <w:rFonts w:hint="eastAsia" w:ascii="宋体" w:hAnsi="宋体" w:cs="宋体"/>
          <w:sz w:val="24"/>
          <w:szCs w:val="24"/>
          <w:lang w:eastAsia="zh-CN"/>
        </w:rPr>
        <w:t>）</w:t>
      </w:r>
    </w:p>
    <w:p w14:paraId="50B9DDA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乙方：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（盖章）</w:t>
      </w:r>
    </w:p>
    <w:p w14:paraId="6B37FA8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法定代表人：（单位负责人）</w:t>
      </w:r>
    </w:p>
    <w:p w14:paraId="367C39D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41841D5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17D6B991">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14:paraId="6A5E4A59">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4E05C3F6">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    真：                           传    真：</w:t>
      </w:r>
    </w:p>
    <w:p w14:paraId="093F807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p w14:paraId="3C48614D">
      <w:pPr>
        <w:rPr>
          <w:rFonts w:hint="eastAsia" w:ascii="宋体" w:hAnsi="宋体" w:eastAsia="宋体" w:cs="宋体"/>
          <w:sz w:val="24"/>
          <w:szCs w:val="24"/>
        </w:rPr>
      </w:pPr>
      <w:r>
        <w:rPr>
          <w:rFonts w:hint="eastAsia" w:ascii="宋体" w:hAnsi="宋体" w:eastAsia="宋体" w:cs="宋体"/>
          <w:sz w:val="24"/>
          <w:szCs w:val="24"/>
        </w:rPr>
        <w:br w:type="page"/>
      </w:r>
    </w:p>
    <w:p w14:paraId="297C61BF">
      <w:pPr>
        <w:pStyle w:val="10"/>
        <w:adjustRightInd w:val="0"/>
        <w:snapToGrid w:val="0"/>
        <w:spacing w:line="360" w:lineRule="auto"/>
        <w:jc w:val="left"/>
        <w:rPr>
          <w:rFonts w:hint="eastAsia" w:ascii="黑体" w:eastAsia="黑体"/>
          <w:color w:val="auto"/>
          <w:sz w:val="36"/>
          <w:szCs w:val="36"/>
          <w:highlight w:val="none"/>
          <w:lang w:eastAsia="zh-CN"/>
        </w:rPr>
      </w:pPr>
      <w:r>
        <w:rPr>
          <w:rFonts w:hint="eastAsia" w:ascii="黑体" w:eastAsia="黑体"/>
          <w:color w:val="auto"/>
          <w:sz w:val="36"/>
          <w:szCs w:val="36"/>
          <w:highlight w:val="none"/>
          <w:lang w:eastAsia="zh-CN"/>
        </w:rPr>
        <w:t>附件</w:t>
      </w:r>
    </w:p>
    <w:p w14:paraId="55E644EB">
      <w:pPr>
        <w:pStyle w:val="10"/>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t>财务状况报告</w:t>
      </w:r>
    </w:p>
    <w:p w14:paraId="207E2288">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说明：</w:t>
      </w:r>
    </w:p>
    <w:p w14:paraId="46976628">
      <w:pPr>
        <w:pStyle w:val="10"/>
        <w:adjustRightInd w:val="0"/>
        <w:snapToGrid w:val="0"/>
        <w:spacing w:line="360" w:lineRule="auto"/>
        <w:ind w:firstLine="420" w:firstLineChars="200"/>
        <w:rPr>
          <w:rFonts w:hint="eastAsia" w:hAnsi="宋体"/>
          <w:color w:val="auto"/>
          <w:highlight w:val="none"/>
          <w:lang w:eastAsia="zh-CN"/>
        </w:rPr>
      </w:pPr>
      <w:r>
        <w:rPr>
          <w:rFonts w:hint="default" w:ascii="Times New Roman" w:hAnsi="Times New Roman" w:cs="Times New Roman"/>
          <w:color w:val="000000"/>
          <w:szCs w:val="21"/>
        </w:rPr>
        <w:t>提供</w:t>
      </w:r>
      <w:r>
        <w:rPr>
          <w:rFonts w:hint="default" w:ascii="Times New Roman" w:hAnsi="Times New Roman" w:cs="Times New Roman"/>
          <w:color w:val="000000"/>
          <w:szCs w:val="21"/>
          <w:highlight w:val="none"/>
          <w:lang w:eastAsia="zh-CN"/>
        </w:rPr>
        <w:t>202</w:t>
      </w:r>
      <w:r>
        <w:rPr>
          <w:rFonts w:hint="eastAsia" w:ascii="Times New Roman" w:hAnsi="Times New Roman" w:cs="Times New Roman"/>
          <w:color w:val="000000"/>
          <w:szCs w:val="21"/>
          <w:highlight w:val="none"/>
          <w:lang w:val="en-US" w:eastAsia="zh-CN"/>
        </w:rPr>
        <w:t>3</w:t>
      </w:r>
      <w:r>
        <w:rPr>
          <w:rFonts w:hint="default" w:ascii="Times New Roman" w:hAnsi="Times New Roman" w:cs="Times New Roman"/>
          <w:color w:val="000000"/>
          <w:szCs w:val="21"/>
          <w:highlight w:val="none"/>
          <w:lang w:eastAsia="zh-CN"/>
        </w:rPr>
        <w:t>年度或202</w:t>
      </w:r>
      <w:r>
        <w:rPr>
          <w:rFonts w:hint="eastAsia" w:ascii="Times New Roman" w:hAnsi="Times New Roman" w:cs="Times New Roman"/>
          <w:color w:val="000000"/>
          <w:szCs w:val="21"/>
          <w:highlight w:val="none"/>
          <w:lang w:val="en-US" w:eastAsia="zh-CN"/>
        </w:rPr>
        <w:t>4</w:t>
      </w:r>
      <w:r>
        <w:rPr>
          <w:rFonts w:hint="default" w:ascii="Times New Roman" w:hAnsi="Times New Roman" w:cs="Times New Roman"/>
          <w:color w:val="000000"/>
          <w:szCs w:val="21"/>
          <w:highlight w:val="none"/>
          <w:lang w:eastAsia="zh-CN"/>
        </w:rPr>
        <w:t>年度</w:t>
      </w:r>
      <w:r>
        <w:rPr>
          <w:rFonts w:hint="default" w:ascii="Times New Roman" w:hAnsi="Times New Roman" w:cs="Times New Roman"/>
          <w:color w:val="000000"/>
          <w:szCs w:val="21"/>
          <w:highlight w:val="none"/>
        </w:rPr>
        <w:t>经</w:t>
      </w:r>
      <w:r>
        <w:rPr>
          <w:rFonts w:hint="default" w:ascii="Times New Roman" w:hAnsi="Times New Roman" w:cs="Times New Roman"/>
          <w:color w:val="000000"/>
          <w:szCs w:val="21"/>
        </w:rPr>
        <w:t>审计的财务会计报告或其提交响应文件截止时间前3个月内</w:t>
      </w:r>
      <w:r>
        <w:rPr>
          <w:rFonts w:hint="default" w:ascii="Times New Roman" w:hAnsi="Times New Roman" w:cs="Times New Roman"/>
          <w:color w:val="000000"/>
        </w:rPr>
        <w:t>银行出具的资信证明</w:t>
      </w:r>
      <w:r>
        <w:rPr>
          <w:rFonts w:hint="default" w:ascii="Times New Roman" w:hAnsi="Times New Roman" w:cs="Times New Roman"/>
          <w:color w:val="000000"/>
          <w:szCs w:val="21"/>
          <w:lang w:eastAsia="zh-Hans"/>
        </w:rPr>
        <w:t>。</w:t>
      </w:r>
      <w:r>
        <w:rPr>
          <w:rFonts w:hint="eastAsia" w:hAnsi="宋体"/>
          <w:color w:val="auto"/>
          <w:highlight w:val="none"/>
          <w:lang w:eastAsia="zh-CN"/>
        </w:rPr>
        <w:t>（以上两种形式的资料提供任何一种即可）</w:t>
      </w:r>
    </w:p>
    <w:p w14:paraId="62155AE8">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要求：</w:t>
      </w:r>
    </w:p>
    <w:p w14:paraId="163B2B8F">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w:t>
      </w:r>
    </w:p>
    <w:p w14:paraId="05705DA2">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（2）供应商是执行《小企业会计准则》的小微企业的，应提供2023或2024全年度经审计的财务报告，至少包括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w:t>
      </w:r>
    </w:p>
    <w:p w14:paraId="60771B8E">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（3）公益类事业单位无需提供；</w:t>
      </w:r>
    </w:p>
    <w:p w14:paraId="05A24C1A">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（4）部分其他组织和自然人，提供提交响应文件截止时间前3个月内银行出具的资信证明（附账户信息）；</w:t>
      </w:r>
    </w:p>
    <w:p w14:paraId="2A683686">
      <w:pPr>
        <w:rPr>
          <w:rFonts w:hint="eastAsia" w:ascii="Times New Roman" w:hAnsi="Times New Roman" w:eastAsia="Arial" w:cs="Times New Roman"/>
          <w:snapToGrid w:val="0"/>
          <w:color w:val="000000"/>
          <w:kern w:val="0"/>
          <w:sz w:val="21"/>
          <w:szCs w:val="21"/>
          <w:lang w:val="en-US" w:eastAsia="en-US" w:bidi="ar-SA"/>
        </w:rPr>
      </w:pPr>
      <w:r>
        <w:rPr>
          <w:rFonts w:hint="eastAsia" w:ascii="Times New Roman" w:hAnsi="Times New Roman" w:eastAsia="Arial" w:cs="Times New Roman"/>
          <w:snapToGrid w:val="0"/>
          <w:color w:val="000000"/>
          <w:kern w:val="0"/>
          <w:sz w:val="21"/>
          <w:szCs w:val="21"/>
          <w:lang w:val="en-US" w:eastAsia="en-US" w:bidi="ar-SA"/>
        </w:rPr>
        <w:t>（5）供应商成立不到1年（至提交响应文件截止时间）的，提供成立后任意时段的资产负债表，或提交响应文件截止时间前3个月内其基本账户开户银行出具的资信证明（附基本存款账户信息）；</w:t>
      </w:r>
      <w:r>
        <w:rPr>
          <w:rFonts w:hint="eastAsia" w:ascii="Times New Roman" w:hAnsi="Times New Roman" w:eastAsia="Arial" w:cs="Times New Roman"/>
          <w:snapToGrid w:val="0"/>
          <w:color w:val="000000"/>
          <w:kern w:val="0"/>
          <w:sz w:val="21"/>
          <w:szCs w:val="21"/>
          <w:lang w:val="en-US" w:eastAsia="en-US" w:bidi="ar-SA"/>
        </w:rPr>
        <w:br w:type="page"/>
      </w:r>
    </w:p>
    <w:p w14:paraId="7C6ECDAC">
      <w:pPr>
        <w:rPr>
          <w:rFonts w:hint="eastAsia" w:ascii="宋体" w:hAnsi="宋体" w:eastAsia="宋体" w:cs="宋体"/>
          <w:sz w:val="24"/>
          <w:szCs w:val="24"/>
          <w:lang w:val="en-US" w:eastAsia="zh-CN"/>
        </w:rPr>
      </w:pPr>
    </w:p>
    <w:p w14:paraId="3B45F0CA">
      <w:pPr>
        <w:pStyle w:val="10"/>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t>税收缴纳证明</w:t>
      </w:r>
    </w:p>
    <w:p w14:paraId="4014CBDC">
      <w:pPr>
        <w:pStyle w:val="10"/>
        <w:adjustRightInd w:val="0"/>
        <w:snapToGrid w:val="0"/>
        <w:spacing w:line="360" w:lineRule="auto"/>
        <w:jc w:val="left"/>
        <w:rPr>
          <w:rFonts w:hint="eastAsia"/>
          <w:color w:val="auto"/>
          <w:sz w:val="24"/>
          <w:szCs w:val="24"/>
          <w:highlight w:val="none"/>
        </w:rPr>
      </w:pPr>
    </w:p>
    <w:p w14:paraId="48BDB080">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rPr>
        <w:t>说明</w:t>
      </w:r>
      <w:r>
        <w:rPr>
          <w:rFonts w:hint="eastAsia" w:hAnsi="宋体"/>
          <w:b/>
          <w:bCs/>
          <w:color w:val="auto"/>
          <w:highlight w:val="none"/>
          <w:lang w:eastAsia="zh-CN"/>
        </w:rPr>
        <w:t>：</w:t>
      </w:r>
    </w:p>
    <w:p w14:paraId="2E03E4FF">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（1）提供供应商202</w:t>
      </w:r>
      <w:r>
        <w:rPr>
          <w:rFonts w:hint="eastAsia" w:hAnsi="宋体"/>
          <w:color w:val="auto"/>
          <w:highlight w:val="none"/>
          <w:lang w:val="en-US" w:eastAsia="zh-CN"/>
        </w:rPr>
        <w:t>5</w:t>
      </w:r>
      <w:r>
        <w:rPr>
          <w:rFonts w:hint="eastAsia" w:hAnsi="宋体"/>
          <w:color w:val="auto"/>
          <w:highlight w:val="none"/>
          <w:lang w:eastAsia="zh-CN"/>
        </w:rPr>
        <w:t>年1月至今任意时段已缴纳完税凭证或税务机关开具的完税证明（除个人所得税的任意税种；依法免税的应提供相关文件证明；</w:t>
      </w:r>
    </w:p>
    <w:p w14:paraId="25410DA0">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（2）依法免税的应提供相关文件证明；</w:t>
      </w:r>
    </w:p>
    <w:p w14:paraId="707CED56">
      <w:pPr>
        <w:pStyle w:val="10"/>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要求：</w:t>
      </w:r>
    </w:p>
    <w:p w14:paraId="73BE841F">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（1）公益类事业单位无需提供；</w:t>
      </w:r>
    </w:p>
    <w:p w14:paraId="4941F683">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（2）新成立（成立时间至递交响应文件截止时间不足一年）未发生缴纳税收事项的供应商，</w:t>
      </w:r>
      <w:r>
        <w:rPr>
          <w:rFonts w:hint="eastAsia" w:hAnsi="宋体"/>
          <w:color w:val="auto"/>
          <w:highlight w:val="none"/>
        </w:rPr>
        <w:t>应提供依法缴纳税收书面承诺</w:t>
      </w:r>
      <w:r>
        <w:rPr>
          <w:rFonts w:hint="eastAsia" w:hAnsi="宋体"/>
          <w:color w:val="auto"/>
          <w:highlight w:val="none"/>
          <w:lang w:eastAsia="zh-CN"/>
        </w:rPr>
        <w:t>；</w:t>
      </w:r>
    </w:p>
    <w:p w14:paraId="0EAC448E">
      <w:pPr>
        <w:pStyle w:val="10"/>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（3）其他组织和自然人需提供缴纳税收的凭据；</w:t>
      </w:r>
    </w:p>
    <w:p w14:paraId="6C847E64">
      <w:pPr>
        <w:rPr>
          <w:rFonts w:hint="eastAsia" w:hAnsi="宋体"/>
          <w:color w:val="auto"/>
          <w:highlight w:val="none"/>
        </w:rPr>
      </w:pPr>
      <w:r>
        <w:rPr>
          <w:rFonts w:hint="eastAsia" w:hAnsi="宋体"/>
          <w:color w:val="auto"/>
          <w:highlight w:val="none"/>
        </w:rPr>
        <w:br w:type="page"/>
      </w:r>
    </w:p>
    <w:p w14:paraId="403CCB37">
      <w:pPr>
        <w:spacing w:before="240" w:beforeLines="100"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依法缴纳税收承诺书</w:t>
      </w:r>
    </w:p>
    <w:p w14:paraId="7B915FE2">
      <w:pPr>
        <w:pStyle w:val="4"/>
        <w:spacing w:before="720" w:beforeLines="300" w:after="120" w:afterLines="50" w:line="360" w:lineRule="auto"/>
        <w:ind w:firstLine="0"/>
        <w:rPr>
          <w:rFonts w:ascii="宋体" w:hAnsi="宋体"/>
          <w:color w:val="auto"/>
          <w:szCs w:val="21"/>
          <w:highlight w:val="none"/>
        </w:rPr>
      </w:pPr>
      <w:r>
        <w:rPr>
          <w:rFonts w:hint="eastAsia" w:ascii="宋体" w:hAnsi="宋体"/>
          <w:color w:val="auto"/>
          <w:szCs w:val="21"/>
          <w:highlight w:val="none"/>
          <w:lang w:eastAsia="zh-CN"/>
        </w:rPr>
        <w:t>陕西隆信项目管理有限公司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04E6D42F">
      <w:pPr>
        <w:pStyle w:val="4"/>
        <w:spacing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0F3553F9">
      <w:pPr>
        <w:pStyle w:val="4"/>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我方承诺将依法缴纳税收，并符合《中华人民共和国政府采购法》及其实施条例和采购文件资格要求的规定。</w:t>
      </w:r>
    </w:p>
    <w:p w14:paraId="1E7B28B1">
      <w:pPr>
        <w:pStyle w:val="4"/>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511A2FDF">
      <w:pPr>
        <w:pStyle w:val="4"/>
        <w:spacing w:line="360" w:lineRule="auto"/>
        <w:ind w:firstLine="573"/>
        <w:rPr>
          <w:rFonts w:ascii="宋体" w:hAnsi="宋体"/>
          <w:color w:val="auto"/>
          <w:szCs w:val="21"/>
          <w:highlight w:val="none"/>
        </w:rPr>
      </w:pPr>
    </w:p>
    <w:p w14:paraId="57CB1A52">
      <w:pPr>
        <w:pStyle w:val="4"/>
        <w:spacing w:line="360" w:lineRule="auto"/>
        <w:ind w:firstLine="573"/>
        <w:rPr>
          <w:rFonts w:ascii="宋体" w:hAnsi="宋体"/>
          <w:color w:val="auto"/>
          <w:szCs w:val="21"/>
          <w:highlight w:val="none"/>
        </w:rPr>
      </w:pPr>
    </w:p>
    <w:p w14:paraId="70137FDD">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5C057C41">
      <w:pPr>
        <w:pStyle w:val="4"/>
        <w:spacing w:line="360" w:lineRule="auto"/>
        <w:ind w:firstLine="573"/>
        <w:rPr>
          <w:rFonts w:hint="eastAsia" w:ascii="宋体" w:hAnsi="宋体"/>
          <w:color w:val="auto"/>
          <w:szCs w:val="21"/>
          <w:highlight w:val="none"/>
        </w:rPr>
      </w:pPr>
    </w:p>
    <w:p w14:paraId="0AC4BA83">
      <w:pPr>
        <w:pStyle w:val="4"/>
        <w:spacing w:line="360" w:lineRule="auto"/>
        <w:ind w:firstLine="573"/>
        <w:rPr>
          <w:rFonts w:hint="eastAsia" w:ascii="宋体" w:hAnsi="宋体"/>
          <w:color w:val="auto"/>
          <w:szCs w:val="21"/>
          <w:highlight w:val="none"/>
        </w:rPr>
      </w:pPr>
    </w:p>
    <w:p w14:paraId="759A6E1D">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olor w:val="auto"/>
          <w:szCs w:val="21"/>
          <w:highlight w:val="none"/>
          <w:lang w:val="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4D56EC27">
      <w:pPr>
        <w:pStyle w:val="4"/>
        <w:spacing w:line="360" w:lineRule="auto"/>
        <w:ind w:firstLine="573"/>
        <w:rPr>
          <w:rFonts w:hint="eastAsia" w:ascii="宋体" w:hAnsi="宋体"/>
          <w:color w:val="auto"/>
          <w:szCs w:val="21"/>
          <w:highlight w:val="none"/>
        </w:rPr>
      </w:pPr>
    </w:p>
    <w:p w14:paraId="1B050794">
      <w:pPr>
        <w:pStyle w:val="4"/>
        <w:spacing w:line="360" w:lineRule="auto"/>
        <w:ind w:firstLine="573"/>
        <w:rPr>
          <w:rFonts w:hint="eastAsia" w:ascii="宋体" w:hAnsi="宋体"/>
          <w:color w:val="auto"/>
          <w:szCs w:val="21"/>
          <w:highlight w:val="none"/>
        </w:rPr>
      </w:pPr>
    </w:p>
    <w:p w14:paraId="411A7449">
      <w:pPr>
        <w:pStyle w:val="4"/>
        <w:spacing w:line="360" w:lineRule="auto"/>
        <w:ind w:firstLine="573"/>
        <w:rPr>
          <w:rFonts w:hint="eastAsia"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71E8495">
      <w:pPr>
        <w:rPr>
          <w:rFonts w:hint="eastAsia" w:ascii="宋体" w:hAnsi="宋体"/>
          <w:color w:val="auto"/>
          <w:szCs w:val="21"/>
          <w:highlight w:val="none"/>
        </w:rPr>
      </w:pPr>
      <w:r>
        <w:rPr>
          <w:rFonts w:hint="eastAsia" w:ascii="宋体" w:hAnsi="宋体"/>
          <w:color w:val="auto"/>
          <w:szCs w:val="21"/>
          <w:highlight w:val="none"/>
        </w:rPr>
        <w:br w:type="page"/>
      </w:r>
    </w:p>
    <w:p w14:paraId="0DF5E1AC">
      <w:pPr>
        <w:rPr>
          <w:rFonts w:hint="eastAsia" w:eastAsia="宋体"/>
          <w:lang w:val="en-US" w:eastAsia="zh-CN"/>
        </w:rPr>
      </w:pPr>
    </w:p>
    <w:p w14:paraId="0561F762">
      <w:pPr>
        <w:pStyle w:val="10"/>
        <w:adjustRightInd w:val="0"/>
        <w:snapToGrid w:val="0"/>
        <w:spacing w:line="360" w:lineRule="auto"/>
        <w:jc w:val="center"/>
        <w:rPr>
          <w:rFonts w:hint="eastAsia" w:ascii="黑体" w:hAnsi="宋体" w:eastAsia="黑体"/>
          <w:color w:val="auto"/>
          <w:sz w:val="36"/>
          <w:szCs w:val="36"/>
          <w:highlight w:val="none"/>
        </w:rPr>
      </w:pPr>
      <w:r>
        <w:rPr>
          <w:rFonts w:hint="eastAsia" w:ascii="黑体" w:eastAsia="黑体"/>
          <w:color w:val="auto"/>
          <w:sz w:val="36"/>
          <w:szCs w:val="36"/>
          <w:highlight w:val="none"/>
          <w:lang w:eastAsia="zh-CN"/>
        </w:rPr>
        <w:t>社会保障资金缴纳证明</w:t>
      </w:r>
    </w:p>
    <w:p w14:paraId="5E0908C7">
      <w:pPr>
        <w:pStyle w:val="10"/>
        <w:adjustRightInd w:val="0"/>
        <w:snapToGrid w:val="0"/>
        <w:spacing w:line="360" w:lineRule="auto"/>
        <w:jc w:val="left"/>
        <w:rPr>
          <w:rFonts w:hint="eastAsia" w:hAnsi="宋体"/>
          <w:color w:val="auto"/>
          <w:sz w:val="24"/>
          <w:szCs w:val="24"/>
          <w:highlight w:val="none"/>
        </w:rPr>
      </w:pPr>
    </w:p>
    <w:p w14:paraId="2D9A07A9">
      <w:pPr>
        <w:pStyle w:val="10"/>
        <w:adjustRightInd w:val="0"/>
        <w:snapToGrid w:val="0"/>
        <w:spacing w:line="360" w:lineRule="auto"/>
        <w:ind w:firstLine="482"/>
        <w:rPr>
          <w:rFonts w:hint="eastAsia" w:hAnsi="宋体"/>
          <w:b/>
          <w:bCs/>
          <w:color w:val="auto"/>
          <w:highlight w:val="none"/>
        </w:rPr>
      </w:pPr>
      <w:r>
        <w:rPr>
          <w:rFonts w:hint="eastAsia" w:hAnsi="宋体"/>
          <w:b/>
          <w:bCs/>
          <w:color w:val="auto"/>
          <w:highlight w:val="none"/>
        </w:rPr>
        <w:t>说明：</w:t>
      </w:r>
    </w:p>
    <w:p w14:paraId="69B525B6">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（1）提供供应商202</w:t>
      </w:r>
      <w:r>
        <w:rPr>
          <w:rFonts w:hint="eastAsia" w:hAnsi="宋体"/>
          <w:color w:val="auto"/>
          <w:highlight w:val="none"/>
          <w:lang w:val="en-US" w:eastAsia="zh-CN"/>
        </w:rPr>
        <w:t>5</w:t>
      </w:r>
      <w:r>
        <w:rPr>
          <w:rFonts w:hint="eastAsia" w:hAnsi="宋体"/>
          <w:color w:val="auto"/>
          <w:highlight w:val="none"/>
          <w:lang w:eastAsia="zh-CN"/>
        </w:rPr>
        <w:t>年1月至今已缴存的任意时段的社会保障资金缴存单据或社保机构开具的社会保险参保缴费情况证明；</w:t>
      </w:r>
    </w:p>
    <w:p w14:paraId="538DA39B">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（2）依法不需要缴纳社会保障资金的应提供相关文件证明；</w:t>
      </w:r>
    </w:p>
    <w:p w14:paraId="0BF2A54C">
      <w:pPr>
        <w:pStyle w:val="10"/>
        <w:adjustRightInd w:val="0"/>
        <w:snapToGrid w:val="0"/>
        <w:spacing w:line="360" w:lineRule="auto"/>
        <w:ind w:firstLine="482"/>
        <w:rPr>
          <w:rFonts w:hint="eastAsia" w:hAnsi="宋体"/>
          <w:b/>
          <w:bCs/>
          <w:color w:val="auto"/>
          <w:highlight w:val="none"/>
          <w:lang w:eastAsia="zh-CN"/>
        </w:rPr>
      </w:pPr>
      <w:r>
        <w:rPr>
          <w:rFonts w:hint="eastAsia" w:hAnsi="宋体"/>
          <w:b/>
          <w:bCs/>
          <w:color w:val="auto"/>
          <w:highlight w:val="none"/>
          <w:lang w:eastAsia="zh-CN"/>
        </w:rPr>
        <w:t>要求：</w:t>
      </w:r>
    </w:p>
    <w:p w14:paraId="0B231702">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（1）公益类事业单位无需提供；</w:t>
      </w:r>
    </w:p>
    <w:p w14:paraId="7A2CC12D">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（2）新成立（成立时间至递交响应文件截止时间不足一年）未发生缴纳社保资金事项的供应商，</w:t>
      </w:r>
      <w:r>
        <w:rPr>
          <w:rFonts w:hint="eastAsia" w:hAnsi="宋体"/>
          <w:color w:val="auto"/>
          <w:highlight w:val="none"/>
        </w:rPr>
        <w:t>应提供缴纳社保资金的书面承诺</w:t>
      </w:r>
      <w:r>
        <w:rPr>
          <w:rFonts w:hint="eastAsia" w:hAnsi="宋体"/>
          <w:color w:val="auto"/>
          <w:highlight w:val="none"/>
          <w:lang w:eastAsia="zh-CN"/>
        </w:rPr>
        <w:t>；</w:t>
      </w:r>
    </w:p>
    <w:p w14:paraId="73620966">
      <w:pPr>
        <w:pStyle w:val="10"/>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（3）其他组织和自然人需提供缴纳社会保险的凭据；</w:t>
      </w:r>
    </w:p>
    <w:p w14:paraId="2500C416">
      <w:pPr>
        <w:rPr>
          <w:rFonts w:hint="eastAsia"/>
        </w:rPr>
      </w:pPr>
      <w:r>
        <w:rPr>
          <w:rFonts w:hint="eastAsia"/>
        </w:rPr>
        <w:br w:type="page"/>
      </w:r>
    </w:p>
    <w:p w14:paraId="74FDADDA">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依法缴纳社会保障资金承诺书</w:t>
      </w:r>
    </w:p>
    <w:p w14:paraId="3137AAD6">
      <w:pPr>
        <w:pStyle w:val="4"/>
        <w:spacing w:before="600" w:beforeLines="250" w:line="360" w:lineRule="auto"/>
        <w:ind w:firstLine="0"/>
        <w:rPr>
          <w:rFonts w:ascii="宋体" w:hAnsi="宋体"/>
          <w:color w:val="auto"/>
          <w:szCs w:val="21"/>
          <w:highlight w:val="none"/>
        </w:rPr>
      </w:pPr>
      <w:r>
        <w:rPr>
          <w:rFonts w:hint="eastAsia" w:ascii="宋体" w:hAnsi="宋体"/>
          <w:color w:val="auto"/>
          <w:szCs w:val="21"/>
          <w:highlight w:val="none"/>
          <w:lang w:eastAsia="zh-CN"/>
        </w:rPr>
        <w:t>陕西隆信项目管理有限公司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1A1315FF">
      <w:pPr>
        <w:pStyle w:val="4"/>
        <w:spacing w:before="120" w:beforeLines="50"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5D3F79C5">
      <w:pPr>
        <w:pStyle w:val="4"/>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我方承诺将依法缴纳社会保障资金，并符合《中华人民共和国政府采购法》及其实施条例和采购文件资格要求的规定。</w:t>
      </w:r>
    </w:p>
    <w:p w14:paraId="62612924">
      <w:pPr>
        <w:pStyle w:val="4"/>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3BE7C42C">
      <w:pPr>
        <w:pStyle w:val="4"/>
        <w:spacing w:line="360" w:lineRule="auto"/>
        <w:ind w:firstLine="573"/>
        <w:rPr>
          <w:rFonts w:ascii="宋体" w:hAnsi="宋体"/>
          <w:color w:val="auto"/>
          <w:szCs w:val="21"/>
          <w:highlight w:val="none"/>
        </w:rPr>
      </w:pPr>
    </w:p>
    <w:p w14:paraId="7203DC1E">
      <w:pPr>
        <w:pStyle w:val="4"/>
        <w:spacing w:line="360" w:lineRule="auto"/>
        <w:ind w:firstLine="573"/>
        <w:rPr>
          <w:rFonts w:ascii="宋体" w:hAnsi="宋体"/>
          <w:color w:val="auto"/>
          <w:szCs w:val="21"/>
          <w:highlight w:val="none"/>
        </w:rPr>
      </w:pPr>
    </w:p>
    <w:p w14:paraId="29D9B198">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1AFD62F3">
      <w:pPr>
        <w:pStyle w:val="4"/>
        <w:spacing w:line="360" w:lineRule="auto"/>
        <w:ind w:firstLine="573"/>
        <w:rPr>
          <w:rFonts w:hint="eastAsia" w:ascii="宋体" w:hAnsi="宋体"/>
          <w:color w:val="auto"/>
          <w:szCs w:val="21"/>
          <w:highlight w:val="none"/>
        </w:rPr>
      </w:pPr>
    </w:p>
    <w:p w14:paraId="3EE489AA">
      <w:pPr>
        <w:pStyle w:val="4"/>
        <w:spacing w:line="360" w:lineRule="auto"/>
        <w:ind w:firstLine="573"/>
        <w:rPr>
          <w:rFonts w:hint="eastAsia" w:ascii="宋体" w:hAnsi="宋体"/>
          <w:color w:val="auto"/>
          <w:szCs w:val="21"/>
          <w:highlight w:val="none"/>
        </w:rPr>
      </w:pPr>
    </w:p>
    <w:p w14:paraId="21F4F1F9">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olor w:val="auto"/>
          <w:szCs w:val="21"/>
          <w:highlight w:val="none"/>
          <w:lang w:val="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75265E56">
      <w:pPr>
        <w:pStyle w:val="4"/>
        <w:spacing w:line="360" w:lineRule="auto"/>
        <w:ind w:firstLine="573"/>
        <w:rPr>
          <w:rFonts w:hint="eastAsia" w:ascii="宋体" w:hAnsi="宋体"/>
          <w:color w:val="auto"/>
          <w:szCs w:val="21"/>
          <w:highlight w:val="none"/>
        </w:rPr>
      </w:pPr>
    </w:p>
    <w:p w14:paraId="58E07D0D">
      <w:pPr>
        <w:pStyle w:val="4"/>
        <w:spacing w:line="360" w:lineRule="auto"/>
        <w:ind w:firstLine="573"/>
        <w:rPr>
          <w:rFonts w:hint="eastAsia" w:ascii="宋体" w:hAnsi="宋体"/>
          <w:color w:val="auto"/>
          <w:szCs w:val="21"/>
          <w:highlight w:val="none"/>
        </w:rPr>
      </w:pPr>
    </w:p>
    <w:p w14:paraId="582FBB69">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31D37860">
      <w:pPr>
        <w:pStyle w:val="4"/>
        <w:spacing w:line="360" w:lineRule="auto"/>
        <w:ind w:firstLine="573"/>
        <w:rPr>
          <w:rFonts w:hint="eastAsia" w:ascii="宋体" w:hAnsi="宋体"/>
          <w:color w:val="auto"/>
          <w:szCs w:val="21"/>
          <w:highlight w:val="none"/>
        </w:rPr>
      </w:pPr>
    </w:p>
    <w:p w14:paraId="68DCDE4E">
      <w:pPr>
        <w:spacing w:line="360" w:lineRule="auto"/>
        <w:rPr>
          <w:rFonts w:hint="eastAsia" w:ascii="仿宋_GB2312" w:hAnsi="宋体" w:eastAsia="仿宋_GB2312"/>
          <w:color w:val="auto"/>
          <w:sz w:val="28"/>
          <w:szCs w:val="28"/>
          <w:highlight w:val="none"/>
        </w:rPr>
      </w:pPr>
    </w:p>
    <w:p w14:paraId="62F17583">
      <w:pPr>
        <w:rPr>
          <w:rFonts w:hint="eastAsia" w:ascii="宋体" w:hAnsi="宋体" w:eastAsia="宋体" w:cs="宋体"/>
          <w:sz w:val="24"/>
          <w:szCs w:val="24"/>
        </w:rPr>
      </w:pPr>
      <w:r>
        <w:rPr>
          <w:rFonts w:hint="eastAsia" w:ascii="黑体" w:hAnsi="宋体" w:eastAsia="黑体"/>
          <w:color w:val="auto"/>
          <w:sz w:val="36"/>
          <w:szCs w:val="36"/>
          <w:highlight w:val="none"/>
        </w:rPr>
        <w:br w:type="page"/>
      </w:r>
    </w:p>
    <w:p w14:paraId="1E48EF78">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p>
    <w:p w14:paraId="73031642">
      <w:pPr>
        <w:pStyle w:val="4"/>
        <w:spacing w:before="120" w:beforeLines="50"/>
        <w:ind w:left="0" w:leftChars="0" w:firstLine="0" w:firstLineChars="0"/>
        <w:jc w:val="center"/>
        <w:outlineLvl w:val="1"/>
        <w:rPr>
          <w:rFonts w:hint="eastAsia" w:ascii="方正小标宋简体" w:eastAsia="方正小标宋简体"/>
          <w:sz w:val="28"/>
          <w:szCs w:val="28"/>
          <w:lang w:val="en-US" w:eastAsia="zh-CN"/>
        </w:rPr>
      </w:pPr>
      <w:r>
        <w:rPr>
          <w:rFonts w:hint="eastAsia" w:ascii="方正小标宋简体" w:eastAsia="方正小标宋简体"/>
          <w:sz w:val="28"/>
          <w:szCs w:val="28"/>
          <w:lang w:val="en-US" w:eastAsia="zh-CN"/>
        </w:rPr>
        <w:t>被授权代表的身份证复印件以及2025年1月至今任意时段在本单位注册的已缴纳的社会保障资金缴存单据或社保机构开具的社会保险参保缴费情况证明</w:t>
      </w:r>
    </w:p>
    <w:p w14:paraId="7151780D"/>
    <w:p w14:paraId="31E6BDCC">
      <w:pPr>
        <w:pStyle w:val="16"/>
      </w:pPr>
    </w:p>
    <w:p w14:paraId="5DB6531A">
      <w:pPr>
        <w:pStyle w:val="16"/>
      </w:pPr>
    </w:p>
    <w:p w14:paraId="0A2A0150">
      <w:pPr>
        <w:pStyle w:val="16"/>
      </w:pPr>
    </w:p>
    <w:p w14:paraId="5D98A593">
      <w:pPr>
        <w:pStyle w:val="16"/>
      </w:pPr>
    </w:p>
    <w:p w14:paraId="42AFC83F">
      <w:pPr>
        <w:pStyle w:val="16"/>
      </w:pPr>
    </w:p>
    <w:p w14:paraId="4034FBBB">
      <w:pPr>
        <w:pStyle w:val="16"/>
      </w:pPr>
    </w:p>
    <w:p w14:paraId="396D4972">
      <w:pPr>
        <w:pStyle w:val="16"/>
      </w:pPr>
    </w:p>
    <w:p w14:paraId="4D386C22">
      <w:pPr>
        <w:pStyle w:val="16"/>
      </w:pPr>
    </w:p>
    <w:p w14:paraId="3F8AEA7D">
      <w:pPr>
        <w:pStyle w:val="16"/>
      </w:pPr>
    </w:p>
    <w:p w14:paraId="7814B492">
      <w:pPr>
        <w:pStyle w:val="16"/>
      </w:pPr>
    </w:p>
    <w:p w14:paraId="2D4DD010">
      <w:pPr>
        <w:pStyle w:val="16"/>
      </w:pPr>
    </w:p>
    <w:p w14:paraId="3D4E1513">
      <w:pPr>
        <w:pStyle w:val="16"/>
      </w:pPr>
    </w:p>
    <w:p w14:paraId="46149161">
      <w:pPr>
        <w:pStyle w:val="16"/>
      </w:pPr>
    </w:p>
    <w:p w14:paraId="11426C10">
      <w:pPr>
        <w:pStyle w:val="16"/>
      </w:pPr>
    </w:p>
    <w:p w14:paraId="230357A7">
      <w:pPr>
        <w:pStyle w:val="16"/>
      </w:pPr>
    </w:p>
    <w:p w14:paraId="580B327D">
      <w:pPr>
        <w:pStyle w:val="16"/>
      </w:pPr>
    </w:p>
    <w:p w14:paraId="743762D0">
      <w:pPr>
        <w:pStyle w:val="16"/>
      </w:pPr>
    </w:p>
    <w:p w14:paraId="40554541">
      <w:pPr>
        <w:pStyle w:val="16"/>
      </w:pPr>
    </w:p>
    <w:p w14:paraId="09ADE48A">
      <w:pPr>
        <w:pStyle w:val="16"/>
      </w:pPr>
    </w:p>
    <w:p w14:paraId="3FF30379">
      <w:pPr>
        <w:pStyle w:val="16"/>
      </w:pPr>
    </w:p>
    <w:p w14:paraId="27E68FA5">
      <w:pPr>
        <w:pStyle w:val="16"/>
      </w:pPr>
    </w:p>
    <w:p w14:paraId="0F1A720E">
      <w:pPr>
        <w:pStyle w:val="16"/>
      </w:pPr>
    </w:p>
    <w:p w14:paraId="28C4DB69">
      <w:pPr>
        <w:pStyle w:val="16"/>
      </w:pPr>
    </w:p>
    <w:p w14:paraId="12E4A85C">
      <w:pPr>
        <w:pStyle w:val="16"/>
      </w:pPr>
    </w:p>
    <w:p w14:paraId="2743BC0F">
      <w:pPr>
        <w:pStyle w:val="16"/>
      </w:pPr>
    </w:p>
    <w:p w14:paraId="695F3462">
      <w:pPr>
        <w:pStyle w:val="16"/>
      </w:pPr>
    </w:p>
    <w:p w14:paraId="2E9A1DEF">
      <w:pPr>
        <w:pStyle w:val="16"/>
      </w:pPr>
    </w:p>
    <w:p w14:paraId="15415552">
      <w:pPr>
        <w:pStyle w:val="16"/>
      </w:pPr>
    </w:p>
    <w:p w14:paraId="6F31F413">
      <w:pPr>
        <w:pStyle w:val="16"/>
      </w:pPr>
    </w:p>
    <w:p w14:paraId="1B138DD3">
      <w:pPr>
        <w:pStyle w:val="16"/>
      </w:pPr>
    </w:p>
    <w:p w14:paraId="7ECFF1FA">
      <w:pPr>
        <w:pStyle w:val="16"/>
      </w:pPr>
    </w:p>
    <w:p w14:paraId="34CB5A0C">
      <w:pPr>
        <w:pStyle w:val="16"/>
      </w:pPr>
    </w:p>
    <w:p w14:paraId="3681A851">
      <w:pPr>
        <w:pStyle w:val="16"/>
      </w:pPr>
    </w:p>
    <w:p w14:paraId="316CC75B">
      <w:pPr>
        <w:pStyle w:val="16"/>
      </w:pPr>
    </w:p>
    <w:p w14:paraId="78822D27">
      <w:pPr>
        <w:pStyle w:val="16"/>
      </w:pPr>
    </w:p>
    <w:p w14:paraId="0780359A">
      <w:pPr>
        <w:pStyle w:val="16"/>
      </w:pPr>
    </w:p>
    <w:p w14:paraId="565FA945">
      <w:pPr>
        <w:pStyle w:val="16"/>
      </w:pPr>
    </w:p>
    <w:p w14:paraId="789FE3CF">
      <w:pPr>
        <w:rPr>
          <w:rFonts w:hint="eastAsia" w:ascii="方正小标宋简体" w:hAnsi="Arial" w:eastAsia="方正小标宋简体" w:cs="Arial"/>
          <w:snapToGrid w:val="0"/>
          <w:color w:val="000000"/>
          <w:kern w:val="0"/>
          <w:sz w:val="28"/>
          <w:szCs w:val="28"/>
          <w:lang w:val="en-US" w:eastAsia="zh-CN" w:bidi="ar-SA"/>
        </w:rPr>
      </w:pP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4F18F">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AF1EFF">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5AF1EFF">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8"/>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693ED"/>
    <w:multiLevelType w:val="singleLevel"/>
    <w:tmpl w:val="1C7693ED"/>
    <w:lvl w:ilvl="0" w:tentative="0">
      <w:start w:val="2"/>
      <w:numFmt w:val="chineseCounting"/>
      <w:suff w:val="space"/>
      <w:lvlText w:val="第%1条"/>
      <w:lvlJc w:val="left"/>
      <w:rPr>
        <w:rFonts w:hint="eastAsia"/>
      </w:rPr>
    </w:lvl>
  </w:abstractNum>
  <w:abstractNum w:abstractNumId="1">
    <w:nsid w:val="5DF4A1A8"/>
    <w:multiLevelType w:val="singleLevel"/>
    <w:tmpl w:val="5DF4A1A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595CB4"/>
    <w:rsid w:val="01763ADE"/>
    <w:rsid w:val="0195764A"/>
    <w:rsid w:val="01E07299"/>
    <w:rsid w:val="01E55799"/>
    <w:rsid w:val="01ED6C4B"/>
    <w:rsid w:val="02005B8D"/>
    <w:rsid w:val="02AE1145"/>
    <w:rsid w:val="02B54A34"/>
    <w:rsid w:val="02F565AE"/>
    <w:rsid w:val="037203C5"/>
    <w:rsid w:val="039931C3"/>
    <w:rsid w:val="03FD4132"/>
    <w:rsid w:val="042532DE"/>
    <w:rsid w:val="048C54B6"/>
    <w:rsid w:val="056A6C9C"/>
    <w:rsid w:val="059960DD"/>
    <w:rsid w:val="05B66C8F"/>
    <w:rsid w:val="05BB5618"/>
    <w:rsid w:val="05FC723E"/>
    <w:rsid w:val="064C75F3"/>
    <w:rsid w:val="078D230B"/>
    <w:rsid w:val="079160F7"/>
    <w:rsid w:val="07FE5059"/>
    <w:rsid w:val="08316AA1"/>
    <w:rsid w:val="0966277A"/>
    <w:rsid w:val="09746C21"/>
    <w:rsid w:val="09774987"/>
    <w:rsid w:val="09A137B2"/>
    <w:rsid w:val="0A063180"/>
    <w:rsid w:val="0A510FA4"/>
    <w:rsid w:val="0B0C4E07"/>
    <w:rsid w:val="0BAF5689"/>
    <w:rsid w:val="0C6451D2"/>
    <w:rsid w:val="0CFD51A3"/>
    <w:rsid w:val="0D2210AE"/>
    <w:rsid w:val="0D460B9B"/>
    <w:rsid w:val="0D516958"/>
    <w:rsid w:val="0D9B2C64"/>
    <w:rsid w:val="0DB22432"/>
    <w:rsid w:val="0E4A08BC"/>
    <w:rsid w:val="0ED87C76"/>
    <w:rsid w:val="0F041E04"/>
    <w:rsid w:val="0F08032F"/>
    <w:rsid w:val="0F114F36"/>
    <w:rsid w:val="0F583FCC"/>
    <w:rsid w:val="0F7200CA"/>
    <w:rsid w:val="0F7301AD"/>
    <w:rsid w:val="0FAC4C5F"/>
    <w:rsid w:val="109F6DD2"/>
    <w:rsid w:val="11407D54"/>
    <w:rsid w:val="11C409A5"/>
    <w:rsid w:val="11C71F12"/>
    <w:rsid w:val="11DB182B"/>
    <w:rsid w:val="122E4051"/>
    <w:rsid w:val="12712DC5"/>
    <w:rsid w:val="12922832"/>
    <w:rsid w:val="12DE7274"/>
    <w:rsid w:val="12E52961"/>
    <w:rsid w:val="12F42BA4"/>
    <w:rsid w:val="13187154"/>
    <w:rsid w:val="13DA637D"/>
    <w:rsid w:val="13F516F2"/>
    <w:rsid w:val="13F51ACC"/>
    <w:rsid w:val="14411E19"/>
    <w:rsid w:val="144853D1"/>
    <w:rsid w:val="14891A12"/>
    <w:rsid w:val="14B468BF"/>
    <w:rsid w:val="155D0ED5"/>
    <w:rsid w:val="1576596C"/>
    <w:rsid w:val="15F555B1"/>
    <w:rsid w:val="16253B2B"/>
    <w:rsid w:val="164812CA"/>
    <w:rsid w:val="16575A2C"/>
    <w:rsid w:val="16897F26"/>
    <w:rsid w:val="168A13B6"/>
    <w:rsid w:val="169C3C7F"/>
    <w:rsid w:val="16DC407B"/>
    <w:rsid w:val="172E1B66"/>
    <w:rsid w:val="174A7237"/>
    <w:rsid w:val="17AA5F28"/>
    <w:rsid w:val="18420856"/>
    <w:rsid w:val="18701DE2"/>
    <w:rsid w:val="1881312C"/>
    <w:rsid w:val="18BA6619"/>
    <w:rsid w:val="18FB4499"/>
    <w:rsid w:val="193E2DCB"/>
    <w:rsid w:val="19B229E6"/>
    <w:rsid w:val="19D454DE"/>
    <w:rsid w:val="1A766595"/>
    <w:rsid w:val="1A9F5AEC"/>
    <w:rsid w:val="1AB10E35"/>
    <w:rsid w:val="1B574B35"/>
    <w:rsid w:val="1BEA74D5"/>
    <w:rsid w:val="1C60602A"/>
    <w:rsid w:val="1C7D3CBE"/>
    <w:rsid w:val="1CF55718"/>
    <w:rsid w:val="1D540E0F"/>
    <w:rsid w:val="1D7C1895"/>
    <w:rsid w:val="1D7F79EF"/>
    <w:rsid w:val="1D9A259A"/>
    <w:rsid w:val="1E165F1B"/>
    <w:rsid w:val="1E89232D"/>
    <w:rsid w:val="1EB36627"/>
    <w:rsid w:val="1EBF050A"/>
    <w:rsid w:val="1F021EDA"/>
    <w:rsid w:val="20397785"/>
    <w:rsid w:val="21025026"/>
    <w:rsid w:val="21075857"/>
    <w:rsid w:val="217016BC"/>
    <w:rsid w:val="224C47AB"/>
    <w:rsid w:val="22550BDA"/>
    <w:rsid w:val="23243032"/>
    <w:rsid w:val="23B00D6A"/>
    <w:rsid w:val="243E7697"/>
    <w:rsid w:val="24763D61"/>
    <w:rsid w:val="25164BFC"/>
    <w:rsid w:val="25453733"/>
    <w:rsid w:val="254A14E2"/>
    <w:rsid w:val="25826E67"/>
    <w:rsid w:val="25B85CB3"/>
    <w:rsid w:val="264A7253"/>
    <w:rsid w:val="27027B2E"/>
    <w:rsid w:val="274517C9"/>
    <w:rsid w:val="277E31B0"/>
    <w:rsid w:val="277F4CDB"/>
    <w:rsid w:val="27D75F18"/>
    <w:rsid w:val="285D489A"/>
    <w:rsid w:val="28CE644C"/>
    <w:rsid w:val="28D9041B"/>
    <w:rsid w:val="28EC2844"/>
    <w:rsid w:val="28F811E9"/>
    <w:rsid w:val="28FC115B"/>
    <w:rsid w:val="29170DC4"/>
    <w:rsid w:val="292F44DF"/>
    <w:rsid w:val="294E7E06"/>
    <w:rsid w:val="29712D49"/>
    <w:rsid w:val="299B6C4B"/>
    <w:rsid w:val="29DA269C"/>
    <w:rsid w:val="29E3027D"/>
    <w:rsid w:val="2AD05911"/>
    <w:rsid w:val="2B2142FB"/>
    <w:rsid w:val="2B560448"/>
    <w:rsid w:val="2B5C5980"/>
    <w:rsid w:val="2B7E174D"/>
    <w:rsid w:val="2BF8505C"/>
    <w:rsid w:val="2C091017"/>
    <w:rsid w:val="2C8132A3"/>
    <w:rsid w:val="2D2D6F87"/>
    <w:rsid w:val="2D39592C"/>
    <w:rsid w:val="2D9E7E85"/>
    <w:rsid w:val="2E4E3659"/>
    <w:rsid w:val="2E854D74"/>
    <w:rsid w:val="2E8C4181"/>
    <w:rsid w:val="2EA72D69"/>
    <w:rsid w:val="2F0C5D36"/>
    <w:rsid w:val="2FEC32B8"/>
    <w:rsid w:val="30004E27"/>
    <w:rsid w:val="30B05E3F"/>
    <w:rsid w:val="311913D0"/>
    <w:rsid w:val="317909ED"/>
    <w:rsid w:val="31BC4D7D"/>
    <w:rsid w:val="32917FB8"/>
    <w:rsid w:val="33122EA7"/>
    <w:rsid w:val="3315244E"/>
    <w:rsid w:val="33233306"/>
    <w:rsid w:val="33245604"/>
    <w:rsid w:val="332E5807"/>
    <w:rsid w:val="33B84A98"/>
    <w:rsid w:val="33D26ADA"/>
    <w:rsid w:val="34AF7A65"/>
    <w:rsid w:val="34EF25FC"/>
    <w:rsid w:val="351C27B0"/>
    <w:rsid w:val="35865602"/>
    <w:rsid w:val="369D13B4"/>
    <w:rsid w:val="36D80A21"/>
    <w:rsid w:val="372747C5"/>
    <w:rsid w:val="372C7136"/>
    <w:rsid w:val="37C34D14"/>
    <w:rsid w:val="382673F4"/>
    <w:rsid w:val="38CA5FD2"/>
    <w:rsid w:val="38EF5A38"/>
    <w:rsid w:val="399860D0"/>
    <w:rsid w:val="3A004EDF"/>
    <w:rsid w:val="3A0D5000"/>
    <w:rsid w:val="3A350365"/>
    <w:rsid w:val="3A59760D"/>
    <w:rsid w:val="3A801E9E"/>
    <w:rsid w:val="3A9C399E"/>
    <w:rsid w:val="3AAE58B3"/>
    <w:rsid w:val="3AD969A0"/>
    <w:rsid w:val="3B093FA7"/>
    <w:rsid w:val="3C1C6B44"/>
    <w:rsid w:val="3C3B10F1"/>
    <w:rsid w:val="3C53008C"/>
    <w:rsid w:val="3C6F3946"/>
    <w:rsid w:val="3CA134EE"/>
    <w:rsid w:val="3D122796"/>
    <w:rsid w:val="3D246119"/>
    <w:rsid w:val="3D2F0AF9"/>
    <w:rsid w:val="3D8F6522"/>
    <w:rsid w:val="3D9559C0"/>
    <w:rsid w:val="3DA2751D"/>
    <w:rsid w:val="3DB66B25"/>
    <w:rsid w:val="3E0C3B84"/>
    <w:rsid w:val="3E7515EC"/>
    <w:rsid w:val="3ED835C0"/>
    <w:rsid w:val="3F4F0FDF"/>
    <w:rsid w:val="3F8D4B70"/>
    <w:rsid w:val="3FE57D53"/>
    <w:rsid w:val="40170381"/>
    <w:rsid w:val="40314FA3"/>
    <w:rsid w:val="4037219F"/>
    <w:rsid w:val="40703903"/>
    <w:rsid w:val="41040AA3"/>
    <w:rsid w:val="414172BF"/>
    <w:rsid w:val="41486059"/>
    <w:rsid w:val="41550306"/>
    <w:rsid w:val="41A5138A"/>
    <w:rsid w:val="41AB27FF"/>
    <w:rsid w:val="42507548"/>
    <w:rsid w:val="42935686"/>
    <w:rsid w:val="429C3CA4"/>
    <w:rsid w:val="42C83582"/>
    <w:rsid w:val="43574906"/>
    <w:rsid w:val="43917E43"/>
    <w:rsid w:val="43D50C9D"/>
    <w:rsid w:val="43F65ECD"/>
    <w:rsid w:val="45316955"/>
    <w:rsid w:val="459B6D2C"/>
    <w:rsid w:val="45A01C4B"/>
    <w:rsid w:val="45D24B17"/>
    <w:rsid w:val="463B406B"/>
    <w:rsid w:val="47013507"/>
    <w:rsid w:val="47504DA7"/>
    <w:rsid w:val="486024AF"/>
    <w:rsid w:val="48A56114"/>
    <w:rsid w:val="48A95C04"/>
    <w:rsid w:val="48A96D19"/>
    <w:rsid w:val="48F84495"/>
    <w:rsid w:val="49064E04"/>
    <w:rsid w:val="495808B5"/>
    <w:rsid w:val="49F16FD3"/>
    <w:rsid w:val="4A1470AD"/>
    <w:rsid w:val="4A490D7C"/>
    <w:rsid w:val="4A57286A"/>
    <w:rsid w:val="4A5D727D"/>
    <w:rsid w:val="4AE92146"/>
    <w:rsid w:val="4D491763"/>
    <w:rsid w:val="4D894AF1"/>
    <w:rsid w:val="4DE13C01"/>
    <w:rsid w:val="4E2E4192"/>
    <w:rsid w:val="4E3221F7"/>
    <w:rsid w:val="4E582836"/>
    <w:rsid w:val="4E6323B1"/>
    <w:rsid w:val="4F585C8E"/>
    <w:rsid w:val="4FB45527"/>
    <w:rsid w:val="50045AFA"/>
    <w:rsid w:val="50243DC2"/>
    <w:rsid w:val="50334005"/>
    <w:rsid w:val="521B67F5"/>
    <w:rsid w:val="52304CF0"/>
    <w:rsid w:val="52D47D21"/>
    <w:rsid w:val="53005A6E"/>
    <w:rsid w:val="5325057D"/>
    <w:rsid w:val="5330603D"/>
    <w:rsid w:val="53933738"/>
    <w:rsid w:val="53962C9E"/>
    <w:rsid w:val="53D31D87"/>
    <w:rsid w:val="53D8114B"/>
    <w:rsid w:val="54C664CE"/>
    <w:rsid w:val="54E12281"/>
    <w:rsid w:val="55200FFC"/>
    <w:rsid w:val="553F1336"/>
    <w:rsid w:val="55AC288F"/>
    <w:rsid w:val="55B20855"/>
    <w:rsid w:val="56451298"/>
    <w:rsid w:val="565F1E29"/>
    <w:rsid w:val="566969D2"/>
    <w:rsid w:val="5689497F"/>
    <w:rsid w:val="56D227CA"/>
    <w:rsid w:val="56FA16BD"/>
    <w:rsid w:val="576A0C54"/>
    <w:rsid w:val="57F95B34"/>
    <w:rsid w:val="57FF75EE"/>
    <w:rsid w:val="58816255"/>
    <w:rsid w:val="5890055A"/>
    <w:rsid w:val="58AD704A"/>
    <w:rsid w:val="58EF1411"/>
    <w:rsid w:val="591006A9"/>
    <w:rsid w:val="599D70BF"/>
    <w:rsid w:val="5A1412C3"/>
    <w:rsid w:val="5A70032F"/>
    <w:rsid w:val="5A7B2341"/>
    <w:rsid w:val="5AA734EC"/>
    <w:rsid w:val="5BC52305"/>
    <w:rsid w:val="5C6B12CC"/>
    <w:rsid w:val="5CCB4A8E"/>
    <w:rsid w:val="5CD66444"/>
    <w:rsid w:val="5D6B5CC8"/>
    <w:rsid w:val="5D8F2E94"/>
    <w:rsid w:val="5DA30BF8"/>
    <w:rsid w:val="5ED74E21"/>
    <w:rsid w:val="5F1A2F60"/>
    <w:rsid w:val="5F3A0F0C"/>
    <w:rsid w:val="5F71772E"/>
    <w:rsid w:val="5FC833BC"/>
    <w:rsid w:val="600E24AE"/>
    <w:rsid w:val="601F1CF2"/>
    <w:rsid w:val="606C09EB"/>
    <w:rsid w:val="608148D0"/>
    <w:rsid w:val="616109D2"/>
    <w:rsid w:val="61C3343B"/>
    <w:rsid w:val="61DE64C6"/>
    <w:rsid w:val="6223212B"/>
    <w:rsid w:val="626764BC"/>
    <w:rsid w:val="62E775FD"/>
    <w:rsid w:val="634B4390"/>
    <w:rsid w:val="637662F0"/>
    <w:rsid w:val="63894210"/>
    <w:rsid w:val="638D4142"/>
    <w:rsid w:val="63B96987"/>
    <w:rsid w:val="63D455FE"/>
    <w:rsid w:val="63F16F7A"/>
    <w:rsid w:val="641D7E76"/>
    <w:rsid w:val="64596B07"/>
    <w:rsid w:val="645B3DFE"/>
    <w:rsid w:val="646709F5"/>
    <w:rsid w:val="64C01EB3"/>
    <w:rsid w:val="6614022E"/>
    <w:rsid w:val="66246472"/>
    <w:rsid w:val="66BD2855"/>
    <w:rsid w:val="67020A40"/>
    <w:rsid w:val="6713087B"/>
    <w:rsid w:val="674A4511"/>
    <w:rsid w:val="697426DF"/>
    <w:rsid w:val="69F56535"/>
    <w:rsid w:val="6B58184E"/>
    <w:rsid w:val="6B985E9C"/>
    <w:rsid w:val="6BD85E8F"/>
    <w:rsid w:val="6C027255"/>
    <w:rsid w:val="6C733CAF"/>
    <w:rsid w:val="6CD94028"/>
    <w:rsid w:val="6CF748E0"/>
    <w:rsid w:val="6D286848"/>
    <w:rsid w:val="6D4450F4"/>
    <w:rsid w:val="6DE05374"/>
    <w:rsid w:val="6E2A65EF"/>
    <w:rsid w:val="6E3932E0"/>
    <w:rsid w:val="6ECC76A7"/>
    <w:rsid w:val="6EDC3D8E"/>
    <w:rsid w:val="6EFD5AB2"/>
    <w:rsid w:val="6F0F5F1F"/>
    <w:rsid w:val="6F141779"/>
    <w:rsid w:val="6F41270D"/>
    <w:rsid w:val="6FA04DBB"/>
    <w:rsid w:val="6FFB55E3"/>
    <w:rsid w:val="70185150"/>
    <w:rsid w:val="70405A15"/>
    <w:rsid w:val="70C32EE9"/>
    <w:rsid w:val="70F66138"/>
    <w:rsid w:val="715776FB"/>
    <w:rsid w:val="716D33C3"/>
    <w:rsid w:val="720B51F7"/>
    <w:rsid w:val="722513CF"/>
    <w:rsid w:val="724265FE"/>
    <w:rsid w:val="727A5D97"/>
    <w:rsid w:val="727D3F4E"/>
    <w:rsid w:val="72CD203E"/>
    <w:rsid w:val="72D603E0"/>
    <w:rsid w:val="73217FC1"/>
    <w:rsid w:val="73243B6B"/>
    <w:rsid w:val="733F48EB"/>
    <w:rsid w:val="744D4DE6"/>
    <w:rsid w:val="74A215D5"/>
    <w:rsid w:val="74AE7F7A"/>
    <w:rsid w:val="74BB047B"/>
    <w:rsid w:val="74F61AF8"/>
    <w:rsid w:val="7507768A"/>
    <w:rsid w:val="75107AB0"/>
    <w:rsid w:val="75932CCC"/>
    <w:rsid w:val="75C86E1A"/>
    <w:rsid w:val="760427D7"/>
    <w:rsid w:val="765406AD"/>
    <w:rsid w:val="76A64839"/>
    <w:rsid w:val="76C06440"/>
    <w:rsid w:val="76C34768"/>
    <w:rsid w:val="76D734D6"/>
    <w:rsid w:val="774150D6"/>
    <w:rsid w:val="78065E75"/>
    <w:rsid w:val="794C17CC"/>
    <w:rsid w:val="795B69AA"/>
    <w:rsid w:val="798934E8"/>
    <w:rsid w:val="798A0AC8"/>
    <w:rsid w:val="79921C19"/>
    <w:rsid w:val="79DA711C"/>
    <w:rsid w:val="7ABF6D39"/>
    <w:rsid w:val="7AEA7832"/>
    <w:rsid w:val="7AEC5358"/>
    <w:rsid w:val="7AF37E57"/>
    <w:rsid w:val="7B560A24"/>
    <w:rsid w:val="7B5C2BD2"/>
    <w:rsid w:val="7B611E27"/>
    <w:rsid w:val="7B71191C"/>
    <w:rsid w:val="7B755AFC"/>
    <w:rsid w:val="7B963516"/>
    <w:rsid w:val="7BCD6162"/>
    <w:rsid w:val="7BEE3352"/>
    <w:rsid w:val="7C0641F8"/>
    <w:rsid w:val="7C8B5ABC"/>
    <w:rsid w:val="7DB4373E"/>
    <w:rsid w:val="7DC12ACC"/>
    <w:rsid w:val="7DC84464"/>
    <w:rsid w:val="7E2B2739"/>
    <w:rsid w:val="7E6C1CCD"/>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customStyle="1" w:styleId="2">
    <w:name w:val="文档正文"/>
    <w:basedOn w:val="1"/>
    <w:qFormat/>
    <w:uiPriority w:val="99"/>
    <w:pPr>
      <w:adjustRightInd w:val="0"/>
      <w:spacing w:line="400" w:lineRule="atLeast"/>
      <w:ind w:firstLine="420" w:firstLineChars="200"/>
      <w:jc w:val="left"/>
      <w:textAlignment w:val="baseline"/>
    </w:pPr>
    <w:rPr>
      <w:rFonts w:ascii="宋体" w:hAnsi="宋体"/>
      <w:kern w:val="0"/>
      <w:sz w:val="24"/>
      <w:szCs w:val="20"/>
    </w:rPr>
  </w:style>
  <w:style w:type="paragraph" w:styleId="4">
    <w:name w:val="Normal Indent"/>
    <w:basedOn w:val="1"/>
    <w:next w:val="1"/>
    <w:qFormat/>
    <w:uiPriority w:val="0"/>
    <w:pPr>
      <w:ind w:firstLine="420"/>
    </w:pPr>
    <w:rPr>
      <w:szCs w:val="20"/>
    </w:rPr>
  </w:style>
  <w:style w:type="paragraph" w:styleId="7">
    <w:name w:val="annotation text"/>
    <w:basedOn w:val="1"/>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next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8"/>
    <w:qFormat/>
    <w:uiPriority w:val="0"/>
    <w:pPr>
      <w:ind w:firstLine="420" w:firstLineChars="100"/>
    </w:pPr>
    <w:rPr>
      <w:szCs w:val="24"/>
    </w:rPr>
  </w:style>
  <w:style w:type="paragraph" w:styleId="17">
    <w:name w:val="Body Text First Indent 2"/>
    <w:basedOn w:val="9"/>
    <w:next w:val="4"/>
    <w:qFormat/>
    <w:uiPriority w:val="0"/>
    <w:pPr>
      <w:ind w:firstLine="420" w:firstLine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18"/>
      <w:szCs w:val="18"/>
      <w:lang w:val="en-US" w:eastAsia="en-US" w:bidi="ar-SA"/>
    </w:rPr>
  </w:style>
  <w:style w:type="paragraph" w:customStyle="1" w:styleId="23">
    <w:name w:val="Char1"/>
    <w:basedOn w:val="1"/>
    <w:qFormat/>
    <w:uiPriority w:val="0"/>
    <w:rPr>
      <w:szCs w:val="21"/>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styleId="25">
    <w:name w:val="List Paragraph"/>
    <w:basedOn w:val="1"/>
    <w:qFormat/>
    <w:uiPriority w:val="0"/>
    <w:pPr>
      <w:ind w:firstLine="420" w:firstLineChars="200"/>
    </w:pPr>
    <w:rPr>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24</Pages>
  <Words>13155</Words>
  <Characters>13876</Characters>
  <TotalTime>1</TotalTime>
  <ScaleCrop>false</ScaleCrop>
  <LinksUpToDate>false</LinksUpToDate>
  <CharactersWithSpaces>13940</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杜航</cp:lastModifiedBy>
  <dcterms:modified xsi:type="dcterms:W3CDTF">2025-06-20T08:49:24Z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2052-12.1.0.21541</vt:lpwstr>
  </property>
  <property fmtid="{D5CDD505-2E9C-101B-9397-08002B2CF9AE}" pid="5" name="ICV">
    <vt:lpwstr>D9695E551A30446C96D33D44544ACF00_13</vt:lpwstr>
  </property>
  <property fmtid="{D5CDD505-2E9C-101B-9397-08002B2CF9AE}" pid="6" name="KSOTemplateDocerSaveRecord">
    <vt:lpwstr>eyJoZGlkIjoiZmQ5MmU2MDRiNzg1MjE2NzY5YWVjNDljMGUwNmZmZmQiLCJ1c2VySWQiOiIzMDgwODY2MDYifQ==</vt:lpwstr>
  </property>
</Properties>
</file>