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8EDB32">
      <w:pPr>
        <w:pStyle w:val="14"/>
        <w:keepNext w:val="0"/>
        <w:keepLines w:val="0"/>
        <w:pageBreakBefore w:val="0"/>
        <w:widowControl w:val="0"/>
        <w:kinsoku/>
        <w:wordWrap/>
        <w:overflowPunct/>
        <w:topLinePunct w:val="0"/>
        <w:autoSpaceDE/>
        <w:autoSpaceDN/>
        <w:bidi w:val="0"/>
        <w:adjustRightInd/>
        <w:snapToGrid/>
        <w:spacing w:before="0" w:beforeAutospacing="0" w:after="0" w:afterAutospacing="0" w:line="500" w:lineRule="exact"/>
        <w:jc w:val="both"/>
        <w:textAlignment w:val="auto"/>
        <w:rPr>
          <w:rFonts w:hint="eastAsia" w:ascii="宋体" w:hAnsi="宋体" w:eastAsia="宋体" w:cs="宋体"/>
          <w:b/>
          <w:bCs/>
          <w:color w:val="auto"/>
          <w:sz w:val="32"/>
          <w:szCs w:val="32"/>
          <w:highlight w:val="none"/>
          <w:lang w:val="en-US" w:eastAsia="zh-CN"/>
        </w:rPr>
      </w:pPr>
    </w:p>
    <w:p w14:paraId="0B98C687">
      <w:pPr>
        <w:pStyle w:val="23"/>
        <w:keepNext w:val="0"/>
        <w:keepLines w:val="0"/>
        <w:pageBreakBefore w:val="0"/>
        <w:kinsoku/>
        <w:wordWrap/>
        <w:overflowPunct/>
        <w:topLinePunct w:val="0"/>
        <w:autoSpaceDE/>
        <w:autoSpaceDN/>
        <w:bidi w:val="0"/>
        <w:spacing w:line="360" w:lineRule="auto"/>
        <w:ind w:firstLine="420"/>
        <w:jc w:val="center"/>
        <w:rPr>
          <w:rFonts w:hint="eastAsia" w:ascii="宋体" w:hAnsi="宋体" w:eastAsia="宋体" w:cs="宋体"/>
          <w:b/>
          <w:bCs/>
          <w:color w:val="auto"/>
          <w:sz w:val="40"/>
          <w:szCs w:val="40"/>
          <w:highlight w:val="none"/>
          <w:lang w:val="en-US" w:eastAsia="zh-CN"/>
        </w:rPr>
      </w:pPr>
      <w:r>
        <w:rPr>
          <w:rFonts w:hint="eastAsia" w:ascii="宋体" w:hAnsi="宋体" w:eastAsia="宋体" w:cs="宋体"/>
          <w:b/>
          <w:bCs/>
          <w:color w:val="auto"/>
          <w:sz w:val="40"/>
          <w:szCs w:val="40"/>
          <w:highlight w:val="none"/>
          <w:lang w:val="en-US" w:eastAsia="zh-CN"/>
        </w:rPr>
        <w:t>政府采购合同格式</w:t>
      </w:r>
    </w:p>
    <w:p w14:paraId="078053D2">
      <w:pPr>
        <w:pStyle w:val="23"/>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合同编号： </w:t>
      </w:r>
    </w:p>
    <w:p w14:paraId="440CE83E">
      <w:pPr>
        <w:pStyle w:val="23"/>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签订地点： </w:t>
      </w:r>
    </w:p>
    <w:p w14:paraId="3194830C">
      <w:pPr>
        <w:pStyle w:val="23"/>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签订时间: </w:t>
      </w:r>
    </w:p>
    <w:p w14:paraId="0E9298BC">
      <w:pPr>
        <w:pStyle w:val="23"/>
        <w:keepNext w:val="0"/>
        <w:keepLines w:val="0"/>
        <w:pageBreakBefore w:val="0"/>
        <w:kinsoku/>
        <w:wordWrap/>
        <w:overflowPunct/>
        <w:topLinePunct w:val="0"/>
        <w:autoSpaceDE/>
        <w:autoSpaceDN/>
        <w:bidi w:val="0"/>
        <w:adjustRightInd/>
        <w:spacing w:line="360" w:lineRule="auto"/>
        <w:ind w:firstLine="439" w:firstLineChars="183"/>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是否为专门面向中小企业的采购项目：</w:t>
      </w:r>
      <w:r>
        <w:rPr>
          <w:rFonts w:hint="eastAsia" w:ascii="宋体" w:hAnsi="宋体" w:eastAsia="宋体" w:cs="宋体"/>
          <w:color w:val="auto"/>
          <w:sz w:val="24"/>
          <w:szCs w:val="24"/>
          <w:highlight w:val="none"/>
          <w:lang w:val="en-US" w:eastAsia="zh-CN"/>
        </w:rPr>
        <w:t>否</w:t>
      </w:r>
    </w:p>
    <w:p w14:paraId="067B319F">
      <w:pPr>
        <w:pStyle w:val="23"/>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采购人（甲方）：</w:t>
      </w:r>
    </w:p>
    <w:p w14:paraId="0AC9F0D7">
      <w:pPr>
        <w:pStyle w:val="23"/>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供应商（乙方）：</w:t>
      </w:r>
    </w:p>
    <w:p w14:paraId="154A7929">
      <w:pPr>
        <w:pStyle w:val="12"/>
        <w:keepNext w:val="0"/>
        <w:keepLines w:val="0"/>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根据《中华人民共和国政府采购法》及实施条例、《中华人民共和国民法典》和融媒体中心数据资源库使用项目</w:t>
      </w:r>
      <w:bookmarkStart w:id="66" w:name="_GoBack"/>
      <w:bookmarkEnd w:id="66"/>
      <w:r>
        <w:rPr>
          <w:rFonts w:hint="eastAsia" w:ascii="宋体" w:hAnsi="宋体" w:eastAsia="宋体" w:cs="宋体"/>
          <w:color w:val="auto"/>
          <w:sz w:val="24"/>
          <w:szCs w:val="24"/>
          <w:highlight w:val="none"/>
        </w:rPr>
        <w:t>（采购项目编号</w:t>
      </w:r>
      <w:r>
        <w:rPr>
          <w:rFonts w:hint="eastAsia" w:ascii="宋体" w:hAnsi="宋体" w:eastAsia="宋体" w:cs="宋体"/>
          <w:color w:val="auto"/>
          <w:sz w:val="24"/>
          <w:szCs w:val="24"/>
          <w:highlight w:val="none"/>
          <w:lang w:eastAsia="zh-CN"/>
        </w:rPr>
        <w:t>SXLX25-02-043Z(F)）</w:t>
      </w:r>
      <w:r>
        <w:rPr>
          <w:rFonts w:hint="eastAsia" w:ascii="宋体" w:hAnsi="宋体" w:eastAsia="宋体" w:cs="宋体"/>
          <w:color w:val="auto"/>
          <w:sz w:val="24"/>
          <w:szCs w:val="24"/>
          <w:highlight w:val="none"/>
        </w:rPr>
        <w:t>的采购文件、响应文件等有关规定，为确保甲方采购项目的顺利实施，甲、乙双方在平等自愿原则下签订本合同，并共同遵守如下条款，其主要要求如下：</w:t>
      </w:r>
    </w:p>
    <w:p w14:paraId="1F9AF46F">
      <w:pPr>
        <w:keepNext w:val="0"/>
        <w:keepLines w:val="0"/>
        <w:pageBreakBefore w:val="0"/>
        <w:widowControl/>
        <w:kinsoku/>
        <w:wordWrap/>
        <w:overflowPunct/>
        <w:topLinePunct w:val="0"/>
        <w:autoSpaceDE/>
        <w:autoSpaceDN/>
        <w:bidi w:val="0"/>
        <w:adjustRightInd/>
        <w:spacing w:line="360" w:lineRule="auto"/>
        <w:ind w:firstLine="482" w:firstLineChars="200"/>
        <w:jc w:val="left"/>
        <w:textAlignment w:val="auto"/>
        <w:outlineLvl w:val="1"/>
        <w:rPr>
          <w:rFonts w:hint="eastAsia" w:ascii="宋体" w:hAnsi="宋体" w:eastAsia="宋体" w:cs="宋体"/>
          <w:b/>
          <w:color w:val="auto"/>
          <w:sz w:val="24"/>
          <w:szCs w:val="24"/>
          <w:highlight w:val="none"/>
        </w:rPr>
      </w:pPr>
      <w:bookmarkStart w:id="0" w:name="_Toc11438"/>
      <w:r>
        <w:rPr>
          <w:rFonts w:hint="eastAsia" w:ascii="宋体" w:hAnsi="宋体" w:eastAsia="宋体" w:cs="宋体"/>
          <w:b/>
          <w:color w:val="auto"/>
          <w:sz w:val="24"/>
          <w:szCs w:val="24"/>
          <w:highlight w:val="none"/>
        </w:rPr>
        <w:t>第一条  项目基本情况</w:t>
      </w:r>
      <w:bookmarkEnd w:id="0"/>
    </w:p>
    <w:p w14:paraId="5549CB1D">
      <w:pPr>
        <w:pStyle w:val="25"/>
        <w:spacing w:line="360" w:lineRule="auto"/>
        <w:ind w:firstLine="400"/>
        <w:jc w:val="both"/>
        <w:rPr>
          <w:rFonts w:hint="eastAsia" w:ascii="宋体" w:hAnsi="宋体" w:eastAsia="宋体" w:cs="宋体"/>
          <w:color w:val="auto"/>
          <w:sz w:val="24"/>
          <w:szCs w:val="24"/>
          <w:highlight w:val="none"/>
          <w:lang w:eastAsia="zh-CN"/>
        </w:rPr>
      </w:pPr>
      <w:bookmarkStart w:id="1" w:name="_Toc24394"/>
      <w:r>
        <w:rPr>
          <w:rFonts w:hint="eastAsia" w:ascii="宋体" w:hAnsi="宋体" w:eastAsia="宋体" w:cs="宋体"/>
          <w:color w:val="auto"/>
          <w:sz w:val="24"/>
          <w:szCs w:val="24"/>
          <w:highlight w:val="none"/>
          <w:lang w:eastAsia="zh-CN"/>
        </w:rPr>
        <w:t>采购内容:长安云平台数据资源库使用；主要功能或目标:长安云平台硬件后台更新、软件技术支撑、升级管控运维等；需满足的要求:满足长安云平台数据资源库使用所有要求。</w:t>
      </w:r>
    </w:p>
    <w:p w14:paraId="33408560">
      <w:pPr>
        <w:keepNext w:val="0"/>
        <w:keepLines w:val="0"/>
        <w:pageBreakBefore w:val="0"/>
        <w:widowControl/>
        <w:numPr>
          <w:ilvl w:val="0"/>
          <w:numId w:val="1"/>
        </w:numPr>
        <w:kinsoku/>
        <w:wordWrap/>
        <w:overflowPunct/>
        <w:topLinePunct w:val="0"/>
        <w:autoSpaceDE/>
        <w:autoSpaceDN/>
        <w:bidi w:val="0"/>
        <w:spacing w:line="360" w:lineRule="auto"/>
        <w:ind w:firstLine="482" w:firstLineChars="200"/>
        <w:jc w:val="left"/>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服务期限</w:t>
      </w:r>
      <w:bookmarkEnd w:id="1"/>
    </w:p>
    <w:p w14:paraId="4A66E76C">
      <w:pPr>
        <w:keepNext w:val="0"/>
        <w:keepLines w:val="0"/>
        <w:pageBreakBefore w:val="0"/>
        <w:widowControl/>
        <w:numPr>
          <w:ilvl w:val="0"/>
          <w:numId w:val="0"/>
        </w:numPr>
        <w:kinsoku/>
        <w:wordWrap/>
        <w:overflowPunct/>
        <w:topLinePunct w:val="0"/>
        <w:autoSpaceDE/>
        <w:autoSpaceDN/>
        <w:bidi w:val="0"/>
        <w:spacing w:line="360" w:lineRule="auto"/>
        <w:jc w:val="left"/>
        <w:outlineLvl w:val="1"/>
        <w:rPr>
          <w:rFonts w:hint="eastAsia" w:ascii="宋体" w:hAnsi="宋体" w:eastAsia="宋体" w:cs="宋体"/>
          <w:b/>
          <w:color w:val="auto"/>
          <w:sz w:val="24"/>
          <w:szCs w:val="24"/>
          <w:highlight w:val="none"/>
          <w:u w:val="single"/>
          <w:lang w:val="en-US" w:eastAsia="zh-CN"/>
        </w:rPr>
      </w:pP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val="0"/>
          <w:bCs/>
          <w:color w:val="auto"/>
          <w:sz w:val="24"/>
          <w:szCs w:val="24"/>
          <w:highlight w:val="none"/>
          <w:lang w:val="en-US" w:eastAsia="zh-CN"/>
        </w:rPr>
        <w:t xml:space="preserve"> </w:t>
      </w:r>
      <w:r>
        <w:rPr>
          <w:rFonts w:hint="eastAsia" w:ascii="宋体" w:hAnsi="宋体" w:eastAsia="宋体" w:cs="宋体"/>
          <w:b w:val="0"/>
          <w:bCs/>
          <w:color w:val="auto"/>
          <w:sz w:val="24"/>
          <w:szCs w:val="24"/>
          <w:highlight w:val="none"/>
          <w:u w:val="single"/>
          <w:lang w:val="en-US" w:eastAsia="zh-CN"/>
        </w:rPr>
        <w:t>1年。</w:t>
      </w:r>
    </w:p>
    <w:p w14:paraId="4F8B903B">
      <w:pPr>
        <w:keepNext w:val="0"/>
        <w:keepLines w:val="0"/>
        <w:pageBreakBefore w:val="0"/>
        <w:widowControl/>
        <w:tabs>
          <w:tab w:val="left" w:pos="387"/>
        </w:tabs>
        <w:kinsoku/>
        <w:wordWrap/>
        <w:overflowPunct/>
        <w:topLinePunct w:val="0"/>
        <w:autoSpaceDE/>
        <w:autoSpaceDN/>
        <w:bidi w:val="0"/>
        <w:spacing w:line="360" w:lineRule="auto"/>
        <w:ind w:firstLine="482" w:firstLineChars="200"/>
        <w:jc w:val="left"/>
        <w:outlineLvl w:val="1"/>
        <w:rPr>
          <w:rFonts w:hint="eastAsia" w:ascii="宋体" w:hAnsi="宋体" w:eastAsia="宋体" w:cs="宋体"/>
          <w:b/>
          <w:color w:val="auto"/>
          <w:sz w:val="24"/>
          <w:szCs w:val="24"/>
          <w:highlight w:val="none"/>
        </w:rPr>
      </w:pPr>
      <w:bookmarkStart w:id="2" w:name="_Toc2407"/>
      <w:bookmarkStart w:id="3" w:name="_Toc212019594"/>
      <w:bookmarkStart w:id="4" w:name="_Toc225244852"/>
      <w:bookmarkStart w:id="5" w:name="_Toc237145406"/>
      <w:bookmarkStart w:id="6" w:name="_Toc232492928"/>
      <w:bookmarkStart w:id="7" w:name="_Toc211911348"/>
      <w:bookmarkStart w:id="8" w:name="_Toc247334841"/>
      <w:bookmarkStart w:id="9" w:name="_Toc225654644"/>
      <w:bookmarkStart w:id="10" w:name="_Toc251768862"/>
      <w:bookmarkStart w:id="11" w:name="_Toc241833903"/>
      <w:bookmarkStart w:id="12" w:name="_Toc239233914"/>
      <w:bookmarkStart w:id="13" w:name="_Toc211854449"/>
      <w:bookmarkStart w:id="14" w:name="_Toc286993786"/>
      <w:bookmarkStart w:id="15" w:name="_Toc282696226"/>
      <w:bookmarkStart w:id="16" w:name="_Toc185395249"/>
      <w:bookmarkStart w:id="17" w:name="_Toc239568418"/>
      <w:bookmarkStart w:id="18" w:name="_Toc225670751"/>
      <w:bookmarkStart w:id="19" w:name="_Toc238984975"/>
      <w:bookmarkStart w:id="20" w:name="_Toc283019214"/>
      <w:r>
        <w:rPr>
          <w:rFonts w:hint="eastAsia" w:ascii="宋体" w:hAnsi="宋体" w:eastAsia="宋体" w:cs="宋体"/>
          <w:b/>
          <w:color w:val="auto"/>
          <w:sz w:val="24"/>
          <w:szCs w:val="24"/>
          <w:highlight w:val="none"/>
        </w:rPr>
        <w:t>第三条  服务内容与质量标准</w:t>
      </w:r>
      <w:bookmarkEnd w:id="2"/>
    </w:p>
    <w:p w14:paraId="4901B476">
      <w:pPr>
        <w:pStyle w:val="25"/>
        <w:spacing w:line="360" w:lineRule="auto"/>
        <w:ind w:firstLine="400"/>
        <w:jc w:val="both"/>
        <w:rPr>
          <w:rFonts w:hint="eastAsia" w:ascii="宋体" w:hAnsi="宋体" w:eastAsia="宋体" w:cs="宋体"/>
          <w:color w:val="auto"/>
          <w:sz w:val="24"/>
          <w:szCs w:val="24"/>
          <w:highlight w:val="none"/>
          <w:lang w:val="en-US" w:eastAsia="zh-CN"/>
        </w:rPr>
      </w:pPr>
      <w:bookmarkStart w:id="21" w:name="_Toc20078"/>
      <w:r>
        <w:rPr>
          <w:rFonts w:hint="eastAsia" w:ascii="宋体" w:hAnsi="宋体" w:eastAsia="宋体" w:cs="宋体"/>
          <w:b w:val="0"/>
          <w:bCs/>
          <w:color w:val="auto"/>
          <w:sz w:val="24"/>
          <w:szCs w:val="24"/>
          <w:highlight w:val="none"/>
          <w:lang w:val="en-US" w:eastAsia="zh-CN"/>
        </w:rPr>
        <w:t>一、服务内容</w:t>
      </w:r>
    </w:p>
    <w:p w14:paraId="344B4D2C">
      <w:pPr>
        <w:pStyle w:val="25"/>
        <w:spacing w:line="360" w:lineRule="auto"/>
        <w:ind w:firstLine="400"/>
        <w:jc w:val="both"/>
        <w:rPr>
          <w:rFonts w:hint="eastAsia" w:ascii="宋体" w:hAnsi="宋体" w:eastAsia="宋体" w:cs="宋体"/>
          <w:b w:val="0"/>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甲方依托乙方技术平台和人力资源优势，应用西安台“长安云”融媒体平台开展工作。即碑林区融媒体中心数据资源库使用“长安云”平台硬件后台更新、软件技术支撑、升级管控运维及设备使用等功能；</w:t>
      </w:r>
    </w:p>
    <w:tbl>
      <w:tblPr>
        <w:tblStyle w:val="17"/>
        <w:tblW w:w="8793" w:type="dxa"/>
        <w:jc w:val="center"/>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660"/>
        <w:gridCol w:w="1841"/>
        <w:gridCol w:w="4377"/>
        <w:gridCol w:w="915"/>
      </w:tblGrid>
      <w:tr w14:paraId="70DF4F7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1660" w:type="dxa"/>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754D590">
            <w:pPr>
              <w:pStyle w:val="25"/>
              <w:jc w:val="center"/>
              <w:rPr>
                <w:color w:val="auto"/>
                <w:sz w:val="24"/>
                <w:szCs w:val="24"/>
                <w:highlight w:val="none"/>
              </w:rPr>
            </w:pPr>
            <w:r>
              <w:rPr>
                <w:rFonts w:ascii="宋体" w:hAnsi="宋体" w:eastAsia="宋体" w:cs="宋体"/>
                <w:color w:val="auto"/>
                <w:sz w:val="24"/>
                <w:szCs w:val="24"/>
                <w:highlight w:val="none"/>
              </w:rPr>
              <w:t>配置级别</w:t>
            </w:r>
          </w:p>
        </w:tc>
        <w:tc>
          <w:tcPr>
            <w:tcW w:w="1841" w:type="dxa"/>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EF00247">
            <w:pPr>
              <w:pStyle w:val="25"/>
              <w:jc w:val="center"/>
              <w:rPr>
                <w:color w:val="auto"/>
                <w:sz w:val="24"/>
                <w:szCs w:val="24"/>
                <w:highlight w:val="none"/>
              </w:rPr>
            </w:pPr>
            <w:r>
              <w:rPr>
                <w:rFonts w:ascii="宋体" w:hAnsi="宋体" w:eastAsia="宋体" w:cs="宋体"/>
                <w:color w:val="auto"/>
                <w:sz w:val="24"/>
                <w:szCs w:val="24"/>
                <w:highlight w:val="none"/>
              </w:rPr>
              <w:t>配置名称</w:t>
            </w:r>
          </w:p>
        </w:tc>
        <w:tc>
          <w:tcPr>
            <w:tcW w:w="4377" w:type="dxa"/>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CF8AD09">
            <w:pPr>
              <w:pStyle w:val="25"/>
              <w:jc w:val="center"/>
              <w:rPr>
                <w:color w:val="auto"/>
                <w:sz w:val="24"/>
                <w:szCs w:val="24"/>
                <w:highlight w:val="none"/>
              </w:rPr>
            </w:pPr>
            <w:r>
              <w:rPr>
                <w:rFonts w:ascii="宋体" w:hAnsi="宋体" w:eastAsia="宋体" w:cs="宋体"/>
                <w:color w:val="auto"/>
                <w:sz w:val="24"/>
                <w:szCs w:val="24"/>
                <w:highlight w:val="none"/>
              </w:rPr>
              <w:t>用途</w:t>
            </w:r>
          </w:p>
        </w:tc>
        <w:tc>
          <w:tcPr>
            <w:tcW w:w="915" w:type="dxa"/>
            <w:tcBorders>
              <w:top w:val="single" w:color="000000" w:sz="4" w:space="0"/>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0C675AB">
            <w:pPr>
              <w:pStyle w:val="25"/>
              <w:jc w:val="center"/>
              <w:rPr>
                <w:color w:val="auto"/>
                <w:sz w:val="24"/>
                <w:szCs w:val="24"/>
                <w:highlight w:val="none"/>
              </w:rPr>
            </w:pPr>
            <w:r>
              <w:rPr>
                <w:rFonts w:ascii="宋体" w:hAnsi="宋体" w:eastAsia="宋体" w:cs="宋体"/>
                <w:color w:val="auto"/>
                <w:sz w:val="24"/>
                <w:szCs w:val="24"/>
                <w:highlight w:val="none"/>
              </w:rPr>
              <w:t>备注</w:t>
            </w:r>
          </w:p>
        </w:tc>
      </w:tr>
      <w:tr w14:paraId="43135A8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1660" w:type="dxa"/>
            <w:vMerge w:val="restar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B8EBBFC">
            <w:pPr>
              <w:pStyle w:val="25"/>
              <w:jc w:val="center"/>
              <w:rPr>
                <w:color w:val="auto"/>
                <w:sz w:val="24"/>
                <w:szCs w:val="24"/>
                <w:highlight w:val="none"/>
              </w:rPr>
            </w:pPr>
            <w:r>
              <w:rPr>
                <w:rFonts w:ascii="宋体" w:hAnsi="宋体" w:eastAsia="宋体" w:cs="宋体"/>
                <w:color w:val="auto"/>
                <w:sz w:val="24"/>
                <w:szCs w:val="24"/>
                <w:highlight w:val="none"/>
              </w:rPr>
              <w:t>基础配置</w:t>
            </w:r>
          </w:p>
        </w:tc>
        <w:tc>
          <w:tcPr>
            <w:tcW w:w="1841"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B2E6D32">
            <w:pPr>
              <w:pStyle w:val="25"/>
              <w:jc w:val="center"/>
              <w:rPr>
                <w:color w:val="auto"/>
                <w:sz w:val="24"/>
                <w:szCs w:val="24"/>
                <w:highlight w:val="none"/>
              </w:rPr>
            </w:pPr>
            <w:r>
              <w:rPr>
                <w:rFonts w:ascii="宋体" w:hAnsi="宋体" w:eastAsia="宋体" w:cs="宋体"/>
                <w:color w:val="auto"/>
                <w:sz w:val="24"/>
                <w:szCs w:val="24"/>
                <w:highlight w:val="none"/>
              </w:rPr>
              <w:t>推流CDN</w:t>
            </w:r>
          </w:p>
        </w:tc>
        <w:tc>
          <w:tcPr>
            <w:tcW w:w="4377"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22A8A01">
            <w:pPr>
              <w:pStyle w:val="25"/>
              <w:jc w:val="center"/>
              <w:rPr>
                <w:color w:val="auto"/>
                <w:sz w:val="24"/>
                <w:szCs w:val="24"/>
                <w:highlight w:val="none"/>
              </w:rPr>
            </w:pPr>
            <w:r>
              <w:rPr>
                <w:rFonts w:ascii="宋体" w:hAnsi="宋体" w:eastAsia="宋体" w:cs="宋体"/>
                <w:color w:val="auto"/>
                <w:sz w:val="24"/>
                <w:szCs w:val="24"/>
                <w:highlight w:val="none"/>
              </w:rPr>
              <w:t>网络加速访问</w:t>
            </w:r>
          </w:p>
        </w:tc>
        <w:tc>
          <w:tcPr>
            <w:tcW w:w="915"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37BC03A">
            <w:pPr>
              <w:pStyle w:val="25"/>
              <w:jc w:val="center"/>
              <w:rPr>
                <w:color w:val="auto"/>
                <w:sz w:val="24"/>
                <w:szCs w:val="24"/>
                <w:highlight w:val="none"/>
              </w:rPr>
            </w:pPr>
          </w:p>
        </w:tc>
      </w:tr>
      <w:tr w14:paraId="06E9C81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1660" w:type="dxa"/>
            <w:vMerge w:val="continue"/>
            <w:tcBorders>
              <w:top w:val="nil"/>
              <w:left w:val="single" w:color="000000" w:sz="4" w:space="0"/>
              <w:bottom w:val="single" w:color="000000" w:sz="4" w:space="0"/>
              <w:right w:val="single" w:color="000000" w:sz="4" w:space="0"/>
            </w:tcBorders>
            <w:noWrap w:val="0"/>
            <w:vAlign w:val="center"/>
          </w:tcPr>
          <w:p w14:paraId="2563D8AE">
            <w:pPr>
              <w:rPr>
                <w:color w:val="auto"/>
                <w:sz w:val="24"/>
                <w:szCs w:val="24"/>
                <w:highlight w:val="none"/>
              </w:rPr>
            </w:pPr>
          </w:p>
        </w:tc>
        <w:tc>
          <w:tcPr>
            <w:tcW w:w="1841"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34B4054">
            <w:pPr>
              <w:pStyle w:val="25"/>
              <w:jc w:val="center"/>
              <w:rPr>
                <w:color w:val="auto"/>
                <w:sz w:val="24"/>
                <w:szCs w:val="24"/>
                <w:highlight w:val="none"/>
              </w:rPr>
            </w:pPr>
            <w:r>
              <w:rPr>
                <w:rFonts w:ascii="宋体" w:hAnsi="宋体" w:eastAsia="宋体" w:cs="宋体"/>
                <w:color w:val="auto"/>
                <w:sz w:val="24"/>
                <w:szCs w:val="24"/>
                <w:highlight w:val="none"/>
              </w:rPr>
              <w:t>VPN安全</w:t>
            </w:r>
          </w:p>
          <w:p w14:paraId="02D8B26E">
            <w:pPr>
              <w:pStyle w:val="25"/>
              <w:jc w:val="center"/>
              <w:rPr>
                <w:color w:val="auto"/>
                <w:sz w:val="24"/>
                <w:szCs w:val="24"/>
                <w:highlight w:val="none"/>
              </w:rPr>
            </w:pPr>
            <w:r>
              <w:rPr>
                <w:rFonts w:ascii="宋体" w:hAnsi="宋体" w:eastAsia="宋体" w:cs="宋体"/>
                <w:color w:val="auto"/>
                <w:sz w:val="24"/>
                <w:szCs w:val="24"/>
                <w:highlight w:val="none"/>
              </w:rPr>
              <w:t>专网</w:t>
            </w:r>
          </w:p>
        </w:tc>
        <w:tc>
          <w:tcPr>
            <w:tcW w:w="4377"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81BE94B">
            <w:pPr>
              <w:pStyle w:val="25"/>
              <w:jc w:val="center"/>
              <w:rPr>
                <w:color w:val="auto"/>
                <w:sz w:val="24"/>
                <w:szCs w:val="24"/>
                <w:highlight w:val="none"/>
              </w:rPr>
            </w:pPr>
            <w:r>
              <w:rPr>
                <w:rFonts w:ascii="宋体" w:hAnsi="宋体" w:eastAsia="宋体" w:cs="宋体"/>
                <w:color w:val="auto"/>
                <w:sz w:val="24"/>
                <w:szCs w:val="24"/>
                <w:highlight w:val="none"/>
              </w:rPr>
              <w:t>数据传输</w:t>
            </w:r>
          </w:p>
          <w:p w14:paraId="10CE71AB">
            <w:pPr>
              <w:pStyle w:val="25"/>
              <w:jc w:val="center"/>
              <w:rPr>
                <w:color w:val="auto"/>
                <w:sz w:val="24"/>
                <w:szCs w:val="24"/>
                <w:highlight w:val="none"/>
              </w:rPr>
            </w:pPr>
            <w:r>
              <w:rPr>
                <w:rFonts w:ascii="宋体" w:hAnsi="宋体" w:eastAsia="宋体" w:cs="宋体"/>
                <w:color w:val="auto"/>
                <w:sz w:val="24"/>
                <w:szCs w:val="24"/>
                <w:highlight w:val="none"/>
              </w:rPr>
              <w:t>安全通道</w:t>
            </w:r>
          </w:p>
        </w:tc>
        <w:tc>
          <w:tcPr>
            <w:tcW w:w="915"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BCC444A">
            <w:pPr>
              <w:pStyle w:val="25"/>
              <w:jc w:val="center"/>
              <w:rPr>
                <w:color w:val="auto"/>
                <w:sz w:val="24"/>
                <w:szCs w:val="24"/>
                <w:highlight w:val="none"/>
              </w:rPr>
            </w:pPr>
          </w:p>
        </w:tc>
      </w:tr>
      <w:tr w14:paraId="578A10F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1660" w:type="dxa"/>
            <w:vMerge w:val="restar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846F275">
            <w:pPr>
              <w:pStyle w:val="25"/>
              <w:jc w:val="center"/>
              <w:rPr>
                <w:color w:val="auto"/>
                <w:sz w:val="24"/>
                <w:szCs w:val="24"/>
                <w:highlight w:val="none"/>
              </w:rPr>
            </w:pPr>
            <w:r>
              <w:rPr>
                <w:rFonts w:ascii="宋体" w:hAnsi="宋体" w:eastAsia="宋体" w:cs="宋体"/>
                <w:color w:val="auto"/>
                <w:sz w:val="24"/>
                <w:szCs w:val="24"/>
                <w:highlight w:val="none"/>
              </w:rPr>
              <w:t>基本配置</w:t>
            </w:r>
          </w:p>
        </w:tc>
        <w:tc>
          <w:tcPr>
            <w:tcW w:w="1841"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F7FEF49">
            <w:pPr>
              <w:pStyle w:val="25"/>
              <w:jc w:val="center"/>
              <w:rPr>
                <w:color w:val="auto"/>
                <w:sz w:val="24"/>
                <w:szCs w:val="24"/>
                <w:highlight w:val="none"/>
              </w:rPr>
            </w:pPr>
            <w:r>
              <w:rPr>
                <w:rFonts w:ascii="宋体" w:hAnsi="宋体" w:eastAsia="宋体" w:cs="宋体"/>
                <w:color w:val="auto"/>
                <w:sz w:val="24"/>
                <w:szCs w:val="24"/>
                <w:highlight w:val="none"/>
              </w:rPr>
              <w:t>硬件后台</w:t>
            </w:r>
          </w:p>
          <w:p w14:paraId="1A0F2780">
            <w:pPr>
              <w:pStyle w:val="25"/>
              <w:jc w:val="center"/>
              <w:rPr>
                <w:color w:val="auto"/>
                <w:sz w:val="24"/>
                <w:szCs w:val="24"/>
                <w:highlight w:val="none"/>
              </w:rPr>
            </w:pPr>
            <w:r>
              <w:rPr>
                <w:rFonts w:ascii="宋体" w:hAnsi="宋体" w:eastAsia="宋体" w:cs="宋体"/>
                <w:color w:val="auto"/>
                <w:sz w:val="24"/>
                <w:szCs w:val="24"/>
                <w:highlight w:val="none"/>
              </w:rPr>
              <w:t>更新维护</w:t>
            </w:r>
          </w:p>
        </w:tc>
        <w:tc>
          <w:tcPr>
            <w:tcW w:w="4377"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41FE507">
            <w:pPr>
              <w:pStyle w:val="25"/>
              <w:jc w:val="center"/>
              <w:rPr>
                <w:color w:val="auto"/>
                <w:sz w:val="24"/>
                <w:szCs w:val="24"/>
                <w:highlight w:val="none"/>
              </w:rPr>
            </w:pPr>
            <w:r>
              <w:rPr>
                <w:rFonts w:ascii="宋体" w:hAnsi="宋体" w:eastAsia="宋体" w:cs="宋体"/>
                <w:color w:val="auto"/>
                <w:sz w:val="24"/>
                <w:szCs w:val="24"/>
                <w:highlight w:val="none"/>
              </w:rPr>
              <w:t>长安云碑林模块后台硬件系统维护运行</w:t>
            </w:r>
          </w:p>
        </w:tc>
        <w:tc>
          <w:tcPr>
            <w:tcW w:w="915"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95B984E">
            <w:pPr>
              <w:pStyle w:val="25"/>
              <w:jc w:val="center"/>
              <w:rPr>
                <w:color w:val="auto"/>
                <w:sz w:val="24"/>
                <w:szCs w:val="24"/>
                <w:highlight w:val="none"/>
              </w:rPr>
            </w:pPr>
          </w:p>
        </w:tc>
      </w:tr>
      <w:tr w14:paraId="10A349E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660" w:type="dxa"/>
            <w:vMerge w:val="continue"/>
            <w:tcBorders>
              <w:top w:val="nil"/>
              <w:left w:val="single" w:color="000000" w:sz="4" w:space="0"/>
              <w:bottom w:val="single" w:color="000000" w:sz="4" w:space="0"/>
              <w:right w:val="single" w:color="000000" w:sz="4" w:space="0"/>
            </w:tcBorders>
            <w:noWrap w:val="0"/>
            <w:vAlign w:val="center"/>
          </w:tcPr>
          <w:p w14:paraId="3D3C37AC">
            <w:pPr>
              <w:rPr>
                <w:color w:val="auto"/>
                <w:sz w:val="24"/>
                <w:szCs w:val="24"/>
                <w:highlight w:val="none"/>
              </w:rPr>
            </w:pPr>
          </w:p>
        </w:tc>
        <w:tc>
          <w:tcPr>
            <w:tcW w:w="1841"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BDAF24D">
            <w:pPr>
              <w:pStyle w:val="25"/>
              <w:jc w:val="center"/>
              <w:rPr>
                <w:color w:val="auto"/>
                <w:sz w:val="24"/>
                <w:szCs w:val="24"/>
                <w:highlight w:val="none"/>
              </w:rPr>
            </w:pPr>
            <w:r>
              <w:rPr>
                <w:rFonts w:ascii="宋体" w:hAnsi="宋体" w:eastAsia="宋体" w:cs="宋体"/>
                <w:color w:val="auto"/>
                <w:sz w:val="24"/>
                <w:szCs w:val="24"/>
                <w:highlight w:val="none"/>
              </w:rPr>
              <w:t>软件技术</w:t>
            </w:r>
          </w:p>
          <w:p w14:paraId="6479EE8F">
            <w:pPr>
              <w:pStyle w:val="25"/>
              <w:jc w:val="center"/>
              <w:rPr>
                <w:color w:val="auto"/>
                <w:sz w:val="24"/>
                <w:szCs w:val="24"/>
                <w:highlight w:val="none"/>
              </w:rPr>
            </w:pPr>
            <w:r>
              <w:rPr>
                <w:rFonts w:ascii="宋体" w:hAnsi="宋体" w:eastAsia="宋体" w:cs="宋体"/>
                <w:color w:val="auto"/>
                <w:sz w:val="24"/>
                <w:szCs w:val="24"/>
                <w:highlight w:val="none"/>
              </w:rPr>
              <w:t>支撑服务</w:t>
            </w:r>
          </w:p>
        </w:tc>
        <w:tc>
          <w:tcPr>
            <w:tcW w:w="4377"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24A3782">
            <w:pPr>
              <w:pStyle w:val="25"/>
              <w:jc w:val="center"/>
              <w:rPr>
                <w:color w:val="auto"/>
                <w:sz w:val="24"/>
                <w:szCs w:val="24"/>
                <w:highlight w:val="none"/>
              </w:rPr>
            </w:pPr>
            <w:r>
              <w:rPr>
                <w:rFonts w:ascii="宋体" w:hAnsi="宋体" w:eastAsia="宋体" w:cs="宋体"/>
                <w:color w:val="auto"/>
                <w:sz w:val="24"/>
                <w:szCs w:val="24"/>
                <w:highlight w:val="none"/>
              </w:rPr>
              <w:t>长安云碑林模块融合媒体应用功能软件包（包括但不限于：内容库、音视频生产工具、平面编辑软件、碑林数据库存储空间）升级</w:t>
            </w:r>
          </w:p>
        </w:tc>
        <w:tc>
          <w:tcPr>
            <w:tcW w:w="915"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7C24844E">
            <w:pPr>
              <w:pStyle w:val="25"/>
              <w:jc w:val="center"/>
              <w:rPr>
                <w:color w:val="auto"/>
                <w:sz w:val="24"/>
                <w:szCs w:val="24"/>
                <w:highlight w:val="none"/>
              </w:rPr>
            </w:pPr>
          </w:p>
        </w:tc>
      </w:tr>
      <w:tr w14:paraId="3ED70AD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637" w:hRule="atLeast"/>
          <w:jc w:val="center"/>
        </w:trPr>
        <w:tc>
          <w:tcPr>
            <w:tcW w:w="1660" w:type="dxa"/>
            <w:vMerge w:val="continue"/>
            <w:tcBorders>
              <w:top w:val="nil"/>
              <w:left w:val="single" w:color="000000" w:sz="4" w:space="0"/>
              <w:bottom w:val="single" w:color="000000" w:sz="4" w:space="0"/>
              <w:right w:val="single" w:color="000000" w:sz="4" w:space="0"/>
            </w:tcBorders>
            <w:noWrap w:val="0"/>
            <w:vAlign w:val="center"/>
          </w:tcPr>
          <w:p w14:paraId="6A08A3D9">
            <w:pPr>
              <w:rPr>
                <w:color w:val="auto"/>
                <w:sz w:val="24"/>
                <w:szCs w:val="24"/>
                <w:highlight w:val="none"/>
              </w:rPr>
            </w:pPr>
          </w:p>
        </w:tc>
        <w:tc>
          <w:tcPr>
            <w:tcW w:w="1841"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4A9F8CF">
            <w:pPr>
              <w:pStyle w:val="25"/>
              <w:jc w:val="center"/>
              <w:rPr>
                <w:color w:val="auto"/>
                <w:sz w:val="24"/>
                <w:szCs w:val="24"/>
                <w:highlight w:val="none"/>
              </w:rPr>
            </w:pPr>
            <w:r>
              <w:rPr>
                <w:rFonts w:ascii="宋体" w:hAnsi="宋体" w:eastAsia="宋体" w:cs="宋体"/>
                <w:color w:val="auto"/>
                <w:sz w:val="24"/>
                <w:szCs w:val="24"/>
                <w:highlight w:val="none"/>
              </w:rPr>
              <w:t>升级管控</w:t>
            </w:r>
          </w:p>
          <w:p w14:paraId="06C6F9D9">
            <w:pPr>
              <w:pStyle w:val="25"/>
              <w:jc w:val="center"/>
              <w:rPr>
                <w:color w:val="auto"/>
                <w:sz w:val="24"/>
                <w:szCs w:val="24"/>
                <w:highlight w:val="none"/>
              </w:rPr>
            </w:pPr>
            <w:r>
              <w:rPr>
                <w:rFonts w:ascii="宋体" w:hAnsi="宋体" w:eastAsia="宋体" w:cs="宋体"/>
                <w:color w:val="auto"/>
                <w:sz w:val="24"/>
                <w:szCs w:val="24"/>
                <w:highlight w:val="none"/>
              </w:rPr>
              <w:t>运维</w:t>
            </w:r>
          </w:p>
        </w:tc>
        <w:tc>
          <w:tcPr>
            <w:tcW w:w="4377"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9D4CE22">
            <w:pPr>
              <w:pStyle w:val="25"/>
              <w:jc w:val="center"/>
              <w:rPr>
                <w:color w:val="auto"/>
                <w:sz w:val="24"/>
                <w:szCs w:val="24"/>
                <w:highlight w:val="none"/>
              </w:rPr>
            </w:pPr>
            <w:r>
              <w:rPr>
                <w:rFonts w:ascii="宋体" w:hAnsi="宋体" w:eastAsia="宋体" w:cs="宋体"/>
                <w:color w:val="auto"/>
                <w:sz w:val="24"/>
                <w:szCs w:val="24"/>
                <w:highlight w:val="none"/>
              </w:rPr>
              <w:t>长安云碑林模块数据库升级（包括但不限于网络安全等级建设加固）</w:t>
            </w:r>
          </w:p>
        </w:tc>
        <w:tc>
          <w:tcPr>
            <w:tcW w:w="915"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8857D85">
            <w:pPr>
              <w:pStyle w:val="25"/>
              <w:jc w:val="center"/>
              <w:rPr>
                <w:color w:val="auto"/>
                <w:sz w:val="24"/>
                <w:szCs w:val="24"/>
                <w:highlight w:val="none"/>
              </w:rPr>
            </w:pPr>
          </w:p>
        </w:tc>
      </w:tr>
      <w:tr w14:paraId="552F096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852" w:hRule="atLeast"/>
          <w:jc w:val="center"/>
        </w:trPr>
        <w:tc>
          <w:tcPr>
            <w:tcW w:w="1660" w:type="dxa"/>
            <w:vMerge w:val="restart"/>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40CA369A">
            <w:pPr>
              <w:pStyle w:val="25"/>
              <w:jc w:val="center"/>
              <w:rPr>
                <w:color w:val="auto"/>
                <w:sz w:val="24"/>
                <w:szCs w:val="24"/>
                <w:highlight w:val="none"/>
              </w:rPr>
            </w:pPr>
            <w:r>
              <w:rPr>
                <w:rFonts w:ascii="宋体" w:hAnsi="宋体" w:eastAsia="宋体" w:cs="宋体"/>
                <w:color w:val="auto"/>
                <w:sz w:val="24"/>
                <w:szCs w:val="24"/>
                <w:highlight w:val="none"/>
              </w:rPr>
              <w:t>增强配置</w:t>
            </w:r>
          </w:p>
        </w:tc>
        <w:tc>
          <w:tcPr>
            <w:tcW w:w="1841"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B320ED0">
            <w:pPr>
              <w:pStyle w:val="25"/>
              <w:jc w:val="center"/>
              <w:rPr>
                <w:color w:val="auto"/>
                <w:sz w:val="24"/>
                <w:szCs w:val="24"/>
                <w:highlight w:val="none"/>
              </w:rPr>
            </w:pPr>
            <w:r>
              <w:rPr>
                <w:rFonts w:ascii="宋体" w:hAnsi="宋体" w:eastAsia="宋体" w:cs="宋体"/>
                <w:color w:val="auto"/>
                <w:sz w:val="24"/>
                <w:szCs w:val="24"/>
                <w:highlight w:val="none"/>
              </w:rPr>
              <w:t>平台使用</w:t>
            </w:r>
          </w:p>
        </w:tc>
        <w:tc>
          <w:tcPr>
            <w:tcW w:w="4377"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1D5E6BC">
            <w:pPr>
              <w:pStyle w:val="25"/>
              <w:jc w:val="center"/>
              <w:rPr>
                <w:color w:val="auto"/>
                <w:sz w:val="24"/>
                <w:szCs w:val="24"/>
                <w:highlight w:val="none"/>
              </w:rPr>
            </w:pPr>
            <w:r>
              <w:rPr>
                <w:rFonts w:ascii="宋体" w:hAnsi="宋体" w:eastAsia="宋体" w:cs="宋体"/>
                <w:color w:val="auto"/>
                <w:sz w:val="24"/>
                <w:szCs w:val="24"/>
                <w:highlight w:val="none"/>
              </w:rPr>
              <w:t>长安云、学习强国西安学习平台、原点APP碑林小原点、西安网碑林频道等平台开设频道</w:t>
            </w:r>
          </w:p>
        </w:tc>
        <w:tc>
          <w:tcPr>
            <w:tcW w:w="915"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BA99781">
            <w:pPr>
              <w:pStyle w:val="25"/>
              <w:jc w:val="center"/>
              <w:rPr>
                <w:color w:val="auto"/>
                <w:sz w:val="24"/>
                <w:szCs w:val="24"/>
                <w:highlight w:val="none"/>
              </w:rPr>
            </w:pPr>
          </w:p>
        </w:tc>
      </w:tr>
      <w:tr w14:paraId="2433617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660" w:type="dxa"/>
            <w:vMerge w:val="continue"/>
            <w:tcBorders>
              <w:top w:val="nil"/>
              <w:left w:val="single" w:color="000000" w:sz="4" w:space="0"/>
              <w:bottom w:val="single" w:color="000000" w:sz="4" w:space="0"/>
              <w:right w:val="single" w:color="000000" w:sz="4" w:space="0"/>
            </w:tcBorders>
            <w:noWrap w:val="0"/>
            <w:vAlign w:val="center"/>
          </w:tcPr>
          <w:p w14:paraId="7BF50EE5">
            <w:pPr>
              <w:rPr>
                <w:color w:val="auto"/>
                <w:sz w:val="24"/>
                <w:szCs w:val="24"/>
                <w:highlight w:val="none"/>
              </w:rPr>
            </w:pPr>
          </w:p>
        </w:tc>
        <w:tc>
          <w:tcPr>
            <w:tcW w:w="1841"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179E3D81">
            <w:pPr>
              <w:pStyle w:val="25"/>
              <w:jc w:val="center"/>
              <w:rPr>
                <w:color w:val="auto"/>
                <w:sz w:val="24"/>
                <w:szCs w:val="24"/>
                <w:highlight w:val="none"/>
              </w:rPr>
            </w:pPr>
            <w:r>
              <w:rPr>
                <w:rFonts w:ascii="宋体" w:hAnsi="宋体" w:eastAsia="宋体" w:cs="宋体"/>
                <w:color w:val="auto"/>
                <w:sz w:val="24"/>
                <w:szCs w:val="24"/>
                <w:highlight w:val="none"/>
              </w:rPr>
              <w:t>拆条服务</w:t>
            </w:r>
          </w:p>
        </w:tc>
        <w:tc>
          <w:tcPr>
            <w:tcW w:w="4377"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59FAD171">
            <w:pPr>
              <w:pStyle w:val="25"/>
              <w:jc w:val="center"/>
              <w:rPr>
                <w:color w:val="auto"/>
                <w:sz w:val="24"/>
                <w:szCs w:val="24"/>
                <w:highlight w:val="none"/>
              </w:rPr>
            </w:pPr>
            <w:r>
              <w:rPr>
                <w:rFonts w:ascii="宋体" w:hAnsi="宋体" w:eastAsia="宋体" w:cs="宋体"/>
                <w:color w:val="auto"/>
                <w:sz w:val="24"/>
                <w:szCs w:val="24"/>
                <w:highlight w:val="none"/>
              </w:rPr>
              <w:t>为区县拆条、推送</w:t>
            </w:r>
          </w:p>
        </w:tc>
        <w:tc>
          <w:tcPr>
            <w:tcW w:w="915"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6306F6F5">
            <w:pPr>
              <w:pStyle w:val="25"/>
              <w:jc w:val="center"/>
              <w:rPr>
                <w:color w:val="auto"/>
                <w:sz w:val="24"/>
                <w:szCs w:val="24"/>
                <w:highlight w:val="none"/>
              </w:rPr>
            </w:pPr>
          </w:p>
        </w:tc>
      </w:tr>
      <w:tr w14:paraId="5CA9596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716" w:hRule="atLeast"/>
          <w:jc w:val="center"/>
        </w:trPr>
        <w:tc>
          <w:tcPr>
            <w:tcW w:w="1660"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35D6201C">
            <w:pPr>
              <w:pStyle w:val="25"/>
              <w:jc w:val="center"/>
              <w:rPr>
                <w:color w:val="auto"/>
                <w:sz w:val="24"/>
                <w:szCs w:val="24"/>
                <w:highlight w:val="none"/>
              </w:rPr>
            </w:pPr>
            <w:r>
              <w:rPr>
                <w:rFonts w:ascii="宋体" w:hAnsi="宋体" w:eastAsia="宋体" w:cs="宋体"/>
                <w:color w:val="auto"/>
                <w:sz w:val="24"/>
                <w:szCs w:val="24"/>
                <w:highlight w:val="none"/>
              </w:rPr>
              <w:t>融媒APP</w:t>
            </w:r>
          </w:p>
        </w:tc>
        <w:tc>
          <w:tcPr>
            <w:tcW w:w="6218" w:type="dxa"/>
            <w:gridSpan w:val="2"/>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2D65F6FB">
            <w:pPr>
              <w:pStyle w:val="25"/>
              <w:jc w:val="center"/>
              <w:rPr>
                <w:color w:val="auto"/>
                <w:sz w:val="24"/>
                <w:szCs w:val="24"/>
                <w:highlight w:val="none"/>
              </w:rPr>
            </w:pPr>
            <w:r>
              <w:rPr>
                <w:rFonts w:ascii="宋体" w:hAnsi="宋体" w:eastAsia="宋体" w:cs="宋体"/>
                <w:color w:val="auto"/>
                <w:sz w:val="24"/>
                <w:szCs w:val="24"/>
                <w:highlight w:val="none"/>
              </w:rPr>
              <w:t>全年服务技术支撑保障及</w:t>
            </w:r>
          </w:p>
          <w:p w14:paraId="4B833D33">
            <w:pPr>
              <w:pStyle w:val="25"/>
              <w:jc w:val="center"/>
              <w:rPr>
                <w:color w:val="auto"/>
                <w:sz w:val="24"/>
                <w:szCs w:val="24"/>
                <w:highlight w:val="none"/>
              </w:rPr>
            </w:pPr>
            <w:r>
              <w:rPr>
                <w:rFonts w:ascii="宋体" w:hAnsi="宋体" w:eastAsia="宋体" w:cs="宋体"/>
                <w:color w:val="auto"/>
                <w:sz w:val="24"/>
                <w:szCs w:val="24"/>
                <w:highlight w:val="none"/>
              </w:rPr>
              <w:t>设备使用</w:t>
            </w:r>
          </w:p>
        </w:tc>
        <w:tc>
          <w:tcPr>
            <w:tcW w:w="915" w:type="dxa"/>
            <w:tcBorders>
              <w:top w:val="nil"/>
              <w:left w:val="single" w:color="000000" w:sz="4" w:space="0"/>
              <w:bottom w:val="single" w:color="000000" w:sz="4" w:space="0"/>
              <w:right w:val="single" w:color="000000" w:sz="4" w:space="0"/>
            </w:tcBorders>
            <w:noWrap w:val="0"/>
            <w:tcMar>
              <w:top w:w="0" w:type="dxa"/>
              <w:left w:w="105" w:type="dxa"/>
              <w:bottom w:w="0" w:type="dxa"/>
              <w:right w:w="105" w:type="dxa"/>
            </w:tcMar>
            <w:vAlign w:val="center"/>
          </w:tcPr>
          <w:p w14:paraId="0C15CF8C">
            <w:pPr>
              <w:pStyle w:val="25"/>
              <w:jc w:val="center"/>
              <w:rPr>
                <w:color w:val="auto"/>
                <w:sz w:val="24"/>
                <w:szCs w:val="24"/>
                <w:highlight w:val="none"/>
              </w:rPr>
            </w:pPr>
          </w:p>
        </w:tc>
      </w:tr>
    </w:tbl>
    <w:p w14:paraId="0A5B2348">
      <w:pPr>
        <w:pStyle w:val="25"/>
        <w:ind w:firstLine="480" w:firstLineChars="200"/>
        <w:jc w:val="left"/>
        <w:rPr>
          <w:rFonts w:hint="eastAsia" w:ascii="宋体" w:hAnsi="宋体" w:eastAsia="宋体" w:cs="宋体"/>
          <w:b w:val="0"/>
          <w:bCs w:val="0"/>
          <w:snapToGrid w:val="0"/>
          <w:color w:val="auto"/>
          <w:kern w:val="0"/>
          <w:sz w:val="24"/>
          <w:szCs w:val="24"/>
          <w:highlight w:val="none"/>
          <w:lang w:val="en-US" w:eastAsia="zh-CN" w:bidi="ar-SA"/>
        </w:rPr>
      </w:pPr>
    </w:p>
    <w:p w14:paraId="7D270ACE">
      <w:pPr>
        <w:pStyle w:val="25"/>
        <w:spacing w:line="360" w:lineRule="auto"/>
        <w:ind w:firstLine="480" w:firstLineChars="200"/>
        <w:jc w:val="left"/>
        <w:rPr>
          <w:rFonts w:hint="eastAsia" w:ascii="宋体" w:hAnsi="宋体" w:eastAsia="宋体" w:cs="宋体"/>
          <w:b w:val="0"/>
          <w:bCs w:val="0"/>
          <w:snapToGrid w:val="0"/>
          <w:color w:val="auto"/>
          <w:kern w:val="0"/>
          <w:sz w:val="24"/>
          <w:szCs w:val="24"/>
          <w:highlight w:val="none"/>
          <w:lang w:val="en-US" w:eastAsia="zh-CN" w:bidi="ar-SA"/>
        </w:rPr>
      </w:pPr>
      <w:r>
        <w:rPr>
          <w:rFonts w:hint="eastAsia" w:ascii="宋体" w:hAnsi="宋体" w:eastAsia="宋体" w:cs="宋体"/>
          <w:b w:val="0"/>
          <w:bCs w:val="0"/>
          <w:snapToGrid w:val="0"/>
          <w:color w:val="auto"/>
          <w:kern w:val="0"/>
          <w:sz w:val="24"/>
          <w:szCs w:val="24"/>
          <w:highlight w:val="none"/>
          <w:lang w:val="en-US" w:eastAsia="zh-CN" w:bidi="ar-SA"/>
        </w:rPr>
        <w:t>二</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val="0"/>
          <w:snapToGrid w:val="0"/>
          <w:color w:val="auto"/>
          <w:kern w:val="0"/>
          <w:sz w:val="24"/>
          <w:szCs w:val="24"/>
          <w:highlight w:val="none"/>
          <w:lang w:val="en-US" w:eastAsia="zh-CN" w:bidi="ar-SA"/>
        </w:rPr>
        <w:t>服务要求</w:t>
      </w:r>
    </w:p>
    <w:p w14:paraId="1CA8F17C">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left="0" w:leftChars="0" w:firstLine="866" w:firstLineChars="361"/>
        <w:jc w:val="left"/>
        <w:textAlignment w:val="auto"/>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①双方以“项目所有权与经营管理权分离，委托管理”的方式进行合作；</w:t>
      </w:r>
    </w:p>
    <w:p w14:paraId="4E4822F1">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left="0" w:leftChars="0" w:firstLine="866" w:firstLineChars="361"/>
        <w:jc w:val="left"/>
        <w:textAlignment w:val="auto"/>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②按照甲方要求乙方派遣规定数量人员，代表乙方运营甲方委托的项目；</w:t>
      </w:r>
    </w:p>
    <w:p w14:paraId="49793EED">
      <w:pPr>
        <w:keepNext w:val="0"/>
        <w:keepLines w:val="0"/>
        <w:pageBreakBefore w:val="0"/>
        <w:widowControl w:val="0"/>
        <w:tabs>
          <w:tab w:val="left" w:pos="6300"/>
        </w:tabs>
        <w:kinsoku/>
        <w:wordWrap/>
        <w:overflowPunct/>
        <w:topLinePunct w:val="0"/>
        <w:autoSpaceDE/>
        <w:autoSpaceDN/>
        <w:bidi w:val="0"/>
        <w:adjustRightInd/>
        <w:snapToGrid w:val="0"/>
        <w:spacing w:line="360" w:lineRule="auto"/>
        <w:ind w:left="0" w:leftChars="0" w:firstLine="866" w:firstLineChars="361"/>
        <w:jc w:val="left"/>
        <w:textAlignment w:val="auto"/>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③双方按约定的权利、责任和义务，在确定的时间内完成各自的工作。</w:t>
      </w:r>
    </w:p>
    <w:p w14:paraId="34654C80">
      <w:pPr>
        <w:keepNext w:val="0"/>
        <w:keepLines w:val="0"/>
        <w:pageBreakBefore w:val="0"/>
        <w:widowControl/>
        <w:kinsoku/>
        <w:wordWrap/>
        <w:overflowPunct/>
        <w:topLinePunct w:val="0"/>
        <w:autoSpaceDE/>
        <w:autoSpaceDN/>
        <w:bidi w:val="0"/>
        <w:spacing w:line="360" w:lineRule="auto"/>
        <w:ind w:firstLine="482" w:firstLineChars="200"/>
        <w:jc w:val="left"/>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第四条  服务费用及支付方式</w:t>
      </w:r>
      <w:bookmarkEnd w:id="21"/>
    </w:p>
    <w:p w14:paraId="31AE91F5">
      <w:pPr>
        <w:pStyle w:val="25"/>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1、服务费按下列比例支付价款</w:t>
      </w:r>
    </w:p>
    <w:p w14:paraId="04E537C7">
      <w:pPr>
        <w:pStyle w:val="25"/>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服务总费用为人民币（大写）：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2AAF7338">
      <w:pPr>
        <w:pStyle w:val="25"/>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支付方式：</w:t>
      </w:r>
      <w:r>
        <w:rPr>
          <w:rFonts w:hint="eastAsia" w:ascii="宋体" w:hAnsi="宋体" w:cs="宋体"/>
          <w:color w:val="auto"/>
          <w:sz w:val="24"/>
          <w:szCs w:val="24"/>
          <w:highlight w:val="none"/>
          <w:lang w:eastAsia="zh-CN"/>
        </w:rPr>
        <w:t>软件运维服务</w:t>
      </w:r>
      <w:r>
        <w:rPr>
          <w:rFonts w:hint="eastAsia" w:ascii="宋体" w:hAnsi="宋体" w:eastAsia="宋体" w:cs="宋体"/>
          <w:color w:val="auto"/>
          <w:sz w:val="24"/>
          <w:szCs w:val="24"/>
          <w:highlight w:val="none"/>
        </w:rPr>
        <w:t>项目执行固定总价合同，该项目不受市场价格变化因素影响。</w:t>
      </w:r>
    </w:p>
    <w:p w14:paraId="60418013">
      <w:pPr>
        <w:pStyle w:val="25"/>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①付款条件说明:达到付款条件起20日内，甲方收到发票后，以转账方式向供应商一次性支付合同总金额的100.00%。</w:t>
      </w:r>
    </w:p>
    <w:p w14:paraId="72B46FB2">
      <w:pPr>
        <w:pStyle w:val="25"/>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2、结算方式：银行转账</w:t>
      </w:r>
    </w:p>
    <w:p w14:paraId="090F47B6">
      <w:pPr>
        <w:pStyle w:val="25"/>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乙方收款账户</w:t>
      </w:r>
    </w:p>
    <w:p w14:paraId="4F68EEAF">
      <w:pPr>
        <w:pStyle w:val="25"/>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账户名称：                 </w:t>
      </w:r>
    </w:p>
    <w:p w14:paraId="62202894">
      <w:pPr>
        <w:pStyle w:val="25"/>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开户银行：                  </w:t>
      </w:r>
    </w:p>
    <w:p w14:paraId="1082492C">
      <w:pPr>
        <w:pStyle w:val="25"/>
        <w:keepNext w:val="0"/>
        <w:keepLines w:val="0"/>
        <w:pageBreakBefore w:val="0"/>
        <w:widowControl w:val="0"/>
        <w:kinsoku/>
        <w:wordWrap/>
        <w:overflowPunct/>
        <w:topLinePunct w:val="0"/>
        <w:autoSpaceDE/>
        <w:autoSpaceDN/>
        <w:bidi w:val="0"/>
        <w:adjustRightInd/>
        <w:snapToGrid/>
        <w:spacing w:line="360" w:lineRule="auto"/>
        <w:ind w:firstLine="403"/>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银行账号：</w:t>
      </w:r>
      <w:r>
        <w:rPr>
          <w:rFonts w:hint="eastAsia" w:ascii="宋体" w:hAnsi="宋体" w:eastAsia="宋体" w:cs="宋体"/>
          <w:color w:val="auto"/>
          <w:sz w:val="24"/>
          <w:szCs w:val="24"/>
          <w:highlight w:val="none"/>
          <w:lang w:val="en-US" w:eastAsia="zh-CN"/>
        </w:rPr>
        <w:t xml:space="preserve">                  </w:t>
      </w:r>
    </w:p>
    <w:p w14:paraId="5194B15D">
      <w:pPr>
        <w:keepNext w:val="0"/>
        <w:keepLines w:val="0"/>
        <w:pageBreakBefore w:val="0"/>
        <w:kinsoku/>
        <w:wordWrap/>
        <w:overflowPunct/>
        <w:topLinePunct w:val="0"/>
        <w:autoSpaceDE/>
        <w:autoSpaceDN/>
        <w:bidi w:val="0"/>
        <w:spacing w:line="360" w:lineRule="auto"/>
        <w:ind w:firstLine="482" w:firstLineChars="200"/>
        <w:outlineLvl w:val="1"/>
        <w:rPr>
          <w:rFonts w:hint="eastAsia" w:ascii="宋体" w:hAnsi="宋体" w:eastAsia="宋体" w:cs="宋体"/>
          <w:b/>
          <w:color w:val="auto"/>
          <w:sz w:val="24"/>
          <w:szCs w:val="24"/>
          <w:highlight w:val="none"/>
        </w:rPr>
      </w:pPr>
      <w:bookmarkStart w:id="22" w:name="_Toc22959"/>
      <w:r>
        <w:rPr>
          <w:rFonts w:hint="eastAsia" w:ascii="宋体" w:hAnsi="宋体" w:eastAsia="宋体" w:cs="宋体"/>
          <w:b/>
          <w:color w:val="auto"/>
          <w:sz w:val="24"/>
          <w:szCs w:val="24"/>
          <w:highlight w:val="none"/>
        </w:rPr>
        <w:t>第五条  知识产权（若有）</w:t>
      </w:r>
      <w:bookmarkEnd w:id="22"/>
    </w:p>
    <w:p w14:paraId="051C9042">
      <w:pPr>
        <w:keepNext w:val="0"/>
        <w:keepLines w:val="0"/>
        <w:pageBreakBefore w:val="0"/>
        <w:tabs>
          <w:tab w:val="left" w:pos="144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乙方应保证所提供的服务或其任何一部分均不会侵犯任何第三方的专利权、商标权或著作权。</w:t>
      </w:r>
    </w:p>
    <w:p w14:paraId="4F64E853">
      <w:pPr>
        <w:keepNext w:val="0"/>
        <w:keepLines w:val="0"/>
        <w:pageBreakBefore w:val="0"/>
        <w:kinsoku/>
        <w:wordWrap/>
        <w:overflowPunct/>
        <w:topLinePunct w:val="0"/>
        <w:autoSpaceDE/>
        <w:autoSpaceDN/>
        <w:bidi w:val="0"/>
        <w:spacing w:line="360" w:lineRule="auto"/>
        <w:ind w:firstLine="482" w:firstLineChars="200"/>
        <w:outlineLvl w:val="1"/>
        <w:rPr>
          <w:rFonts w:hint="eastAsia" w:ascii="宋体" w:hAnsi="宋体" w:eastAsia="宋体" w:cs="宋体"/>
          <w:b/>
          <w:color w:val="auto"/>
          <w:sz w:val="24"/>
          <w:szCs w:val="24"/>
          <w:highlight w:val="none"/>
        </w:rPr>
      </w:pPr>
      <w:bookmarkStart w:id="23" w:name="_Toc31647"/>
      <w:r>
        <w:rPr>
          <w:rFonts w:hint="eastAsia" w:ascii="宋体" w:hAnsi="宋体" w:eastAsia="宋体" w:cs="宋体"/>
          <w:b/>
          <w:color w:val="auto"/>
          <w:sz w:val="24"/>
          <w:szCs w:val="24"/>
          <w:highlight w:val="none"/>
        </w:rPr>
        <w:t>第六条  无产权瑕疵条款（如有）</w:t>
      </w:r>
      <w:bookmarkEnd w:id="23"/>
    </w:p>
    <w:p w14:paraId="4134BDDB">
      <w:pPr>
        <w:keepNext w:val="0"/>
        <w:keepLines w:val="0"/>
        <w:pageBreakBefore w:val="0"/>
        <w:tabs>
          <w:tab w:val="left" w:pos="144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乙方保证所提供的服务的所有权完全属于乙方且无任何抵押、查封等产权瑕疵。如有产权瑕疵的，视为乙方违约。乙方应负担由此而产生的一切损失。</w:t>
      </w:r>
    </w:p>
    <w:p w14:paraId="0E8E415B">
      <w:pPr>
        <w:keepNext w:val="0"/>
        <w:keepLines w:val="0"/>
        <w:pageBreakBefore w:val="0"/>
        <w:widowControl/>
        <w:kinsoku/>
        <w:wordWrap/>
        <w:overflowPunct/>
        <w:topLinePunct w:val="0"/>
        <w:autoSpaceDE/>
        <w:autoSpaceDN/>
        <w:bidi w:val="0"/>
        <w:spacing w:line="360" w:lineRule="auto"/>
        <w:ind w:firstLine="482" w:firstLineChars="200"/>
        <w:jc w:val="left"/>
        <w:outlineLvl w:val="1"/>
        <w:rPr>
          <w:rFonts w:hint="eastAsia" w:ascii="宋体" w:hAnsi="宋体" w:eastAsia="宋体" w:cs="宋体"/>
          <w:b/>
          <w:color w:val="auto"/>
          <w:sz w:val="24"/>
          <w:szCs w:val="24"/>
          <w:highlight w:val="none"/>
        </w:rPr>
      </w:pPr>
      <w:bookmarkStart w:id="24" w:name="_Toc4779"/>
      <w:r>
        <w:rPr>
          <w:rFonts w:hint="eastAsia" w:ascii="宋体" w:hAnsi="宋体" w:eastAsia="宋体" w:cs="宋体"/>
          <w:b/>
          <w:color w:val="auto"/>
          <w:sz w:val="24"/>
          <w:szCs w:val="24"/>
          <w:highlight w:val="none"/>
        </w:rPr>
        <w:t>第七条  履约保证金（如有）</w:t>
      </w:r>
      <w:bookmarkEnd w:id="24"/>
    </w:p>
    <w:p w14:paraId="28884A4B">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1.乙方在签订本合同之前，向甲方提交履约保证金人民币</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元，</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3C7A3FB">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color w:val="auto"/>
          <w:kern w:val="0"/>
          <w:sz w:val="24"/>
          <w:szCs w:val="24"/>
          <w:highlight w:val="none"/>
        </w:rPr>
        <w:t>履约保证金的有效期为乙方承诺的服务期限。</w:t>
      </w:r>
    </w:p>
    <w:p w14:paraId="52229CAB">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3.履约保证金作为违约金的一部分及用于补偿甲方因乙方不能履行合同义务而蒙受的损失。</w:t>
      </w:r>
    </w:p>
    <w:p w14:paraId="0B6CA556">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sz w:val="24"/>
          <w:szCs w:val="24"/>
          <w:highlight w:val="none"/>
        </w:rPr>
        <w:t>服务期限结束后，甲方财务部门接到甲方确认本合同服务等约定事项已经履行完毕的正式书面文件后的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日内，向乙方退还履约保证金。</w:t>
      </w:r>
    </w:p>
    <w:p w14:paraId="263F5E03">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5.乙方可以履约担保函的形式交纳履约保证金。</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27449A8C">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highlight w:val="none"/>
        </w:rPr>
      </w:pPr>
      <w:bookmarkStart w:id="25" w:name="_Toc16162"/>
      <w:r>
        <w:rPr>
          <w:rFonts w:hint="eastAsia" w:ascii="宋体" w:hAnsi="宋体" w:eastAsia="宋体" w:cs="宋体"/>
          <w:b/>
          <w:color w:val="auto"/>
          <w:sz w:val="24"/>
          <w:szCs w:val="24"/>
          <w:highlight w:val="none"/>
        </w:rPr>
        <w:t>第八条  甲方的权利和义务</w:t>
      </w:r>
      <w:bookmarkEnd w:id="25"/>
    </w:p>
    <w:p w14:paraId="42E3CC4A">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22F34C00">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2.负责检查监督乙方管理工作的实施及制度的执行情况。</w:t>
      </w:r>
    </w:p>
    <w:p w14:paraId="6B019EC4">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3.根据本合同规定，按时向乙方支付应付服务费用。</w:t>
      </w:r>
    </w:p>
    <w:p w14:paraId="70640027">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4.甲方应及时对设计方案、数量及技术要求给予确认，因甲方确认时间的推迟而影响系统产品交付时间，由此造成的任何责任由甲方承担；</w:t>
      </w:r>
    </w:p>
    <w:p w14:paraId="7DC84CD9">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5.乙方进行规划设计配置后，甲方要求变更方案数量规格的，应视乙方实际情况而定，同时甲方须承担由此给乙方造成的相应经济损失，且工期顺延；</w:t>
      </w:r>
    </w:p>
    <w:p w14:paraId="24B99500">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6.甲方应按本合同约定支付费用，不得无故拖延或拒绝付款。</w:t>
      </w:r>
    </w:p>
    <w:p w14:paraId="29454AE5">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default"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7</w:t>
      </w:r>
      <w:r>
        <w:rPr>
          <w:rFonts w:hint="eastAsia" w:ascii="宋体" w:hAnsi="宋体" w:eastAsia="宋体" w:cs="宋体"/>
          <w:bCs/>
          <w:color w:val="auto"/>
          <w:sz w:val="24"/>
          <w:szCs w:val="24"/>
          <w:highlight w:val="none"/>
        </w:rPr>
        <w:t>.国家</w:t>
      </w:r>
      <w:r>
        <w:rPr>
          <w:rFonts w:hint="eastAsia" w:ascii="宋体" w:hAnsi="宋体" w:eastAsia="宋体" w:cs="宋体"/>
          <w:bCs/>
          <w:color w:val="auto"/>
          <w:sz w:val="24"/>
          <w:szCs w:val="24"/>
          <w:highlight w:val="none"/>
          <w:lang w:eastAsia="zh-CN"/>
        </w:rPr>
        <w:t>法律法规</w:t>
      </w:r>
      <w:r>
        <w:rPr>
          <w:rFonts w:hint="eastAsia" w:ascii="宋体" w:hAnsi="宋体" w:eastAsia="宋体" w:cs="宋体"/>
          <w:bCs/>
          <w:color w:val="auto"/>
          <w:sz w:val="24"/>
          <w:szCs w:val="24"/>
          <w:highlight w:val="none"/>
        </w:rPr>
        <w:t>所规定由甲方承担的</w:t>
      </w:r>
      <w:r>
        <w:rPr>
          <w:rFonts w:hint="eastAsia" w:ascii="宋体" w:hAnsi="宋体" w:eastAsia="宋体" w:cs="宋体"/>
          <w:bCs/>
          <w:color w:val="auto"/>
          <w:sz w:val="24"/>
          <w:szCs w:val="24"/>
          <w:highlight w:val="none"/>
          <w:lang w:eastAsia="zh-CN"/>
        </w:rPr>
        <w:t>其他</w:t>
      </w:r>
      <w:r>
        <w:rPr>
          <w:rFonts w:hint="eastAsia" w:ascii="宋体" w:hAnsi="宋体" w:eastAsia="宋体" w:cs="宋体"/>
          <w:bCs/>
          <w:color w:val="auto"/>
          <w:sz w:val="24"/>
          <w:szCs w:val="24"/>
          <w:highlight w:val="none"/>
        </w:rPr>
        <w:t>责任。</w:t>
      </w:r>
      <w:r>
        <w:rPr>
          <w:rFonts w:hint="eastAsia" w:ascii="宋体" w:hAnsi="宋体" w:eastAsia="宋体" w:cs="宋体"/>
          <w:bCs/>
          <w:color w:val="auto"/>
          <w:sz w:val="24"/>
          <w:szCs w:val="24"/>
          <w:highlight w:val="none"/>
          <w:lang w:val="en-US" w:eastAsia="zh-CN"/>
        </w:rPr>
        <w:t xml:space="preserve">  </w:t>
      </w:r>
    </w:p>
    <w:p w14:paraId="689515C9">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highlight w:val="none"/>
        </w:rPr>
      </w:pPr>
      <w:bookmarkStart w:id="26" w:name="_Toc27740"/>
      <w:r>
        <w:rPr>
          <w:rFonts w:hint="eastAsia" w:ascii="宋体" w:hAnsi="宋体" w:eastAsia="宋体" w:cs="宋体"/>
          <w:b/>
          <w:color w:val="auto"/>
          <w:sz w:val="24"/>
          <w:szCs w:val="24"/>
          <w:highlight w:val="none"/>
        </w:rPr>
        <w:t>第九条  乙方的权利和义务</w:t>
      </w:r>
      <w:bookmarkEnd w:id="26"/>
    </w:p>
    <w:p w14:paraId="70A00F48">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1.对本合同规定的委托服务范围内的项目享有管理权及服务义务。</w:t>
      </w:r>
    </w:p>
    <w:p w14:paraId="1537C140">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2.根据本合同的规定向甲方收取相关服务费用，并有权在本项目管理范围内管理及合理使用。</w:t>
      </w:r>
    </w:p>
    <w:p w14:paraId="03088811">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3.及时向甲方通告本项目服务范围内有关服务的重大事项，及时配合处理投诉。</w:t>
      </w:r>
    </w:p>
    <w:p w14:paraId="24DF0155">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bCs/>
          <w:color w:val="auto"/>
          <w:sz w:val="24"/>
          <w:szCs w:val="24"/>
          <w:highlight w:val="none"/>
        </w:rPr>
        <w:t>接受项目行业管理部门及政府有关部门的指导，接受甲方的监督。</w:t>
      </w:r>
    </w:p>
    <w:p w14:paraId="65D9C188">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5.</w:t>
      </w:r>
      <w:r>
        <w:rPr>
          <w:rFonts w:hint="eastAsia" w:ascii="宋体" w:hAnsi="宋体" w:eastAsia="宋体" w:cs="宋体"/>
          <w:bCs/>
          <w:color w:val="auto"/>
          <w:sz w:val="24"/>
          <w:szCs w:val="24"/>
          <w:highlight w:val="none"/>
        </w:rPr>
        <w:t>乙方按合同要求提供安装、调试、验收、技术服务（包括培训）、售后服务；</w:t>
      </w:r>
    </w:p>
    <w:p w14:paraId="0D67ABC4">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6.</w:t>
      </w:r>
      <w:r>
        <w:rPr>
          <w:rFonts w:hint="eastAsia" w:ascii="宋体" w:hAnsi="宋体" w:eastAsia="宋体" w:cs="宋体"/>
          <w:bCs/>
          <w:color w:val="auto"/>
          <w:sz w:val="24"/>
          <w:szCs w:val="24"/>
          <w:highlight w:val="none"/>
        </w:rPr>
        <w:t>对产品（服务）质量问题，乙方负责处理；</w:t>
      </w:r>
    </w:p>
    <w:p w14:paraId="74E03941">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7.</w:t>
      </w:r>
      <w:r>
        <w:rPr>
          <w:rFonts w:hint="eastAsia" w:ascii="宋体" w:hAnsi="宋体" w:eastAsia="宋体" w:cs="宋体"/>
          <w:bCs/>
          <w:color w:val="auto"/>
          <w:sz w:val="24"/>
          <w:szCs w:val="24"/>
          <w:highlight w:val="none"/>
        </w:rPr>
        <w:t>为使甲方人员对设备及系统能够有效使用和正确操作、维护，乙方有责任对甲方的操作维护人员进行免费培训，培训内容包括理论培训和实际操作培训；</w:t>
      </w:r>
    </w:p>
    <w:p w14:paraId="5ABE40F6">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8.</w:t>
      </w:r>
      <w:r>
        <w:rPr>
          <w:rFonts w:hint="eastAsia" w:ascii="宋体" w:hAnsi="宋体" w:eastAsia="宋体" w:cs="宋体"/>
          <w:bCs/>
          <w:color w:val="auto"/>
          <w:sz w:val="24"/>
          <w:szCs w:val="24"/>
          <w:highlight w:val="none"/>
        </w:rPr>
        <w:t>乙方必须配合对项目进行共同验收，如因产品质量和系统质量问题，验收不合格，乙方应负责返修所造成的经济损失；</w:t>
      </w:r>
    </w:p>
    <w:p w14:paraId="7098C2A5">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9.</w:t>
      </w:r>
      <w:r>
        <w:rPr>
          <w:rFonts w:hint="eastAsia" w:ascii="宋体" w:hAnsi="宋体" w:eastAsia="宋体" w:cs="宋体"/>
          <w:bCs/>
          <w:color w:val="auto"/>
          <w:sz w:val="24"/>
          <w:szCs w:val="24"/>
          <w:highlight w:val="none"/>
        </w:rPr>
        <w:t>乙方对各技术节点进行日常维护和监控，以保证甲方得到正常的IT服务。</w:t>
      </w:r>
    </w:p>
    <w:p w14:paraId="0622DBB6">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10.</w:t>
      </w:r>
      <w:r>
        <w:rPr>
          <w:rFonts w:hint="eastAsia" w:ascii="宋体" w:hAnsi="宋体" w:eastAsia="宋体" w:cs="宋体"/>
          <w:bCs/>
          <w:color w:val="auto"/>
          <w:sz w:val="24"/>
          <w:szCs w:val="24"/>
          <w:highlight w:val="none"/>
        </w:rPr>
        <w:t>乙方有权按照本合同收取服务费用，并有义务向甲方开具合法发票。</w:t>
      </w:r>
    </w:p>
    <w:p w14:paraId="710F8E67">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11</w:t>
      </w:r>
      <w:r>
        <w:rPr>
          <w:rFonts w:hint="eastAsia" w:ascii="宋体" w:hAnsi="宋体" w:eastAsia="宋体" w:cs="宋体"/>
          <w:bCs/>
          <w:color w:val="auto"/>
          <w:sz w:val="24"/>
          <w:szCs w:val="24"/>
          <w:highlight w:val="none"/>
        </w:rPr>
        <w:t>.国家</w:t>
      </w:r>
      <w:r>
        <w:rPr>
          <w:rFonts w:hint="eastAsia" w:ascii="宋体" w:hAnsi="宋体" w:eastAsia="宋体" w:cs="宋体"/>
          <w:bCs/>
          <w:color w:val="auto"/>
          <w:sz w:val="24"/>
          <w:szCs w:val="24"/>
          <w:highlight w:val="none"/>
          <w:lang w:eastAsia="zh-CN"/>
        </w:rPr>
        <w:t>法律法规</w:t>
      </w:r>
      <w:r>
        <w:rPr>
          <w:rFonts w:hint="eastAsia" w:ascii="宋体" w:hAnsi="宋体" w:eastAsia="宋体" w:cs="宋体"/>
          <w:bCs/>
          <w:color w:val="auto"/>
          <w:sz w:val="24"/>
          <w:szCs w:val="24"/>
          <w:highlight w:val="none"/>
        </w:rPr>
        <w:t>所规定由乙方承担的</w:t>
      </w:r>
      <w:r>
        <w:rPr>
          <w:rFonts w:hint="eastAsia" w:ascii="宋体" w:hAnsi="宋体" w:eastAsia="宋体" w:cs="宋体"/>
          <w:bCs/>
          <w:color w:val="auto"/>
          <w:sz w:val="24"/>
          <w:szCs w:val="24"/>
          <w:highlight w:val="none"/>
          <w:lang w:eastAsia="zh-CN"/>
        </w:rPr>
        <w:t>其他</w:t>
      </w:r>
      <w:r>
        <w:rPr>
          <w:rFonts w:hint="eastAsia" w:ascii="宋体" w:hAnsi="宋体" w:eastAsia="宋体" w:cs="宋体"/>
          <w:bCs/>
          <w:color w:val="auto"/>
          <w:sz w:val="24"/>
          <w:szCs w:val="24"/>
          <w:highlight w:val="none"/>
        </w:rPr>
        <w:t>责任。</w:t>
      </w:r>
    </w:p>
    <w:p w14:paraId="00EFE3CD">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highlight w:val="none"/>
        </w:rPr>
      </w:pPr>
      <w:bookmarkStart w:id="27" w:name="_Toc25988"/>
      <w:r>
        <w:rPr>
          <w:rFonts w:hint="eastAsia" w:ascii="宋体" w:hAnsi="宋体" w:eastAsia="宋体" w:cs="宋体"/>
          <w:b/>
          <w:color w:val="auto"/>
          <w:sz w:val="24"/>
          <w:szCs w:val="24"/>
          <w:highlight w:val="none"/>
        </w:rPr>
        <w:t>第十条  违约责任</w:t>
      </w:r>
      <w:bookmarkEnd w:id="27"/>
    </w:p>
    <w:p w14:paraId="0C04ECB9">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lang w:val="en-US" w:eastAsia="zh-CN"/>
        </w:rPr>
      </w:pPr>
      <w:bookmarkStart w:id="28" w:name="_Toc26448"/>
      <w:r>
        <w:rPr>
          <w:rFonts w:hint="eastAsia" w:ascii="宋体" w:hAnsi="宋体" w:eastAsia="宋体" w:cs="宋体"/>
          <w:bCs/>
          <w:color w:val="auto"/>
          <w:sz w:val="24"/>
          <w:szCs w:val="24"/>
          <w:highlight w:val="none"/>
          <w:lang w:val="en-US" w:eastAsia="zh-CN"/>
        </w:rPr>
        <w:t>由于一方的过错造成本合同不能履行或不能完全履行时，由过错方承担下列违约责任:</w:t>
      </w:r>
    </w:p>
    <w:p w14:paraId="144D5AA1">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1.继续履行合同。</w:t>
      </w:r>
    </w:p>
    <w:p w14:paraId="5CF59900">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2.向守约方支付违约金，违约金的支付方法为:</w:t>
      </w:r>
    </w:p>
    <w:p w14:paraId="51641F96">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(1)乙方逾期完成工作成果的，每逾期一日，乙方向甲方支付违约金1000元，逾期超过30日，甲方有权解除合同，乙方应一次性向甲方支付合同总价款20%违约金，违约金不足以弥补甲方损失的，乙方应予以补足。</w:t>
      </w:r>
    </w:p>
    <w:p w14:paraId="61066F9D">
      <w:pPr>
        <w:keepNext w:val="0"/>
        <w:keepLines w:val="0"/>
        <w:pageBreakBefore w:val="0"/>
        <w:kinsoku/>
        <w:wordWrap/>
        <w:overflowPunct/>
        <w:topLinePunct w:val="0"/>
        <w:autoSpaceDE/>
        <w:autoSpaceDN/>
        <w:bidi w:val="0"/>
        <w:adjustRightInd w:val="0"/>
        <w:spacing w:line="360" w:lineRule="auto"/>
        <w:ind w:firstLine="480" w:firstLineChars="200"/>
        <w:jc w:val="left"/>
        <w:textAlignment w:val="baseline"/>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(2)甲方逾期付款的，乙方应予以书面催告，甲方在接到乙方书面催告之日起15日内仍未付款的，自催告期满，按日向乙方支付应付未付价款的千分之一的违约金。3、违约造成对方损失的，应赔偿守约方的损失</w:t>
      </w:r>
    </w:p>
    <w:p w14:paraId="2BF2FF47">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第十一条  不可抗力事件处理</w:t>
      </w:r>
      <w:bookmarkEnd w:id="28"/>
    </w:p>
    <w:p w14:paraId="196CDF8A">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bookmarkStart w:id="29" w:name="_Toc185395254"/>
      <w:bookmarkStart w:id="30" w:name="_Toc225244857"/>
      <w:bookmarkStart w:id="31" w:name="_Toc211854454"/>
      <w:bookmarkStart w:id="32" w:name="_Toc239568423"/>
      <w:bookmarkStart w:id="33" w:name="_Toc247334846"/>
      <w:bookmarkStart w:id="34" w:name="_Toc251768867"/>
      <w:bookmarkStart w:id="35" w:name="_Toc286993792"/>
      <w:bookmarkStart w:id="36" w:name="_Toc225654649"/>
      <w:bookmarkStart w:id="37" w:name="_Toc232492933"/>
      <w:bookmarkStart w:id="38" w:name="_Toc225670756"/>
      <w:bookmarkStart w:id="39" w:name="_Toc239233919"/>
      <w:bookmarkStart w:id="40" w:name="_Toc238984980"/>
      <w:bookmarkStart w:id="41" w:name="_Toc241833908"/>
      <w:bookmarkStart w:id="42" w:name="_Toc212019599"/>
      <w:bookmarkStart w:id="43" w:name="_Toc237145411"/>
      <w:bookmarkStart w:id="44" w:name="_Toc211911353"/>
      <w:r>
        <w:rPr>
          <w:rFonts w:hint="eastAsia" w:ascii="宋体" w:hAnsi="宋体" w:eastAsia="宋体" w:cs="宋体"/>
          <w:color w:val="auto"/>
          <w:sz w:val="24"/>
          <w:szCs w:val="24"/>
          <w:highlight w:val="none"/>
        </w:rPr>
        <w:t>1.在合同有效期内，任何一方因不可抗力事件导致不能履行合同，则合同履行期可延长，其延长期与不可抗力影响期相同。</w:t>
      </w:r>
    </w:p>
    <w:p w14:paraId="2B07A66A">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2.不可抗力事件发生后，应立即通知对方，并寄送有关权威机构出具的证明。</w:t>
      </w:r>
    </w:p>
    <w:p w14:paraId="56017948">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3.不可抗力事件延续</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天以上，双方应通过友好协商，确定是否继续履行合同。</w:t>
      </w:r>
    </w:p>
    <w:p w14:paraId="786910F6">
      <w:pPr>
        <w:keepNext w:val="0"/>
        <w:keepLines w:val="0"/>
        <w:pageBreakBefore w:val="0"/>
        <w:widowControl/>
        <w:kinsoku/>
        <w:wordWrap/>
        <w:overflowPunct/>
        <w:topLinePunct w:val="0"/>
        <w:autoSpaceDE/>
        <w:autoSpaceDN/>
        <w:bidi w:val="0"/>
        <w:spacing w:before="120" w:beforeLines="50" w:after="120" w:afterLines="50" w:line="360" w:lineRule="auto"/>
        <w:ind w:firstLine="482" w:firstLineChars="200"/>
        <w:jc w:val="left"/>
        <w:outlineLvl w:val="1"/>
        <w:rPr>
          <w:rFonts w:hint="eastAsia" w:ascii="宋体" w:hAnsi="宋体" w:eastAsia="宋体" w:cs="宋体"/>
          <w:color w:val="auto"/>
          <w:kern w:val="0"/>
          <w:sz w:val="24"/>
          <w:szCs w:val="24"/>
          <w:highlight w:val="none"/>
        </w:rPr>
      </w:pPr>
      <w:bookmarkStart w:id="45" w:name="_Toc20448"/>
      <w:r>
        <w:rPr>
          <w:rFonts w:hint="eastAsia" w:ascii="宋体" w:hAnsi="宋体" w:eastAsia="宋体" w:cs="宋体"/>
          <w:b/>
          <w:color w:val="auto"/>
          <w:sz w:val="24"/>
          <w:szCs w:val="24"/>
          <w:highlight w:val="none"/>
        </w:rPr>
        <w:t xml:space="preserve">第十二条  </w:t>
      </w:r>
      <w:r>
        <w:rPr>
          <w:rFonts w:hint="eastAsia" w:ascii="宋体" w:hAnsi="宋体" w:eastAsia="宋体" w:cs="宋体"/>
          <w:b/>
          <w:color w:val="auto"/>
          <w:kern w:val="0"/>
          <w:sz w:val="24"/>
          <w:szCs w:val="24"/>
          <w:highlight w:val="none"/>
        </w:rPr>
        <w:t>合同的变更和终止</w:t>
      </w:r>
      <w:bookmarkEnd w:id="45"/>
    </w:p>
    <w:p w14:paraId="34969DEA">
      <w:pPr>
        <w:keepNext w:val="0"/>
        <w:keepLines w:val="0"/>
        <w:pageBreakBefore w:val="0"/>
        <w:widowControl/>
        <w:kinsoku/>
        <w:wordWrap/>
        <w:overflowPunct/>
        <w:topLinePunct w:val="0"/>
        <w:autoSpaceDE/>
        <w:autoSpaceDN/>
        <w:bidi w:val="0"/>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除《中华人民共和国政府采购法》第49条、第50条第二款规定的情形外，本合同一经签订，甲乙双方不得擅自变更、中止或终止合同。</w:t>
      </w:r>
    </w:p>
    <w:p w14:paraId="2D722CCF">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highlight w:val="none"/>
        </w:rPr>
      </w:pPr>
      <w:bookmarkStart w:id="46" w:name="_Toc32004"/>
      <w:r>
        <w:rPr>
          <w:rFonts w:hint="eastAsia" w:ascii="宋体" w:hAnsi="宋体" w:eastAsia="宋体" w:cs="宋体"/>
          <w:b/>
          <w:color w:val="auto"/>
          <w:sz w:val="24"/>
          <w:szCs w:val="24"/>
          <w:highlight w:val="none"/>
        </w:rPr>
        <w:t>第十三条  解决合同纠纷的方式</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6"/>
    </w:p>
    <w:p w14:paraId="5E271BA4">
      <w:pPr>
        <w:pStyle w:val="23"/>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1、在执行本合同中发生的或与本合同有关的争端，双方应通过友好协商解决，经协商在</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天内不能达成协议时，</w:t>
      </w:r>
      <w:r>
        <w:rPr>
          <w:rFonts w:hint="eastAsia" w:ascii="宋体" w:hAnsi="宋体" w:eastAsia="宋体" w:cs="宋体"/>
          <w:color w:val="auto"/>
          <w:kern w:val="0"/>
          <w:sz w:val="24"/>
          <w:szCs w:val="24"/>
          <w:highlight w:val="none"/>
        </w:rPr>
        <w:t>则采取以下第</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种方式解决争议：</w:t>
      </w:r>
    </w:p>
    <w:p w14:paraId="131BE6A8">
      <w:pPr>
        <w:pStyle w:val="23"/>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（1）向甲方所在地有管辖权的人民法院提起诉讼；</w:t>
      </w:r>
    </w:p>
    <w:p w14:paraId="553F0E5E">
      <w:pPr>
        <w:pStyle w:val="23"/>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（2）向</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eastAsia="zh-CN"/>
        </w:rPr>
        <w:t>西安</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仲裁委员会按其仲裁规则申请仲裁。</w:t>
      </w:r>
    </w:p>
    <w:p w14:paraId="6EEE5A6F">
      <w:pPr>
        <w:keepNext w:val="0"/>
        <w:keepLines w:val="0"/>
        <w:pageBreakBefore w:val="0"/>
        <w:tabs>
          <w:tab w:val="left" w:pos="0"/>
        </w:tabs>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2、在仲裁期间，本合同应继续履行。</w:t>
      </w:r>
    </w:p>
    <w:p w14:paraId="35D5A2C7">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auto"/>
          <w:sz w:val="24"/>
          <w:szCs w:val="24"/>
          <w:highlight w:val="none"/>
        </w:rPr>
      </w:pPr>
      <w:bookmarkStart w:id="47" w:name="_Toc238984981"/>
      <w:bookmarkStart w:id="48" w:name="_Toc225654650"/>
      <w:bookmarkStart w:id="49" w:name="_Toc237145412"/>
      <w:bookmarkStart w:id="50" w:name="_Toc239568424"/>
      <w:bookmarkStart w:id="51" w:name="_Toc232492934"/>
      <w:bookmarkStart w:id="52" w:name="_Toc185395255"/>
      <w:bookmarkStart w:id="53" w:name="_Toc247334847"/>
      <w:bookmarkStart w:id="54" w:name="_Toc283019219"/>
      <w:bookmarkStart w:id="55" w:name="_Toc225670757"/>
      <w:bookmarkStart w:id="56" w:name="_Toc239233920"/>
      <w:bookmarkStart w:id="57" w:name="_Toc282696231"/>
      <w:bookmarkStart w:id="58" w:name="_Toc251768868"/>
      <w:bookmarkStart w:id="59" w:name="_Toc211911354"/>
      <w:bookmarkStart w:id="60" w:name="_Toc286993793"/>
      <w:bookmarkStart w:id="61" w:name="_Toc211854455"/>
      <w:bookmarkStart w:id="62" w:name="_Toc241833909"/>
      <w:bookmarkStart w:id="63" w:name="_Toc212019600"/>
      <w:bookmarkStart w:id="64" w:name="_Toc225244858"/>
      <w:bookmarkStart w:id="65" w:name="_Toc28433"/>
      <w:r>
        <w:rPr>
          <w:rFonts w:hint="eastAsia" w:ascii="宋体" w:hAnsi="宋体" w:eastAsia="宋体" w:cs="宋体"/>
          <w:b/>
          <w:color w:val="auto"/>
          <w:sz w:val="24"/>
          <w:szCs w:val="24"/>
          <w:highlight w:val="none"/>
        </w:rPr>
        <w:t>第十四条  合同</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rFonts w:hint="eastAsia" w:ascii="宋体" w:hAnsi="宋体" w:eastAsia="宋体" w:cs="宋体"/>
          <w:b/>
          <w:color w:val="auto"/>
          <w:sz w:val="24"/>
          <w:szCs w:val="24"/>
          <w:highlight w:val="none"/>
        </w:rPr>
        <w:t>生效及其他</w:t>
      </w:r>
      <w:bookmarkEnd w:id="65"/>
    </w:p>
    <w:p w14:paraId="10EE08AC">
      <w:pPr>
        <w:pStyle w:val="24"/>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1、合同经双方法定代表人（单位负责人）或授权委托代理人签字并加盖单位公章并由采购代理机构盖章后生效。</w:t>
      </w:r>
    </w:p>
    <w:p w14:paraId="77B73996">
      <w:pPr>
        <w:pStyle w:val="24"/>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2、合同执行中涉及采购资金和采购内容修改或补充的，须经政府采购监管部门审批，并签</w:t>
      </w:r>
      <w:r>
        <w:rPr>
          <w:rFonts w:hint="eastAsia" w:ascii="宋体" w:hAnsi="宋体" w:eastAsia="宋体" w:cs="宋体"/>
          <w:color w:val="auto"/>
          <w:sz w:val="24"/>
          <w:szCs w:val="24"/>
          <w:highlight w:val="none"/>
          <w:lang w:eastAsia="zh-CN"/>
        </w:rPr>
        <w:t>订</w:t>
      </w:r>
      <w:r>
        <w:rPr>
          <w:rFonts w:hint="eastAsia" w:ascii="宋体" w:hAnsi="宋体" w:eastAsia="宋体" w:cs="宋体"/>
          <w:color w:val="auto"/>
          <w:sz w:val="24"/>
          <w:szCs w:val="24"/>
          <w:highlight w:val="none"/>
        </w:rPr>
        <w:t>书面补充协议报政府采购监督管理部门备案，方可作为主合同不可分割的一部分。</w:t>
      </w:r>
    </w:p>
    <w:p w14:paraId="4A2096E4">
      <w:pPr>
        <w:pStyle w:val="24"/>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3、本合同一式</w:t>
      </w:r>
      <w:r>
        <w:rPr>
          <w:rFonts w:hint="eastAsia" w:ascii="宋体" w:hAnsi="宋体" w:eastAsia="宋体" w:cs="宋体"/>
          <w:color w:val="auto"/>
          <w:sz w:val="24"/>
          <w:szCs w:val="24"/>
          <w:highlight w:val="none"/>
          <w:lang w:val="en-US" w:eastAsia="zh-CN"/>
        </w:rPr>
        <w:t>陆</w:t>
      </w:r>
      <w:r>
        <w:rPr>
          <w:rFonts w:hint="eastAsia" w:ascii="宋体" w:hAnsi="宋体" w:eastAsia="宋体" w:cs="宋体"/>
          <w:color w:val="auto"/>
          <w:sz w:val="24"/>
          <w:szCs w:val="24"/>
          <w:highlight w:val="none"/>
        </w:rPr>
        <w:t>份，自双方签章之日起</w:t>
      </w:r>
      <w:r>
        <w:rPr>
          <w:rFonts w:hint="eastAsia" w:ascii="宋体" w:hAnsi="宋体" w:eastAsia="宋体" w:cs="宋体"/>
          <w:color w:val="auto"/>
          <w:sz w:val="24"/>
          <w:szCs w:val="24"/>
          <w:highlight w:val="none"/>
          <w:lang w:eastAsia="zh-CN"/>
        </w:rPr>
        <w:t>生</w:t>
      </w:r>
      <w:r>
        <w:rPr>
          <w:rFonts w:hint="eastAsia" w:ascii="宋体" w:hAnsi="宋体" w:eastAsia="宋体" w:cs="宋体"/>
          <w:color w:val="auto"/>
          <w:sz w:val="24"/>
          <w:szCs w:val="24"/>
          <w:highlight w:val="none"/>
        </w:rPr>
        <w:t>效。甲方</w:t>
      </w:r>
      <w:r>
        <w:rPr>
          <w:rFonts w:hint="eastAsia" w:ascii="宋体" w:hAnsi="宋体" w:eastAsia="宋体" w:cs="宋体"/>
          <w:color w:val="auto"/>
          <w:sz w:val="24"/>
          <w:szCs w:val="24"/>
          <w:highlight w:val="none"/>
          <w:lang w:val="en-US" w:eastAsia="zh-CN"/>
        </w:rPr>
        <w:t>贰</w:t>
      </w:r>
      <w:r>
        <w:rPr>
          <w:rFonts w:hint="eastAsia" w:ascii="宋体" w:hAnsi="宋体" w:eastAsia="宋体" w:cs="宋体"/>
          <w:color w:val="auto"/>
          <w:sz w:val="24"/>
          <w:szCs w:val="24"/>
          <w:highlight w:val="none"/>
        </w:rPr>
        <w:t>份，乙方</w:t>
      </w:r>
      <w:r>
        <w:rPr>
          <w:rFonts w:hint="eastAsia" w:ascii="宋体" w:hAnsi="宋体" w:eastAsia="宋体" w:cs="宋体"/>
          <w:color w:val="auto"/>
          <w:sz w:val="24"/>
          <w:szCs w:val="24"/>
          <w:highlight w:val="none"/>
          <w:lang w:val="en-US" w:eastAsia="zh-CN"/>
        </w:rPr>
        <w:t>贰</w:t>
      </w:r>
      <w:r>
        <w:rPr>
          <w:rFonts w:hint="eastAsia" w:ascii="宋体" w:hAnsi="宋体" w:eastAsia="宋体" w:cs="宋体"/>
          <w:color w:val="auto"/>
          <w:sz w:val="24"/>
          <w:szCs w:val="24"/>
          <w:highlight w:val="none"/>
        </w:rPr>
        <w:t>份，政府采购代理机构壹份，同级财政部门备案壹份，具有同等法律效力。</w:t>
      </w:r>
    </w:p>
    <w:p w14:paraId="6F2F664F">
      <w:pPr>
        <w:pStyle w:val="24"/>
        <w:keepNext w:val="0"/>
        <w:keepLines w:val="0"/>
        <w:pageBreakBefore w:val="0"/>
        <w:kinsoku/>
        <w:wordWrap/>
        <w:overflowPunct/>
        <w:topLinePunct w:val="0"/>
        <w:autoSpaceDE/>
        <w:autoSpaceDN/>
        <w:bidi w:val="0"/>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第十五条 附件</w:t>
      </w:r>
    </w:p>
    <w:p w14:paraId="6C3AA64E">
      <w:pPr>
        <w:pStyle w:val="24"/>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项目采购文件</w:t>
      </w:r>
      <w:r>
        <w:rPr>
          <w:rFonts w:hint="eastAsia" w:ascii="宋体" w:hAnsi="宋体" w:eastAsia="宋体" w:cs="宋体"/>
          <w:color w:val="auto"/>
          <w:sz w:val="24"/>
          <w:szCs w:val="24"/>
          <w:highlight w:val="none"/>
          <w:lang w:eastAsia="zh-CN"/>
        </w:rPr>
        <w:t>；</w:t>
      </w:r>
    </w:p>
    <w:p w14:paraId="2A0F03FE">
      <w:pPr>
        <w:pStyle w:val="24"/>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、项目响应文件</w:t>
      </w:r>
      <w:r>
        <w:rPr>
          <w:rFonts w:hint="eastAsia" w:ascii="宋体" w:hAnsi="宋体" w:eastAsia="宋体" w:cs="宋体"/>
          <w:color w:val="auto"/>
          <w:sz w:val="24"/>
          <w:szCs w:val="24"/>
          <w:highlight w:val="none"/>
          <w:lang w:eastAsia="zh-CN"/>
        </w:rPr>
        <w:t>；</w:t>
      </w:r>
    </w:p>
    <w:p w14:paraId="6F90D5BF">
      <w:pPr>
        <w:pStyle w:val="24"/>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、成交通知书</w:t>
      </w:r>
      <w:r>
        <w:rPr>
          <w:rFonts w:hint="eastAsia" w:ascii="宋体" w:hAnsi="宋体" w:eastAsia="宋体" w:cs="宋体"/>
          <w:color w:val="auto"/>
          <w:sz w:val="24"/>
          <w:szCs w:val="24"/>
          <w:highlight w:val="none"/>
          <w:lang w:eastAsia="zh-CN"/>
        </w:rPr>
        <w:t>；</w:t>
      </w:r>
    </w:p>
    <w:p w14:paraId="4D7B673D">
      <w:pPr>
        <w:pStyle w:val="24"/>
        <w:keepNext w:val="0"/>
        <w:keepLines w:val="0"/>
        <w:pageBreakBefore w:val="0"/>
        <w:kinsoku/>
        <w:wordWrap/>
        <w:overflowPunct/>
        <w:topLinePunct w:val="0"/>
        <w:autoSpaceDE/>
        <w:autoSpaceDN/>
        <w:bidi w:val="0"/>
        <w:spacing w:line="360" w:lineRule="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4、附件（</w:t>
      </w:r>
      <w:r>
        <w:rPr>
          <w:rFonts w:hint="eastAsia" w:ascii="宋体" w:hAnsi="宋体" w:eastAsia="宋体" w:cs="宋体"/>
          <w:b/>
          <w:bCs/>
          <w:color w:val="auto"/>
          <w:kern w:val="0"/>
          <w:sz w:val="21"/>
          <w:szCs w:val="21"/>
          <w:highlight w:val="none"/>
          <w:lang w:val="en-US" w:eastAsia="zh-CN" w:bidi="ar"/>
        </w:rPr>
        <w:t>1.</w:t>
      </w:r>
      <w:r>
        <w:rPr>
          <w:rFonts w:hint="eastAsia" w:ascii="宋体" w:hAnsi="宋体" w:eastAsia="宋体" w:cs="宋体"/>
          <w:b/>
          <w:bCs/>
          <w:color w:val="auto"/>
          <w:sz w:val="21"/>
          <w:szCs w:val="21"/>
          <w:highlight w:val="none"/>
          <w:lang w:eastAsia="zh-CN"/>
        </w:rPr>
        <w:t>财务状况报告；</w:t>
      </w:r>
      <w:r>
        <w:rPr>
          <w:rFonts w:hint="eastAsia" w:ascii="宋体" w:hAnsi="宋体" w:eastAsia="宋体" w:cs="宋体"/>
          <w:b/>
          <w:bCs/>
          <w:color w:val="auto"/>
          <w:sz w:val="21"/>
          <w:szCs w:val="21"/>
          <w:highlight w:val="none"/>
          <w:lang w:val="en-US" w:eastAsia="zh-CN"/>
        </w:rPr>
        <w:t>2.</w:t>
      </w:r>
      <w:r>
        <w:rPr>
          <w:rFonts w:hint="eastAsia" w:ascii="宋体" w:hAnsi="宋体" w:eastAsia="宋体" w:cs="宋体"/>
          <w:b/>
          <w:bCs/>
          <w:color w:val="auto"/>
          <w:sz w:val="21"/>
          <w:szCs w:val="21"/>
          <w:highlight w:val="none"/>
          <w:lang w:eastAsia="zh-CN"/>
        </w:rPr>
        <w:t>税收缴纳证明；</w:t>
      </w:r>
      <w:r>
        <w:rPr>
          <w:rFonts w:hint="eastAsia" w:ascii="宋体" w:hAnsi="宋体" w:eastAsia="宋体" w:cs="宋体"/>
          <w:b/>
          <w:bCs/>
          <w:color w:val="auto"/>
          <w:sz w:val="21"/>
          <w:szCs w:val="21"/>
          <w:highlight w:val="none"/>
          <w:lang w:val="en-US" w:eastAsia="zh-CN"/>
        </w:rPr>
        <w:t>3.</w:t>
      </w:r>
      <w:r>
        <w:rPr>
          <w:rFonts w:hint="default" w:ascii="Times New Roman" w:hAnsi="Times New Roman" w:eastAsia="宋体" w:cs="Times New Roman"/>
          <w:b/>
          <w:bCs/>
          <w:color w:val="auto"/>
          <w:sz w:val="21"/>
          <w:szCs w:val="21"/>
          <w:highlight w:val="none"/>
        </w:rPr>
        <w:t>社保资金缴纳证明</w:t>
      </w:r>
      <w:r>
        <w:rPr>
          <w:rFonts w:hint="eastAsia" w:ascii="Times New Roman" w:hAnsi="Times New Roman" w:eastAsia="宋体" w:cs="Times New Roman"/>
          <w:b/>
          <w:bCs/>
          <w:color w:val="auto"/>
          <w:sz w:val="21"/>
          <w:szCs w:val="21"/>
          <w:highlight w:val="none"/>
          <w:lang w:eastAsia="zh-CN"/>
        </w:rPr>
        <w:t>；</w:t>
      </w:r>
      <w:r>
        <w:rPr>
          <w:rFonts w:hint="eastAsia" w:ascii="Times New Roman" w:hAnsi="Times New Roman" w:eastAsia="宋体" w:cs="Times New Roman"/>
          <w:b/>
          <w:bCs/>
          <w:color w:val="auto"/>
          <w:sz w:val="21"/>
          <w:szCs w:val="21"/>
          <w:highlight w:val="none"/>
          <w:lang w:val="en-US" w:eastAsia="zh-CN"/>
        </w:rPr>
        <w:t>4.被授权代表的身份证复印件以及20</w:t>
      </w:r>
      <w:commentRangeStart w:id="0"/>
      <w:r>
        <w:rPr>
          <w:rFonts w:hint="eastAsia" w:ascii="Times New Roman" w:hAnsi="Times New Roman" w:eastAsia="宋体" w:cs="Times New Roman"/>
          <w:b/>
          <w:bCs/>
          <w:color w:val="auto"/>
          <w:sz w:val="21"/>
          <w:szCs w:val="21"/>
          <w:highlight w:val="none"/>
          <w:lang w:val="en-US" w:eastAsia="zh-CN"/>
        </w:rPr>
        <w:t>25年1</w:t>
      </w:r>
      <w:commentRangeEnd w:id="0"/>
      <w:r>
        <w:rPr>
          <w:color w:val="auto"/>
          <w:highlight w:val="none"/>
        </w:rPr>
        <w:commentReference w:id="0"/>
      </w:r>
      <w:r>
        <w:rPr>
          <w:rFonts w:hint="eastAsia" w:ascii="Times New Roman" w:hAnsi="Times New Roman" w:eastAsia="宋体" w:cs="Times New Roman"/>
          <w:b/>
          <w:bCs/>
          <w:color w:val="auto"/>
          <w:sz w:val="21"/>
          <w:szCs w:val="21"/>
          <w:highlight w:val="none"/>
          <w:lang w:val="en-US" w:eastAsia="zh-CN"/>
        </w:rPr>
        <w:t>月至今任意时段在本单位注册的已缴纳的社会保障资金缴存单据或社保机构开具的社会保险参保缴费情况证明</w:t>
      </w:r>
      <w:r>
        <w:rPr>
          <w:rFonts w:hint="eastAsia" w:ascii="宋体" w:hAnsi="宋体" w:eastAsia="宋体" w:cs="宋体"/>
          <w:color w:val="auto"/>
          <w:sz w:val="24"/>
          <w:szCs w:val="24"/>
          <w:highlight w:val="none"/>
          <w:lang w:val="en-US" w:eastAsia="zh-CN"/>
        </w:rPr>
        <w:t>）。</w:t>
      </w:r>
    </w:p>
    <w:p w14:paraId="4E339A8F">
      <w:pPr>
        <w:pStyle w:val="24"/>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、其他</w:t>
      </w:r>
      <w:r>
        <w:rPr>
          <w:rFonts w:hint="eastAsia" w:ascii="宋体" w:hAnsi="宋体" w:eastAsia="宋体" w:cs="宋体"/>
          <w:color w:val="auto"/>
          <w:sz w:val="24"/>
          <w:szCs w:val="24"/>
          <w:highlight w:val="none"/>
          <w:lang w:eastAsia="zh-CN"/>
        </w:rPr>
        <w:t>。</w:t>
      </w:r>
    </w:p>
    <w:p w14:paraId="6E519CB6">
      <w:pPr>
        <w:pStyle w:val="24"/>
        <w:keepNext w:val="0"/>
        <w:keepLines w:val="0"/>
        <w:pageBreakBefore w:val="0"/>
        <w:kinsoku/>
        <w:wordWrap/>
        <w:overflowPunct/>
        <w:topLinePunct w:val="0"/>
        <w:autoSpaceDE/>
        <w:autoSpaceDN/>
        <w:bidi w:val="0"/>
        <w:spacing w:line="360" w:lineRule="auto"/>
        <w:ind w:left="0" w:leftChars="0" w:firstLine="0" w:firstLineChars="0"/>
        <w:rPr>
          <w:rFonts w:hint="eastAsia" w:ascii="宋体" w:hAnsi="宋体" w:eastAsia="宋体" w:cs="宋体"/>
          <w:color w:val="auto"/>
          <w:sz w:val="24"/>
          <w:szCs w:val="24"/>
          <w:highlight w:val="none"/>
          <w:lang w:eastAsia="zh-CN"/>
        </w:rPr>
      </w:pPr>
    </w:p>
    <w:p w14:paraId="5FD38E84">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7225274C">
      <w:pPr>
        <w:pStyle w:val="2"/>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此页无正文</w:t>
      </w:r>
      <w:r>
        <w:rPr>
          <w:rFonts w:hint="eastAsia" w:ascii="宋体" w:hAnsi="宋体" w:cs="宋体"/>
          <w:color w:val="auto"/>
          <w:sz w:val="24"/>
          <w:szCs w:val="24"/>
          <w:highlight w:val="none"/>
          <w:lang w:eastAsia="zh-CN"/>
        </w:rPr>
        <w:t>）</w:t>
      </w:r>
    </w:p>
    <w:p w14:paraId="50B9DDA2">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甲方：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（盖章）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乙方：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（盖章）</w:t>
      </w:r>
    </w:p>
    <w:p w14:paraId="6B37FA82">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法定代表人：（单位负责人）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法定代表人：（单位负责人）</w:t>
      </w:r>
    </w:p>
    <w:p w14:paraId="367C39DE">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                           地    址：</w:t>
      </w:r>
    </w:p>
    <w:p w14:paraId="41841D52">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                           开户银行：</w:t>
      </w:r>
    </w:p>
    <w:p w14:paraId="17D6B991">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                               账号：</w:t>
      </w:r>
    </w:p>
    <w:p w14:paraId="6A5E4A59">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                           电    话：</w:t>
      </w:r>
    </w:p>
    <w:p w14:paraId="4E05C3F6">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                           传    真：</w:t>
      </w:r>
    </w:p>
    <w:p w14:paraId="093F8073">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签约日期：  年  月  日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签约日期：  年  月  日</w:t>
      </w:r>
    </w:p>
    <w:p w14:paraId="3C48614D">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297C61BF">
      <w:pPr>
        <w:pStyle w:val="9"/>
        <w:adjustRightInd w:val="0"/>
        <w:snapToGrid w:val="0"/>
        <w:spacing w:line="360" w:lineRule="auto"/>
        <w:jc w:val="left"/>
        <w:rPr>
          <w:rFonts w:hint="eastAsia" w:ascii="黑体" w:eastAsia="黑体"/>
          <w:color w:val="auto"/>
          <w:sz w:val="36"/>
          <w:szCs w:val="36"/>
          <w:highlight w:val="none"/>
          <w:lang w:eastAsia="zh-CN"/>
        </w:rPr>
      </w:pPr>
      <w:r>
        <w:rPr>
          <w:rFonts w:hint="eastAsia" w:ascii="黑体" w:eastAsia="黑体"/>
          <w:color w:val="auto"/>
          <w:sz w:val="36"/>
          <w:szCs w:val="36"/>
          <w:highlight w:val="none"/>
          <w:lang w:eastAsia="zh-CN"/>
        </w:rPr>
        <w:t>附件</w:t>
      </w:r>
    </w:p>
    <w:p w14:paraId="55E644EB">
      <w:pPr>
        <w:pStyle w:val="9"/>
        <w:adjustRightInd w:val="0"/>
        <w:snapToGrid w:val="0"/>
        <w:spacing w:line="360" w:lineRule="auto"/>
        <w:jc w:val="center"/>
        <w:rPr>
          <w:rFonts w:hint="eastAsia" w:ascii="黑体" w:eastAsia="黑体"/>
          <w:color w:val="auto"/>
          <w:sz w:val="36"/>
          <w:szCs w:val="36"/>
          <w:highlight w:val="none"/>
        </w:rPr>
      </w:pPr>
      <w:r>
        <w:rPr>
          <w:rFonts w:hint="eastAsia" w:ascii="黑体" w:eastAsia="黑体"/>
          <w:color w:val="auto"/>
          <w:sz w:val="36"/>
          <w:szCs w:val="36"/>
          <w:highlight w:val="none"/>
        </w:rPr>
        <w:t>财务状况报告</w:t>
      </w:r>
    </w:p>
    <w:p w14:paraId="207E2288">
      <w:pPr>
        <w:pStyle w:val="9"/>
        <w:adjustRightInd w:val="0"/>
        <w:snapToGrid w:val="0"/>
        <w:spacing w:line="360" w:lineRule="auto"/>
        <w:ind w:firstLine="420" w:firstLineChars="200"/>
        <w:rPr>
          <w:rFonts w:hint="eastAsia" w:hAnsi="宋体"/>
          <w:b/>
          <w:bCs/>
          <w:color w:val="auto"/>
          <w:highlight w:val="none"/>
          <w:lang w:eastAsia="zh-CN"/>
        </w:rPr>
      </w:pPr>
      <w:r>
        <w:rPr>
          <w:rFonts w:hint="eastAsia" w:hAnsi="宋体"/>
          <w:b/>
          <w:bCs/>
          <w:color w:val="auto"/>
          <w:highlight w:val="none"/>
          <w:lang w:eastAsia="zh-CN"/>
        </w:rPr>
        <w:t>说明：</w:t>
      </w:r>
    </w:p>
    <w:p w14:paraId="46976628">
      <w:pPr>
        <w:pStyle w:val="9"/>
        <w:adjustRightInd w:val="0"/>
        <w:snapToGrid w:val="0"/>
        <w:spacing w:line="360" w:lineRule="auto"/>
        <w:ind w:firstLine="420" w:firstLineChars="200"/>
        <w:rPr>
          <w:rFonts w:hint="eastAsia" w:hAnsi="宋体"/>
          <w:color w:val="auto"/>
          <w:highlight w:val="none"/>
          <w:lang w:eastAsia="zh-CN"/>
        </w:rPr>
      </w:pPr>
      <w:r>
        <w:rPr>
          <w:rFonts w:hint="default" w:ascii="Times New Roman" w:hAnsi="Times New Roman" w:cs="Times New Roman"/>
          <w:color w:val="auto"/>
          <w:szCs w:val="21"/>
          <w:highlight w:val="none"/>
        </w:rPr>
        <w:t>提供</w:t>
      </w:r>
      <w:r>
        <w:rPr>
          <w:rFonts w:hint="default" w:ascii="Times New Roman" w:hAnsi="Times New Roman" w:cs="Times New Roman"/>
          <w:color w:val="auto"/>
          <w:szCs w:val="21"/>
          <w:highlight w:val="none"/>
          <w:lang w:eastAsia="zh-CN"/>
        </w:rPr>
        <w:t>202</w:t>
      </w:r>
      <w:r>
        <w:rPr>
          <w:rFonts w:hint="eastAsia" w:ascii="Times New Roman" w:hAnsi="Times New Roman" w:cs="Times New Roman"/>
          <w:color w:val="auto"/>
          <w:szCs w:val="21"/>
          <w:highlight w:val="none"/>
          <w:lang w:val="en-US" w:eastAsia="zh-CN"/>
        </w:rPr>
        <w:t>3</w:t>
      </w:r>
      <w:r>
        <w:rPr>
          <w:rFonts w:hint="default" w:ascii="Times New Roman" w:hAnsi="Times New Roman" w:cs="Times New Roman"/>
          <w:color w:val="auto"/>
          <w:szCs w:val="21"/>
          <w:highlight w:val="none"/>
          <w:lang w:eastAsia="zh-CN"/>
        </w:rPr>
        <w:t>年度或202</w:t>
      </w:r>
      <w:r>
        <w:rPr>
          <w:rFonts w:hint="eastAsia" w:ascii="Times New Roman" w:hAnsi="Times New Roman" w:cs="Times New Roman"/>
          <w:color w:val="auto"/>
          <w:szCs w:val="21"/>
          <w:highlight w:val="none"/>
          <w:lang w:val="en-US" w:eastAsia="zh-CN"/>
        </w:rPr>
        <w:t>4</w:t>
      </w:r>
      <w:r>
        <w:rPr>
          <w:rFonts w:hint="default" w:ascii="Times New Roman" w:hAnsi="Times New Roman" w:cs="Times New Roman"/>
          <w:color w:val="auto"/>
          <w:szCs w:val="21"/>
          <w:highlight w:val="none"/>
          <w:lang w:eastAsia="zh-CN"/>
        </w:rPr>
        <w:t>年度</w:t>
      </w:r>
      <w:r>
        <w:rPr>
          <w:rFonts w:hint="default" w:ascii="Times New Roman" w:hAnsi="Times New Roman" w:cs="Times New Roman"/>
          <w:color w:val="auto"/>
          <w:szCs w:val="21"/>
          <w:highlight w:val="none"/>
        </w:rPr>
        <w:t>经审计的财务会计报告或其提交响应文件截止时间前3个月内</w:t>
      </w:r>
      <w:r>
        <w:rPr>
          <w:rFonts w:hint="default" w:ascii="Times New Roman" w:hAnsi="Times New Roman" w:cs="Times New Roman"/>
          <w:color w:val="auto"/>
          <w:highlight w:val="none"/>
        </w:rPr>
        <w:t>银行出具的资信证明</w:t>
      </w:r>
      <w:r>
        <w:rPr>
          <w:rFonts w:hint="default" w:ascii="Times New Roman" w:hAnsi="Times New Roman" w:cs="Times New Roman"/>
          <w:color w:val="auto"/>
          <w:szCs w:val="21"/>
          <w:highlight w:val="none"/>
          <w:lang w:eastAsia="zh-Hans"/>
        </w:rPr>
        <w:t>。</w:t>
      </w:r>
      <w:r>
        <w:rPr>
          <w:rFonts w:hint="eastAsia" w:hAnsi="宋体"/>
          <w:color w:val="auto"/>
          <w:highlight w:val="none"/>
          <w:lang w:eastAsia="zh-CN"/>
        </w:rPr>
        <w:t>（以上两种形式的资料提供任何一种即可）</w:t>
      </w:r>
    </w:p>
    <w:p w14:paraId="62155AE8">
      <w:pPr>
        <w:pStyle w:val="9"/>
        <w:adjustRightInd w:val="0"/>
        <w:snapToGrid w:val="0"/>
        <w:spacing w:line="360" w:lineRule="auto"/>
        <w:ind w:firstLine="420" w:firstLineChars="200"/>
        <w:rPr>
          <w:rFonts w:hint="eastAsia" w:hAnsi="宋体"/>
          <w:b/>
          <w:bCs/>
          <w:color w:val="auto"/>
          <w:highlight w:val="none"/>
          <w:lang w:eastAsia="zh-CN"/>
        </w:rPr>
      </w:pPr>
      <w:r>
        <w:rPr>
          <w:rFonts w:hint="eastAsia" w:hAnsi="宋体"/>
          <w:b/>
          <w:bCs/>
          <w:color w:val="auto"/>
          <w:highlight w:val="none"/>
          <w:lang w:eastAsia="zh-CN"/>
        </w:rPr>
        <w:t>要求：</w:t>
      </w:r>
    </w:p>
    <w:p w14:paraId="163B2B8F">
      <w:pPr>
        <w:rPr>
          <w:rFonts w:hint="eastAsia" w:ascii="Times New Roman" w:hAnsi="Times New Roman" w:eastAsia="Arial" w:cs="Times New Roman"/>
          <w:snapToGrid w:val="0"/>
          <w:color w:val="auto"/>
          <w:kern w:val="0"/>
          <w:sz w:val="21"/>
          <w:szCs w:val="21"/>
          <w:highlight w:val="none"/>
          <w:lang w:val="en-US" w:eastAsia="en-US" w:bidi="ar-SA"/>
        </w:rPr>
      </w:pPr>
      <w:r>
        <w:rPr>
          <w:rFonts w:hint="eastAsia" w:ascii="Times New Roman" w:hAnsi="Times New Roman" w:eastAsia="Arial" w:cs="Times New Roman"/>
          <w:snapToGrid w:val="0"/>
          <w:color w:val="auto"/>
          <w:kern w:val="0"/>
          <w:sz w:val="21"/>
          <w:szCs w:val="21"/>
          <w:highlight w:val="none"/>
          <w:lang w:val="en-US" w:eastAsia="en-US" w:bidi="ar-SA"/>
        </w:rPr>
        <w:t>（1）供应商是企业法人的，应提供2023或2024全年度经审计的财务报告，包括 “四表一注”即《资产负债表》《利润表》《现金流量表》《所有者权益变动表》及其附注，或者提交响应文件截止时间前3个月内其基本账户开户银行出具的资信证明（附基本存款账户信息）；</w:t>
      </w:r>
    </w:p>
    <w:p w14:paraId="05705DA2">
      <w:pPr>
        <w:rPr>
          <w:rFonts w:hint="eastAsia" w:ascii="Times New Roman" w:hAnsi="Times New Roman" w:eastAsia="Arial" w:cs="Times New Roman"/>
          <w:snapToGrid w:val="0"/>
          <w:color w:val="auto"/>
          <w:kern w:val="0"/>
          <w:sz w:val="21"/>
          <w:szCs w:val="21"/>
          <w:highlight w:val="none"/>
          <w:lang w:val="en-US" w:eastAsia="en-US" w:bidi="ar-SA"/>
        </w:rPr>
      </w:pPr>
      <w:r>
        <w:rPr>
          <w:rFonts w:hint="eastAsia" w:ascii="Times New Roman" w:hAnsi="Times New Roman" w:eastAsia="Arial" w:cs="Times New Roman"/>
          <w:snapToGrid w:val="0"/>
          <w:color w:val="auto"/>
          <w:kern w:val="0"/>
          <w:sz w:val="21"/>
          <w:szCs w:val="21"/>
          <w:highlight w:val="none"/>
          <w:lang w:val="en-US" w:eastAsia="en-US" w:bidi="ar-SA"/>
        </w:rPr>
        <w:t>（2）供应商是执行《小企业会计准则》的小微企业的，应提供2023或2024全年度经审计的财务报告，至少包括 《资产负债表》《利润表》《现金流量表》及其附注，或者提交响应文件截止时间前3个月内其基本账户开户银行出具的资信证明（附基本存款账户信息）；</w:t>
      </w:r>
    </w:p>
    <w:p w14:paraId="60771B8E">
      <w:pPr>
        <w:rPr>
          <w:rFonts w:hint="eastAsia" w:ascii="Times New Roman" w:hAnsi="Times New Roman" w:eastAsia="Arial" w:cs="Times New Roman"/>
          <w:snapToGrid w:val="0"/>
          <w:color w:val="auto"/>
          <w:kern w:val="0"/>
          <w:sz w:val="21"/>
          <w:szCs w:val="21"/>
          <w:highlight w:val="none"/>
          <w:lang w:val="en-US" w:eastAsia="en-US" w:bidi="ar-SA"/>
        </w:rPr>
      </w:pPr>
      <w:r>
        <w:rPr>
          <w:rFonts w:hint="eastAsia" w:ascii="Times New Roman" w:hAnsi="Times New Roman" w:eastAsia="Arial" w:cs="Times New Roman"/>
          <w:snapToGrid w:val="0"/>
          <w:color w:val="auto"/>
          <w:kern w:val="0"/>
          <w:sz w:val="21"/>
          <w:szCs w:val="21"/>
          <w:highlight w:val="none"/>
          <w:lang w:val="en-US" w:eastAsia="en-US" w:bidi="ar-SA"/>
        </w:rPr>
        <w:t>（3）公益类事业单位无需提供；</w:t>
      </w:r>
    </w:p>
    <w:p w14:paraId="05A24C1A">
      <w:pPr>
        <w:rPr>
          <w:rFonts w:hint="eastAsia" w:ascii="Times New Roman" w:hAnsi="Times New Roman" w:eastAsia="Arial" w:cs="Times New Roman"/>
          <w:snapToGrid w:val="0"/>
          <w:color w:val="auto"/>
          <w:kern w:val="0"/>
          <w:sz w:val="21"/>
          <w:szCs w:val="21"/>
          <w:highlight w:val="none"/>
          <w:lang w:val="en-US" w:eastAsia="en-US" w:bidi="ar-SA"/>
        </w:rPr>
      </w:pPr>
      <w:r>
        <w:rPr>
          <w:rFonts w:hint="eastAsia" w:ascii="Times New Roman" w:hAnsi="Times New Roman" w:eastAsia="Arial" w:cs="Times New Roman"/>
          <w:snapToGrid w:val="0"/>
          <w:color w:val="auto"/>
          <w:kern w:val="0"/>
          <w:sz w:val="21"/>
          <w:szCs w:val="21"/>
          <w:highlight w:val="none"/>
          <w:lang w:val="en-US" w:eastAsia="en-US" w:bidi="ar-SA"/>
        </w:rPr>
        <w:t>（4）部分其他组织和自然人，提供提交响应文件截止时间前3个月内银行出具的资信证明（附账户信息）；</w:t>
      </w:r>
    </w:p>
    <w:p w14:paraId="2A683686">
      <w:pPr>
        <w:rPr>
          <w:rFonts w:hint="eastAsia" w:ascii="Times New Roman" w:hAnsi="Times New Roman" w:eastAsia="Arial" w:cs="Times New Roman"/>
          <w:snapToGrid w:val="0"/>
          <w:color w:val="auto"/>
          <w:kern w:val="0"/>
          <w:sz w:val="21"/>
          <w:szCs w:val="21"/>
          <w:highlight w:val="none"/>
          <w:lang w:val="en-US" w:eastAsia="en-US" w:bidi="ar-SA"/>
        </w:rPr>
      </w:pPr>
      <w:r>
        <w:rPr>
          <w:rFonts w:hint="eastAsia" w:ascii="Times New Roman" w:hAnsi="Times New Roman" w:eastAsia="Arial" w:cs="Times New Roman"/>
          <w:snapToGrid w:val="0"/>
          <w:color w:val="auto"/>
          <w:kern w:val="0"/>
          <w:sz w:val="21"/>
          <w:szCs w:val="21"/>
          <w:highlight w:val="none"/>
          <w:lang w:val="en-US" w:eastAsia="en-US" w:bidi="ar-SA"/>
        </w:rPr>
        <w:t>（5）供应商成立不到1年（至提交响应文件截止时间）的，提供成立后任意时段的资产负债表，或提交响应文件截止时间前3个月内其基本账户开户银行出具的资信证明（附基本存款账户信息）；</w:t>
      </w:r>
      <w:r>
        <w:rPr>
          <w:rFonts w:hint="eastAsia" w:ascii="Times New Roman" w:hAnsi="Times New Roman" w:eastAsia="Arial" w:cs="Times New Roman"/>
          <w:snapToGrid w:val="0"/>
          <w:color w:val="auto"/>
          <w:kern w:val="0"/>
          <w:sz w:val="21"/>
          <w:szCs w:val="21"/>
          <w:highlight w:val="none"/>
          <w:lang w:val="en-US" w:eastAsia="en-US" w:bidi="ar-SA"/>
        </w:rPr>
        <w:br w:type="page"/>
      </w:r>
    </w:p>
    <w:p w14:paraId="7C6ECDAC">
      <w:pPr>
        <w:rPr>
          <w:rFonts w:hint="eastAsia" w:ascii="宋体" w:hAnsi="宋体" w:eastAsia="宋体" w:cs="宋体"/>
          <w:color w:val="auto"/>
          <w:sz w:val="24"/>
          <w:szCs w:val="24"/>
          <w:highlight w:val="none"/>
          <w:lang w:val="en-US" w:eastAsia="zh-CN"/>
        </w:rPr>
      </w:pPr>
    </w:p>
    <w:p w14:paraId="3B45F0CA">
      <w:pPr>
        <w:pStyle w:val="9"/>
        <w:adjustRightInd w:val="0"/>
        <w:snapToGrid w:val="0"/>
        <w:spacing w:line="360" w:lineRule="auto"/>
        <w:jc w:val="center"/>
        <w:rPr>
          <w:rFonts w:hint="eastAsia" w:ascii="黑体" w:eastAsia="黑体"/>
          <w:color w:val="auto"/>
          <w:sz w:val="36"/>
          <w:szCs w:val="36"/>
          <w:highlight w:val="none"/>
        </w:rPr>
      </w:pPr>
      <w:r>
        <w:rPr>
          <w:rFonts w:hint="eastAsia" w:ascii="黑体" w:eastAsia="黑体"/>
          <w:color w:val="auto"/>
          <w:sz w:val="36"/>
          <w:szCs w:val="36"/>
          <w:highlight w:val="none"/>
        </w:rPr>
        <w:t>税收缴纳证明</w:t>
      </w:r>
    </w:p>
    <w:p w14:paraId="4014CBDC">
      <w:pPr>
        <w:pStyle w:val="9"/>
        <w:adjustRightInd w:val="0"/>
        <w:snapToGrid w:val="0"/>
        <w:spacing w:line="360" w:lineRule="auto"/>
        <w:jc w:val="left"/>
        <w:rPr>
          <w:rFonts w:hint="eastAsia"/>
          <w:color w:val="auto"/>
          <w:sz w:val="24"/>
          <w:szCs w:val="24"/>
          <w:highlight w:val="none"/>
        </w:rPr>
      </w:pPr>
    </w:p>
    <w:p w14:paraId="48BDB080">
      <w:pPr>
        <w:pStyle w:val="9"/>
        <w:adjustRightInd w:val="0"/>
        <w:snapToGrid w:val="0"/>
        <w:spacing w:line="360" w:lineRule="auto"/>
        <w:ind w:firstLine="420" w:firstLineChars="200"/>
        <w:rPr>
          <w:rFonts w:hint="eastAsia" w:hAnsi="宋体"/>
          <w:b/>
          <w:bCs/>
          <w:color w:val="auto"/>
          <w:highlight w:val="none"/>
          <w:lang w:eastAsia="zh-CN"/>
        </w:rPr>
      </w:pPr>
      <w:r>
        <w:rPr>
          <w:rFonts w:hint="eastAsia" w:hAnsi="宋体"/>
          <w:b/>
          <w:bCs/>
          <w:color w:val="auto"/>
          <w:highlight w:val="none"/>
        </w:rPr>
        <w:t>说明</w:t>
      </w:r>
      <w:r>
        <w:rPr>
          <w:rFonts w:hint="eastAsia" w:hAnsi="宋体"/>
          <w:b/>
          <w:bCs/>
          <w:color w:val="auto"/>
          <w:highlight w:val="none"/>
          <w:lang w:eastAsia="zh-CN"/>
        </w:rPr>
        <w:t>：</w:t>
      </w:r>
    </w:p>
    <w:p w14:paraId="2E03E4FF">
      <w:pPr>
        <w:pStyle w:val="9"/>
        <w:adjustRightInd w:val="0"/>
        <w:snapToGrid w:val="0"/>
        <w:spacing w:line="360" w:lineRule="auto"/>
        <w:ind w:firstLine="420" w:firstLineChars="200"/>
        <w:rPr>
          <w:rFonts w:hint="eastAsia" w:hAnsi="宋体"/>
          <w:color w:val="auto"/>
          <w:highlight w:val="none"/>
          <w:lang w:eastAsia="zh-CN"/>
        </w:rPr>
      </w:pPr>
      <w:r>
        <w:rPr>
          <w:rFonts w:hint="eastAsia" w:hAnsi="宋体"/>
          <w:color w:val="auto"/>
          <w:highlight w:val="none"/>
          <w:lang w:eastAsia="zh-CN"/>
        </w:rPr>
        <w:t>（1）提供供应商2</w:t>
      </w:r>
      <w:commentRangeStart w:id="1"/>
      <w:r>
        <w:rPr>
          <w:rFonts w:hint="eastAsia" w:hAnsi="宋体"/>
          <w:color w:val="auto"/>
          <w:highlight w:val="none"/>
          <w:lang w:eastAsia="zh-CN"/>
        </w:rPr>
        <w:t>02</w:t>
      </w:r>
      <w:commentRangeEnd w:id="1"/>
      <w:r>
        <w:rPr>
          <w:color w:val="auto"/>
          <w:highlight w:val="none"/>
        </w:rPr>
        <w:commentReference w:id="1"/>
      </w:r>
      <w:r>
        <w:rPr>
          <w:rFonts w:hint="eastAsia" w:hAnsi="宋体"/>
          <w:color w:val="auto"/>
          <w:highlight w:val="none"/>
          <w:lang w:val="en-US" w:eastAsia="zh-CN"/>
        </w:rPr>
        <w:t>5</w:t>
      </w:r>
      <w:r>
        <w:rPr>
          <w:rFonts w:hint="eastAsia" w:hAnsi="宋体"/>
          <w:color w:val="auto"/>
          <w:highlight w:val="none"/>
          <w:lang w:eastAsia="zh-CN"/>
        </w:rPr>
        <w:t>年1月至今任意时段已缴纳完税凭证或税务机关开具的完税证明（除个人所得税的任意税种；依法免税的应提供相关文件证明；</w:t>
      </w:r>
    </w:p>
    <w:p w14:paraId="25410DA0">
      <w:pPr>
        <w:pStyle w:val="9"/>
        <w:adjustRightInd w:val="0"/>
        <w:snapToGrid w:val="0"/>
        <w:spacing w:line="360" w:lineRule="auto"/>
        <w:ind w:firstLine="420" w:firstLineChars="200"/>
        <w:rPr>
          <w:rFonts w:hint="eastAsia" w:hAnsi="宋体"/>
          <w:color w:val="auto"/>
          <w:highlight w:val="none"/>
          <w:lang w:eastAsia="zh-CN"/>
        </w:rPr>
      </w:pPr>
      <w:r>
        <w:rPr>
          <w:rFonts w:hint="eastAsia" w:hAnsi="宋体"/>
          <w:color w:val="auto"/>
          <w:highlight w:val="none"/>
          <w:lang w:eastAsia="zh-CN"/>
        </w:rPr>
        <w:t>（2）依法免税的应提供相关文件证明；</w:t>
      </w:r>
    </w:p>
    <w:p w14:paraId="707CED56">
      <w:pPr>
        <w:pStyle w:val="9"/>
        <w:adjustRightInd w:val="0"/>
        <w:snapToGrid w:val="0"/>
        <w:spacing w:line="360" w:lineRule="auto"/>
        <w:ind w:firstLine="420" w:firstLineChars="200"/>
        <w:rPr>
          <w:rFonts w:hint="eastAsia" w:hAnsi="宋体"/>
          <w:b/>
          <w:bCs/>
          <w:color w:val="auto"/>
          <w:highlight w:val="none"/>
          <w:lang w:eastAsia="zh-CN"/>
        </w:rPr>
      </w:pPr>
      <w:r>
        <w:rPr>
          <w:rFonts w:hint="eastAsia" w:hAnsi="宋体"/>
          <w:b/>
          <w:bCs/>
          <w:color w:val="auto"/>
          <w:highlight w:val="none"/>
          <w:lang w:eastAsia="zh-CN"/>
        </w:rPr>
        <w:t>要求：</w:t>
      </w:r>
    </w:p>
    <w:p w14:paraId="73BE841F">
      <w:pPr>
        <w:pStyle w:val="9"/>
        <w:adjustRightInd w:val="0"/>
        <w:snapToGrid w:val="0"/>
        <w:spacing w:line="360" w:lineRule="auto"/>
        <w:ind w:firstLine="420" w:firstLineChars="200"/>
        <w:rPr>
          <w:rFonts w:hint="eastAsia" w:hAnsi="宋体"/>
          <w:color w:val="auto"/>
          <w:highlight w:val="none"/>
          <w:lang w:eastAsia="zh-CN"/>
        </w:rPr>
      </w:pPr>
      <w:r>
        <w:rPr>
          <w:rFonts w:hint="eastAsia" w:hAnsi="宋体"/>
          <w:color w:val="auto"/>
          <w:highlight w:val="none"/>
          <w:lang w:eastAsia="zh-CN"/>
        </w:rPr>
        <w:t>（1）公益类事业单位无需提供；</w:t>
      </w:r>
    </w:p>
    <w:p w14:paraId="4941F683">
      <w:pPr>
        <w:pStyle w:val="9"/>
        <w:adjustRightInd w:val="0"/>
        <w:snapToGrid w:val="0"/>
        <w:spacing w:line="360" w:lineRule="auto"/>
        <w:ind w:firstLine="420" w:firstLineChars="200"/>
        <w:rPr>
          <w:rFonts w:hint="eastAsia" w:hAnsi="宋体"/>
          <w:color w:val="auto"/>
          <w:highlight w:val="none"/>
          <w:lang w:eastAsia="zh-CN"/>
        </w:rPr>
      </w:pPr>
      <w:r>
        <w:rPr>
          <w:rFonts w:hint="eastAsia" w:hAnsi="宋体"/>
          <w:color w:val="auto"/>
          <w:highlight w:val="none"/>
          <w:lang w:eastAsia="zh-CN"/>
        </w:rPr>
        <w:t>（2）新成立（成立时间至递交响应文件截止时间不足一年）未发生缴纳税收事项的供应商，</w:t>
      </w:r>
      <w:r>
        <w:rPr>
          <w:rFonts w:hint="eastAsia" w:hAnsi="宋体"/>
          <w:color w:val="auto"/>
          <w:highlight w:val="none"/>
        </w:rPr>
        <w:t>应提供依法缴纳税收书面承诺</w:t>
      </w:r>
      <w:r>
        <w:rPr>
          <w:rFonts w:hint="eastAsia" w:hAnsi="宋体"/>
          <w:color w:val="auto"/>
          <w:highlight w:val="none"/>
          <w:lang w:eastAsia="zh-CN"/>
        </w:rPr>
        <w:t>；</w:t>
      </w:r>
    </w:p>
    <w:p w14:paraId="0EAC448E">
      <w:pPr>
        <w:pStyle w:val="9"/>
        <w:adjustRightInd w:val="0"/>
        <w:snapToGrid w:val="0"/>
        <w:spacing w:line="360" w:lineRule="auto"/>
        <w:ind w:firstLine="420" w:firstLineChars="200"/>
        <w:rPr>
          <w:rFonts w:hint="eastAsia" w:hAnsi="宋体"/>
          <w:color w:val="auto"/>
          <w:highlight w:val="none"/>
          <w:lang w:eastAsia="zh-CN"/>
        </w:rPr>
      </w:pPr>
      <w:r>
        <w:rPr>
          <w:rFonts w:hint="eastAsia" w:hAnsi="宋体"/>
          <w:color w:val="auto"/>
          <w:highlight w:val="none"/>
          <w:lang w:eastAsia="zh-CN"/>
        </w:rPr>
        <w:t>（3）其他组织和自然人需提供缴纳税收的凭据；</w:t>
      </w:r>
    </w:p>
    <w:p w14:paraId="6C847E64">
      <w:pPr>
        <w:rPr>
          <w:rFonts w:hint="eastAsia" w:hAnsi="宋体"/>
          <w:color w:val="auto"/>
          <w:highlight w:val="none"/>
        </w:rPr>
      </w:pPr>
      <w:r>
        <w:rPr>
          <w:rFonts w:hint="eastAsia" w:hAnsi="宋体"/>
          <w:color w:val="auto"/>
          <w:highlight w:val="none"/>
        </w:rPr>
        <w:br w:type="page"/>
      </w:r>
    </w:p>
    <w:p w14:paraId="403CCB37">
      <w:pPr>
        <w:spacing w:before="240" w:beforeLines="100" w:line="560" w:lineRule="exact"/>
        <w:jc w:val="center"/>
        <w:outlineLvl w:val="9"/>
        <w:rPr>
          <w:rFonts w:ascii="黑体" w:hAnsi="黑体" w:cs="仿宋_GB2312"/>
          <w:b/>
          <w:color w:val="auto"/>
          <w:sz w:val="36"/>
          <w:szCs w:val="36"/>
          <w:highlight w:val="none"/>
        </w:rPr>
      </w:pPr>
      <w:r>
        <w:rPr>
          <w:rFonts w:hint="eastAsia" w:ascii="黑体" w:hAnsi="黑体" w:cs="仿宋_GB2312"/>
          <w:b/>
          <w:color w:val="auto"/>
          <w:sz w:val="36"/>
          <w:szCs w:val="36"/>
          <w:highlight w:val="none"/>
        </w:rPr>
        <w:t>依法缴纳税收承诺书</w:t>
      </w:r>
    </w:p>
    <w:p w14:paraId="7B915FE2">
      <w:pPr>
        <w:pStyle w:val="4"/>
        <w:spacing w:before="720" w:beforeLines="300" w:after="120" w:afterLines="50" w:line="360" w:lineRule="auto"/>
        <w:ind w:firstLine="0"/>
        <w:rPr>
          <w:rFonts w:ascii="宋体" w:hAnsi="宋体"/>
          <w:color w:val="auto"/>
          <w:szCs w:val="21"/>
          <w:highlight w:val="none"/>
        </w:rPr>
      </w:pPr>
      <w:r>
        <w:rPr>
          <w:rFonts w:hint="eastAsia" w:ascii="宋体" w:hAnsi="宋体"/>
          <w:color w:val="auto"/>
          <w:szCs w:val="21"/>
          <w:highlight w:val="none"/>
          <w:lang w:eastAsia="zh-CN"/>
        </w:rPr>
        <w:t>陕西隆信项目管理有限公司</w:t>
      </w:r>
      <w:r>
        <w:rPr>
          <w:rFonts w:hint="eastAsia" w:ascii="宋体" w:hAnsi="宋体"/>
          <w:color w:val="auto"/>
          <w:szCs w:val="21"/>
          <w:highlight w:val="none"/>
        </w:rPr>
        <w:t>：</w:t>
      </w:r>
      <w:r>
        <w:rPr>
          <w:rFonts w:ascii="宋体" w:hAnsi="宋体"/>
          <w:color w:val="auto"/>
          <w:szCs w:val="21"/>
          <w:highlight w:val="none"/>
        </w:rPr>
        <w:t xml:space="preserve"> </w:t>
      </w:r>
    </w:p>
    <w:p w14:paraId="04E6D42F">
      <w:pPr>
        <w:pStyle w:val="4"/>
        <w:spacing w:line="360" w:lineRule="auto"/>
        <w:rPr>
          <w:rFonts w:ascii="宋体" w:hAnsi="宋体"/>
          <w:color w:val="auto"/>
          <w:szCs w:val="21"/>
          <w:highlight w:val="none"/>
        </w:rPr>
      </w:pPr>
      <w:r>
        <w:rPr>
          <w:rFonts w:hint="eastAsia" w:ascii="宋体" w:hAnsi="宋体"/>
          <w:color w:val="auto"/>
          <w:szCs w:val="21"/>
          <w:highlight w:val="none"/>
        </w:rPr>
        <w:t>我方参与</w:t>
      </w:r>
      <w:r>
        <w:rPr>
          <w:rFonts w:hint="eastAsia" w:ascii="宋体" w:hAnsi="宋体"/>
          <w:color w:val="auto"/>
          <w:szCs w:val="21"/>
          <w:highlight w:val="none"/>
          <w:u w:val="single"/>
        </w:rPr>
        <w:t xml:space="preserve">                  </w:t>
      </w:r>
      <w:r>
        <w:rPr>
          <w:rFonts w:hint="eastAsia" w:ascii="宋体" w:hAnsi="宋体"/>
          <w:color w:val="auto"/>
          <w:szCs w:val="21"/>
          <w:highlight w:val="none"/>
        </w:rPr>
        <w:t>（项目名称）（项目编号：</w:t>
      </w:r>
      <w:r>
        <w:rPr>
          <w:rFonts w:hint="eastAsia" w:ascii="宋体" w:hAnsi="宋体"/>
          <w:color w:val="auto"/>
          <w:szCs w:val="21"/>
          <w:highlight w:val="none"/>
          <w:u w:val="single"/>
        </w:rPr>
        <w:t xml:space="preserve">           </w:t>
      </w:r>
      <w:r>
        <w:rPr>
          <w:rFonts w:hint="eastAsia" w:ascii="宋体" w:hAnsi="宋体"/>
          <w:color w:val="auto"/>
          <w:szCs w:val="21"/>
          <w:highlight w:val="none"/>
        </w:rPr>
        <w:t>）项目的政府采购活动，现承诺如下：</w:t>
      </w:r>
    </w:p>
    <w:p w14:paraId="0F3553F9">
      <w:pPr>
        <w:pStyle w:val="4"/>
        <w:spacing w:line="360" w:lineRule="auto"/>
        <w:ind w:firstLineChars="200"/>
        <w:rPr>
          <w:rFonts w:ascii="宋体" w:hAnsi="宋体"/>
          <w:color w:val="auto"/>
          <w:szCs w:val="21"/>
          <w:highlight w:val="none"/>
        </w:rPr>
      </w:pPr>
      <w:r>
        <w:rPr>
          <w:rFonts w:hint="eastAsia" w:ascii="宋体" w:hAnsi="宋体"/>
          <w:color w:val="auto"/>
          <w:szCs w:val="21"/>
          <w:highlight w:val="none"/>
        </w:rPr>
        <w:t>我方承诺将依法缴纳税收，并符合《中华人民共和国政府采购法》及其实施条例和采购文件资格要求的规定。</w:t>
      </w:r>
    </w:p>
    <w:p w14:paraId="1E7B28B1">
      <w:pPr>
        <w:pStyle w:val="4"/>
        <w:spacing w:line="360" w:lineRule="auto"/>
        <w:rPr>
          <w:rFonts w:ascii="宋体" w:hAnsi="宋体"/>
          <w:color w:val="auto"/>
          <w:szCs w:val="21"/>
          <w:highlight w:val="none"/>
        </w:rPr>
      </w:pPr>
      <w:r>
        <w:rPr>
          <w:rFonts w:hint="eastAsia" w:ascii="宋体" w:hAnsi="宋体"/>
          <w:color w:val="auto"/>
          <w:szCs w:val="21"/>
          <w:highlight w:val="none"/>
        </w:rPr>
        <w:t>若我方以上承诺不实，自愿承担提供虚假材料谋取成交的法律责任。</w:t>
      </w:r>
    </w:p>
    <w:p w14:paraId="511A2FDF">
      <w:pPr>
        <w:pStyle w:val="4"/>
        <w:spacing w:line="360" w:lineRule="auto"/>
        <w:ind w:firstLine="573"/>
        <w:rPr>
          <w:rFonts w:ascii="宋体" w:hAnsi="宋体"/>
          <w:color w:val="auto"/>
          <w:szCs w:val="21"/>
          <w:highlight w:val="none"/>
        </w:rPr>
      </w:pPr>
    </w:p>
    <w:p w14:paraId="57CB1A52">
      <w:pPr>
        <w:pStyle w:val="4"/>
        <w:spacing w:line="360" w:lineRule="auto"/>
        <w:ind w:firstLine="573"/>
        <w:rPr>
          <w:rFonts w:ascii="宋体" w:hAnsi="宋体"/>
          <w:color w:val="auto"/>
          <w:szCs w:val="21"/>
          <w:highlight w:val="none"/>
        </w:rPr>
      </w:pPr>
    </w:p>
    <w:p w14:paraId="70137FDD">
      <w:pPr>
        <w:pStyle w:val="4"/>
        <w:spacing w:line="360" w:lineRule="auto"/>
        <w:ind w:firstLine="573"/>
        <w:rPr>
          <w:rFonts w:ascii="宋体" w:hAnsi="宋体"/>
          <w:color w:val="auto"/>
          <w:szCs w:val="21"/>
          <w:highlight w:val="none"/>
        </w:rPr>
      </w:pPr>
      <w:r>
        <w:rPr>
          <w:rFonts w:hint="eastAsia" w:ascii="宋体" w:hAnsi="宋体"/>
          <w:color w:val="auto"/>
          <w:szCs w:val="21"/>
          <w:highlight w:val="none"/>
        </w:rPr>
        <w:t>承 诺 人：</w:t>
      </w:r>
      <w:r>
        <w:rPr>
          <w:rFonts w:hint="eastAsia" w:ascii="宋体" w:hAnsi="宋体"/>
          <w:color w:val="auto"/>
          <w:szCs w:val="21"/>
          <w:highlight w:val="none"/>
          <w:u w:val="single"/>
        </w:rPr>
        <w:t xml:space="preserve">                                   </w:t>
      </w:r>
      <w:r>
        <w:rPr>
          <w:rFonts w:hint="eastAsia" w:ascii="宋体" w:hAnsi="宋体"/>
          <w:color w:val="auto"/>
          <w:szCs w:val="21"/>
          <w:highlight w:val="none"/>
        </w:rPr>
        <w:t>（供应商名称、盖单位章）</w:t>
      </w:r>
    </w:p>
    <w:p w14:paraId="5C057C41">
      <w:pPr>
        <w:pStyle w:val="4"/>
        <w:spacing w:line="360" w:lineRule="auto"/>
        <w:ind w:firstLine="573"/>
        <w:rPr>
          <w:rFonts w:hint="eastAsia" w:ascii="宋体" w:hAnsi="宋体"/>
          <w:color w:val="auto"/>
          <w:szCs w:val="21"/>
          <w:highlight w:val="none"/>
        </w:rPr>
      </w:pPr>
    </w:p>
    <w:p w14:paraId="0AC4BA83">
      <w:pPr>
        <w:pStyle w:val="4"/>
        <w:spacing w:line="360" w:lineRule="auto"/>
        <w:ind w:firstLine="573"/>
        <w:rPr>
          <w:rFonts w:hint="eastAsia" w:ascii="宋体" w:hAnsi="宋体"/>
          <w:color w:val="auto"/>
          <w:szCs w:val="21"/>
          <w:highlight w:val="none"/>
        </w:rPr>
      </w:pPr>
    </w:p>
    <w:p w14:paraId="759A6E1D">
      <w:pPr>
        <w:pStyle w:val="4"/>
        <w:spacing w:line="360" w:lineRule="auto"/>
        <w:ind w:firstLine="573"/>
        <w:rPr>
          <w:rFonts w:ascii="宋体" w:hAnsi="宋体"/>
          <w:color w:val="auto"/>
          <w:szCs w:val="21"/>
          <w:highlight w:val="none"/>
        </w:rPr>
      </w:pPr>
      <w:r>
        <w:rPr>
          <w:rFonts w:hint="eastAsia" w:ascii="宋体" w:hAnsi="宋体"/>
          <w:color w:val="auto"/>
          <w:szCs w:val="21"/>
          <w:highlight w:val="none"/>
        </w:rPr>
        <w:t>法定代表人</w:t>
      </w:r>
      <w:r>
        <w:rPr>
          <w:rFonts w:hint="eastAsia" w:ascii="宋体" w:hAnsi="宋体"/>
          <w:color w:val="auto"/>
          <w:szCs w:val="21"/>
          <w:highlight w:val="none"/>
          <w:lang w:val="zh-CN"/>
        </w:rPr>
        <w:t>（单位负责人）</w:t>
      </w:r>
      <w:r>
        <w:rPr>
          <w:rFonts w:hint="eastAsia" w:ascii="宋体" w:hAnsi="宋体"/>
          <w:color w:val="auto"/>
          <w:szCs w:val="21"/>
          <w:highlight w:val="none"/>
        </w:rPr>
        <w:t>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4D56EC27">
      <w:pPr>
        <w:pStyle w:val="4"/>
        <w:spacing w:line="360" w:lineRule="auto"/>
        <w:ind w:firstLine="573"/>
        <w:rPr>
          <w:rFonts w:hint="eastAsia" w:ascii="宋体" w:hAnsi="宋体"/>
          <w:color w:val="auto"/>
          <w:szCs w:val="21"/>
          <w:highlight w:val="none"/>
        </w:rPr>
      </w:pPr>
    </w:p>
    <w:p w14:paraId="1B050794">
      <w:pPr>
        <w:pStyle w:val="4"/>
        <w:spacing w:line="360" w:lineRule="auto"/>
        <w:ind w:firstLine="573"/>
        <w:rPr>
          <w:rFonts w:hint="eastAsia" w:ascii="宋体" w:hAnsi="宋体"/>
          <w:color w:val="auto"/>
          <w:szCs w:val="21"/>
          <w:highlight w:val="none"/>
        </w:rPr>
      </w:pPr>
    </w:p>
    <w:p w14:paraId="411A7449">
      <w:pPr>
        <w:pStyle w:val="4"/>
        <w:spacing w:line="360" w:lineRule="auto"/>
        <w:ind w:firstLine="573"/>
        <w:rPr>
          <w:rFonts w:hint="eastAsia" w:ascii="宋体" w:hAnsi="宋体"/>
          <w:color w:val="auto"/>
          <w:szCs w:val="21"/>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471E8495">
      <w:pPr>
        <w:rPr>
          <w:rFonts w:hint="eastAsia" w:ascii="宋体" w:hAnsi="宋体"/>
          <w:color w:val="auto"/>
          <w:szCs w:val="21"/>
          <w:highlight w:val="none"/>
        </w:rPr>
      </w:pPr>
      <w:r>
        <w:rPr>
          <w:rFonts w:hint="eastAsia" w:ascii="宋体" w:hAnsi="宋体"/>
          <w:color w:val="auto"/>
          <w:szCs w:val="21"/>
          <w:highlight w:val="none"/>
        </w:rPr>
        <w:br w:type="page"/>
      </w:r>
    </w:p>
    <w:p w14:paraId="0DF5E1AC">
      <w:pPr>
        <w:rPr>
          <w:rFonts w:hint="eastAsia" w:eastAsia="宋体"/>
          <w:color w:val="auto"/>
          <w:highlight w:val="none"/>
          <w:lang w:val="en-US" w:eastAsia="zh-CN"/>
        </w:rPr>
      </w:pPr>
    </w:p>
    <w:p w14:paraId="0561F762">
      <w:pPr>
        <w:pStyle w:val="9"/>
        <w:adjustRightInd w:val="0"/>
        <w:snapToGrid w:val="0"/>
        <w:spacing w:line="360" w:lineRule="auto"/>
        <w:jc w:val="center"/>
        <w:rPr>
          <w:rFonts w:hint="eastAsia" w:ascii="黑体" w:hAnsi="宋体" w:eastAsia="黑体"/>
          <w:color w:val="auto"/>
          <w:sz w:val="36"/>
          <w:szCs w:val="36"/>
          <w:highlight w:val="none"/>
        </w:rPr>
      </w:pPr>
      <w:r>
        <w:rPr>
          <w:rFonts w:hint="eastAsia" w:ascii="黑体" w:eastAsia="黑体"/>
          <w:color w:val="auto"/>
          <w:sz w:val="36"/>
          <w:szCs w:val="36"/>
          <w:highlight w:val="none"/>
          <w:lang w:eastAsia="zh-CN"/>
        </w:rPr>
        <w:t>社会保障资金缴纳证明</w:t>
      </w:r>
    </w:p>
    <w:p w14:paraId="5E0908C7">
      <w:pPr>
        <w:pStyle w:val="9"/>
        <w:adjustRightInd w:val="0"/>
        <w:snapToGrid w:val="0"/>
        <w:spacing w:line="360" w:lineRule="auto"/>
        <w:jc w:val="left"/>
        <w:rPr>
          <w:rFonts w:hint="eastAsia" w:hAnsi="宋体"/>
          <w:color w:val="auto"/>
          <w:sz w:val="24"/>
          <w:szCs w:val="24"/>
          <w:highlight w:val="none"/>
        </w:rPr>
      </w:pPr>
    </w:p>
    <w:p w14:paraId="2D9A07A9">
      <w:pPr>
        <w:pStyle w:val="9"/>
        <w:adjustRightInd w:val="0"/>
        <w:snapToGrid w:val="0"/>
        <w:spacing w:line="360" w:lineRule="auto"/>
        <w:ind w:firstLine="482"/>
        <w:rPr>
          <w:rFonts w:hint="eastAsia" w:hAnsi="宋体"/>
          <w:b/>
          <w:bCs/>
          <w:color w:val="auto"/>
          <w:highlight w:val="none"/>
        </w:rPr>
      </w:pPr>
      <w:r>
        <w:rPr>
          <w:rFonts w:hint="eastAsia" w:hAnsi="宋体"/>
          <w:b/>
          <w:bCs/>
          <w:color w:val="auto"/>
          <w:highlight w:val="none"/>
        </w:rPr>
        <w:t>说明：</w:t>
      </w:r>
    </w:p>
    <w:p w14:paraId="69B525B6">
      <w:pPr>
        <w:pStyle w:val="9"/>
        <w:adjustRightInd w:val="0"/>
        <w:snapToGrid w:val="0"/>
        <w:spacing w:line="360" w:lineRule="auto"/>
        <w:ind w:firstLine="482"/>
        <w:rPr>
          <w:rFonts w:hint="eastAsia" w:hAnsi="宋体"/>
          <w:color w:val="auto"/>
          <w:highlight w:val="none"/>
          <w:lang w:eastAsia="zh-CN"/>
        </w:rPr>
      </w:pPr>
      <w:r>
        <w:rPr>
          <w:rFonts w:hint="eastAsia" w:hAnsi="宋体"/>
          <w:color w:val="auto"/>
          <w:highlight w:val="none"/>
          <w:lang w:eastAsia="zh-CN"/>
        </w:rPr>
        <w:t>（1）提供供应商202</w:t>
      </w:r>
      <w:r>
        <w:rPr>
          <w:rFonts w:hint="eastAsia" w:hAnsi="宋体"/>
          <w:color w:val="auto"/>
          <w:highlight w:val="none"/>
          <w:lang w:val="en-US" w:eastAsia="zh-CN"/>
        </w:rPr>
        <w:t>5</w:t>
      </w:r>
      <w:r>
        <w:rPr>
          <w:rFonts w:hint="eastAsia" w:hAnsi="宋体"/>
          <w:color w:val="auto"/>
          <w:highlight w:val="none"/>
          <w:lang w:eastAsia="zh-CN"/>
        </w:rPr>
        <w:t>年1月至今已缴存的任意时段的社会保障资金缴存单据或社保机构开具的社会保险参保缴费情况证明；</w:t>
      </w:r>
    </w:p>
    <w:p w14:paraId="538DA39B">
      <w:pPr>
        <w:pStyle w:val="9"/>
        <w:adjustRightInd w:val="0"/>
        <w:snapToGrid w:val="0"/>
        <w:spacing w:line="360" w:lineRule="auto"/>
        <w:ind w:firstLine="482"/>
        <w:rPr>
          <w:rFonts w:hint="eastAsia" w:hAnsi="宋体"/>
          <w:color w:val="auto"/>
          <w:highlight w:val="none"/>
          <w:lang w:eastAsia="zh-CN"/>
        </w:rPr>
      </w:pPr>
      <w:r>
        <w:rPr>
          <w:rFonts w:hint="eastAsia" w:hAnsi="宋体"/>
          <w:color w:val="auto"/>
          <w:highlight w:val="none"/>
          <w:lang w:eastAsia="zh-CN"/>
        </w:rPr>
        <w:t>（2）依法不需要缴纳社会保障资金的应提供相关文件证明；</w:t>
      </w:r>
    </w:p>
    <w:p w14:paraId="0BF2A54C">
      <w:pPr>
        <w:pStyle w:val="9"/>
        <w:adjustRightInd w:val="0"/>
        <w:snapToGrid w:val="0"/>
        <w:spacing w:line="360" w:lineRule="auto"/>
        <w:ind w:firstLine="482"/>
        <w:rPr>
          <w:rFonts w:hint="eastAsia" w:hAnsi="宋体"/>
          <w:b/>
          <w:bCs/>
          <w:color w:val="auto"/>
          <w:highlight w:val="none"/>
          <w:lang w:eastAsia="zh-CN"/>
        </w:rPr>
      </w:pPr>
      <w:r>
        <w:rPr>
          <w:rFonts w:hint="eastAsia" w:hAnsi="宋体"/>
          <w:b/>
          <w:bCs/>
          <w:color w:val="auto"/>
          <w:highlight w:val="none"/>
          <w:lang w:eastAsia="zh-CN"/>
        </w:rPr>
        <w:t>要求：</w:t>
      </w:r>
    </w:p>
    <w:p w14:paraId="0B231702">
      <w:pPr>
        <w:pStyle w:val="9"/>
        <w:adjustRightInd w:val="0"/>
        <w:snapToGrid w:val="0"/>
        <w:spacing w:line="360" w:lineRule="auto"/>
        <w:ind w:firstLine="482"/>
        <w:rPr>
          <w:rFonts w:hint="eastAsia" w:hAnsi="宋体"/>
          <w:color w:val="auto"/>
          <w:highlight w:val="none"/>
          <w:lang w:eastAsia="zh-CN"/>
        </w:rPr>
      </w:pPr>
      <w:r>
        <w:rPr>
          <w:rFonts w:hint="eastAsia" w:hAnsi="宋体"/>
          <w:color w:val="auto"/>
          <w:highlight w:val="none"/>
          <w:lang w:eastAsia="zh-CN"/>
        </w:rPr>
        <w:t>（1）公益类事业单位无需提供；</w:t>
      </w:r>
    </w:p>
    <w:p w14:paraId="7A2CC12D">
      <w:pPr>
        <w:pStyle w:val="9"/>
        <w:adjustRightInd w:val="0"/>
        <w:snapToGrid w:val="0"/>
        <w:spacing w:line="360" w:lineRule="auto"/>
        <w:ind w:firstLine="482"/>
        <w:rPr>
          <w:rFonts w:hint="eastAsia" w:hAnsi="宋体"/>
          <w:color w:val="auto"/>
          <w:highlight w:val="none"/>
          <w:lang w:eastAsia="zh-CN"/>
        </w:rPr>
      </w:pPr>
      <w:r>
        <w:rPr>
          <w:rFonts w:hint="eastAsia" w:hAnsi="宋体"/>
          <w:color w:val="auto"/>
          <w:highlight w:val="none"/>
          <w:lang w:eastAsia="zh-CN"/>
        </w:rPr>
        <w:t>（2）新成立（成立时间至递交响应文件截止时间不足一年）未发生缴纳社保资金事项的供应商，</w:t>
      </w:r>
      <w:r>
        <w:rPr>
          <w:rFonts w:hint="eastAsia" w:hAnsi="宋体"/>
          <w:color w:val="auto"/>
          <w:highlight w:val="none"/>
        </w:rPr>
        <w:t>应提供缴纳社保资金的书面承诺</w:t>
      </w:r>
      <w:r>
        <w:rPr>
          <w:rFonts w:hint="eastAsia" w:hAnsi="宋体"/>
          <w:color w:val="auto"/>
          <w:highlight w:val="none"/>
          <w:lang w:eastAsia="zh-CN"/>
        </w:rPr>
        <w:t>；</w:t>
      </w:r>
    </w:p>
    <w:p w14:paraId="73620966">
      <w:pPr>
        <w:pStyle w:val="9"/>
        <w:adjustRightInd w:val="0"/>
        <w:snapToGrid w:val="0"/>
        <w:spacing w:line="360" w:lineRule="auto"/>
        <w:ind w:firstLine="482"/>
        <w:rPr>
          <w:rFonts w:hint="eastAsia" w:hAnsi="宋体"/>
          <w:color w:val="auto"/>
          <w:highlight w:val="none"/>
          <w:lang w:eastAsia="zh-CN"/>
        </w:rPr>
      </w:pPr>
      <w:r>
        <w:rPr>
          <w:rFonts w:hint="eastAsia" w:hAnsi="宋体"/>
          <w:color w:val="auto"/>
          <w:highlight w:val="none"/>
          <w:lang w:eastAsia="zh-CN"/>
        </w:rPr>
        <w:t>（3）其他组织和自然人需提供缴纳社会保险的凭据；</w:t>
      </w:r>
    </w:p>
    <w:p w14:paraId="2500C416">
      <w:pPr>
        <w:rPr>
          <w:rFonts w:hint="eastAsia"/>
          <w:color w:val="auto"/>
          <w:highlight w:val="none"/>
        </w:rPr>
      </w:pPr>
      <w:r>
        <w:rPr>
          <w:rFonts w:hint="eastAsia"/>
          <w:color w:val="auto"/>
          <w:highlight w:val="none"/>
        </w:rPr>
        <w:br w:type="page"/>
      </w:r>
    </w:p>
    <w:p w14:paraId="74FDADDA">
      <w:pPr>
        <w:spacing w:line="560" w:lineRule="exact"/>
        <w:jc w:val="center"/>
        <w:outlineLvl w:val="9"/>
        <w:rPr>
          <w:rFonts w:ascii="黑体" w:hAnsi="黑体" w:cs="仿宋_GB2312"/>
          <w:b/>
          <w:color w:val="auto"/>
          <w:sz w:val="36"/>
          <w:szCs w:val="36"/>
          <w:highlight w:val="none"/>
        </w:rPr>
      </w:pPr>
      <w:r>
        <w:rPr>
          <w:rFonts w:hint="eastAsia" w:ascii="黑体" w:hAnsi="黑体" w:cs="仿宋_GB2312"/>
          <w:b/>
          <w:color w:val="auto"/>
          <w:sz w:val="36"/>
          <w:szCs w:val="36"/>
          <w:highlight w:val="none"/>
        </w:rPr>
        <w:t>依法缴纳社会保障资金承诺书</w:t>
      </w:r>
    </w:p>
    <w:p w14:paraId="3137AAD6">
      <w:pPr>
        <w:pStyle w:val="4"/>
        <w:spacing w:before="600" w:beforeLines="250" w:line="360" w:lineRule="auto"/>
        <w:ind w:firstLine="0"/>
        <w:rPr>
          <w:rFonts w:ascii="宋体" w:hAnsi="宋体"/>
          <w:color w:val="auto"/>
          <w:szCs w:val="21"/>
          <w:highlight w:val="none"/>
        </w:rPr>
      </w:pPr>
      <w:r>
        <w:rPr>
          <w:rFonts w:hint="eastAsia" w:ascii="宋体" w:hAnsi="宋体"/>
          <w:color w:val="auto"/>
          <w:szCs w:val="21"/>
          <w:highlight w:val="none"/>
          <w:lang w:eastAsia="zh-CN"/>
        </w:rPr>
        <w:t>陕西隆信项目管理有限公司</w:t>
      </w:r>
      <w:r>
        <w:rPr>
          <w:rFonts w:hint="eastAsia" w:ascii="宋体" w:hAnsi="宋体"/>
          <w:color w:val="auto"/>
          <w:szCs w:val="21"/>
          <w:highlight w:val="none"/>
        </w:rPr>
        <w:t>：</w:t>
      </w:r>
      <w:r>
        <w:rPr>
          <w:rFonts w:ascii="宋体" w:hAnsi="宋体"/>
          <w:color w:val="auto"/>
          <w:szCs w:val="21"/>
          <w:highlight w:val="none"/>
        </w:rPr>
        <w:t xml:space="preserve"> </w:t>
      </w:r>
    </w:p>
    <w:p w14:paraId="1A1315FF">
      <w:pPr>
        <w:pStyle w:val="4"/>
        <w:spacing w:before="120" w:beforeLines="50" w:line="360" w:lineRule="auto"/>
        <w:rPr>
          <w:rFonts w:ascii="宋体" w:hAnsi="宋体"/>
          <w:color w:val="auto"/>
          <w:szCs w:val="21"/>
          <w:highlight w:val="none"/>
        </w:rPr>
      </w:pPr>
      <w:r>
        <w:rPr>
          <w:rFonts w:hint="eastAsia" w:ascii="宋体" w:hAnsi="宋体"/>
          <w:color w:val="auto"/>
          <w:szCs w:val="21"/>
          <w:highlight w:val="none"/>
        </w:rPr>
        <w:t>我方参与</w:t>
      </w:r>
      <w:r>
        <w:rPr>
          <w:rFonts w:hint="eastAsia" w:ascii="宋体" w:hAnsi="宋体"/>
          <w:color w:val="auto"/>
          <w:szCs w:val="21"/>
          <w:highlight w:val="none"/>
          <w:u w:val="single"/>
        </w:rPr>
        <w:t xml:space="preserve">                  </w:t>
      </w:r>
      <w:r>
        <w:rPr>
          <w:rFonts w:hint="eastAsia" w:ascii="宋体" w:hAnsi="宋体"/>
          <w:color w:val="auto"/>
          <w:szCs w:val="21"/>
          <w:highlight w:val="none"/>
        </w:rPr>
        <w:t>（项目名称）（项目编号：</w:t>
      </w:r>
      <w:r>
        <w:rPr>
          <w:rFonts w:hint="eastAsia" w:ascii="宋体" w:hAnsi="宋体"/>
          <w:color w:val="auto"/>
          <w:szCs w:val="21"/>
          <w:highlight w:val="none"/>
          <w:u w:val="single"/>
        </w:rPr>
        <w:t xml:space="preserve">           </w:t>
      </w:r>
      <w:r>
        <w:rPr>
          <w:rFonts w:hint="eastAsia" w:ascii="宋体" w:hAnsi="宋体"/>
          <w:color w:val="auto"/>
          <w:szCs w:val="21"/>
          <w:highlight w:val="none"/>
        </w:rPr>
        <w:t>）项目的政府采购活动，现承诺如下：</w:t>
      </w:r>
    </w:p>
    <w:p w14:paraId="5D3F79C5">
      <w:pPr>
        <w:pStyle w:val="4"/>
        <w:spacing w:line="360" w:lineRule="auto"/>
        <w:ind w:firstLineChars="200"/>
        <w:rPr>
          <w:rFonts w:ascii="宋体" w:hAnsi="宋体"/>
          <w:color w:val="auto"/>
          <w:szCs w:val="21"/>
          <w:highlight w:val="none"/>
        </w:rPr>
      </w:pPr>
      <w:r>
        <w:rPr>
          <w:rFonts w:hint="eastAsia" w:ascii="宋体" w:hAnsi="宋体"/>
          <w:color w:val="auto"/>
          <w:szCs w:val="21"/>
          <w:highlight w:val="none"/>
        </w:rPr>
        <w:t>我方承诺将依法缴纳社会保障资金，并符合《中华人民共和国政府采购法》及其实施条例和采购文件资格要求的规定。</w:t>
      </w:r>
    </w:p>
    <w:p w14:paraId="62612924">
      <w:pPr>
        <w:pStyle w:val="4"/>
        <w:spacing w:line="360" w:lineRule="auto"/>
        <w:rPr>
          <w:rFonts w:ascii="宋体" w:hAnsi="宋体"/>
          <w:color w:val="auto"/>
          <w:szCs w:val="21"/>
          <w:highlight w:val="none"/>
        </w:rPr>
      </w:pPr>
      <w:r>
        <w:rPr>
          <w:rFonts w:hint="eastAsia" w:ascii="宋体" w:hAnsi="宋体"/>
          <w:color w:val="auto"/>
          <w:szCs w:val="21"/>
          <w:highlight w:val="none"/>
        </w:rPr>
        <w:t>若我方以上承诺不实，自愿承担提供虚假材料谋取成交的法律责任。</w:t>
      </w:r>
    </w:p>
    <w:p w14:paraId="3BE7C42C">
      <w:pPr>
        <w:pStyle w:val="4"/>
        <w:spacing w:line="360" w:lineRule="auto"/>
        <w:ind w:firstLine="573"/>
        <w:rPr>
          <w:rFonts w:ascii="宋体" w:hAnsi="宋体"/>
          <w:color w:val="auto"/>
          <w:szCs w:val="21"/>
          <w:highlight w:val="none"/>
        </w:rPr>
      </w:pPr>
    </w:p>
    <w:p w14:paraId="7203DC1E">
      <w:pPr>
        <w:pStyle w:val="4"/>
        <w:spacing w:line="360" w:lineRule="auto"/>
        <w:ind w:firstLine="573"/>
        <w:rPr>
          <w:rFonts w:ascii="宋体" w:hAnsi="宋体"/>
          <w:color w:val="auto"/>
          <w:szCs w:val="21"/>
          <w:highlight w:val="none"/>
        </w:rPr>
      </w:pPr>
    </w:p>
    <w:p w14:paraId="29D9B198">
      <w:pPr>
        <w:pStyle w:val="4"/>
        <w:spacing w:line="360" w:lineRule="auto"/>
        <w:ind w:firstLine="573"/>
        <w:rPr>
          <w:rFonts w:ascii="宋体" w:hAnsi="宋体"/>
          <w:color w:val="auto"/>
          <w:szCs w:val="21"/>
          <w:highlight w:val="none"/>
        </w:rPr>
      </w:pPr>
      <w:r>
        <w:rPr>
          <w:rFonts w:hint="eastAsia" w:ascii="宋体" w:hAnsi="宋体"/>
          <w:color w:val="auto"/>
          <w:szCs w:val="21"/>
          <w:highlight w:val="none"/>
        </w:rPr>
        <w:t>承 诺 人：</w:t>
      </w:r>
      <w:r>
        <w:rPr>
          <w:rFonts w:hint="eastAsia" w:ascii="宋体" w:hAnsi="宋体"/>
          <w:color w:val="auto"/>
          <w:szCs w:val="21"/>
          <w:highlight w:val="none"/>
          <w:u w:val="single"/>
        </w:rPr>
        <w:t xml:space="preserve">                                   </w:t>
      </w:r>
      <w:r>
        <w:rPr>
          <w:rFonts w:hint="eastAsia" w:ascii="宋体" w:hAnsi="宋体"/>
          <w:color w:val="auto"/>
          <w:szCs w:val="21"/>
          <w:highlight w:val="none"/>
        </w:rPr>
        <w:t>（供应商名称、盖单位章）</w:t>
      </w:r>
    </w:p>
    <w:p w14:paraId="1AFD62F3">
      <w:pPr>
        <w:pStyle w:val="4"/>
        <w:spacing w:line="360" w:lineRule="auto"/>
        <w:ind w:firstLine="573"/>
        <w:rPr>
          <w:rFonts w:hint="eastAsia" w:ascii="宋体" w:hAnsi="宋体"/>
          <w:color w:val="auto"/>
          <w:szCs w:val="21"/>
          <w:highlight w:val="none"/>
        </w:rPr>
      </w:pPr>
    </w:p>
    <w:p w14:paraId="3EE489AA">
      <w:pPr>
        <w:pStyle w:val="4"/>
        <w:spacing w:line="360" w:lineRule="auto"/>
        <w:ind w:firstLine="573"/>
        <w:rPr>
          <w:rFonts w:hint="eastAsia" w:ascii="宋体" w:hAnsi="宋体"/>
          <w:color w:val="auto"/>
          <w:szCs w:val="21"/>
          <w:highlight w:val="none"/>
        </w:rPr>
      </w:pPr>
    </w:p>
    <w:p w14:paraId="21F4F1F9">
      <w:pPr>
        <w:pStyle w:val="4"/>
        <w:spacing w:line="360" w:lineRule="auto"/>
        <w:ind w:firstLine="573"/>
        <w:rPr>
          <w:rFonts w:ascii="宋体" w:hAnsi="宋体"/>
          <w:color w:val="auto"/>
          <w:szCs w:val="21"/>
          <w:highlight w:val="none"/>
        </w:rPr>
      </w:pPr>
      <w:r>
        <w:rPr>
          <w:rFonts w:hint="eastAsia" w:ascii="宋体" w:hAnsi="宋体"/>
          <w:color w:val="auto"/>
          <w:szCs w:val="21"/>
          <w:highlight w:val="none"/>
        </w:rPr>
        <w:t>法定代表人</w:t>
      </w:r>
      <w:r>
        <w:rPr>
          <w:rFonts w:hint="eastAsia" w:ascii="宋体" w:hAnsi="宋体"/>
          <w:color w:val="auto"/>
          <w:szCs w:val="21"/>
          <w:highlight w:val="none"/>
          <w:lang w:val="zh-CN"/>
        </w:rPr>
        <w:t>（单位负责人）</w:t>
      </w:r>
      <w:r>
        <w:rPr>
          <w:rFonts w:hint="eastAsia" w:ascii="宋体" w:hAnsi="宋体"/>
          <w:color w:val="auto"/>
          <w:szCs w:val="21"/>
          <w:highlight w:val="none"/>
        </w:rPr>
        <w:t>或委托代理人：</w:t>
      </w:r>
      <w:r>
        <w:rPr>
          <w:rFonts w:hint="eastAsia" w:ascii="宋体" w:hAnsi="宋体"/>
          <w:color w:val="auto"/>
          <w:szCs w:val="21"/>
          <w:highlight w:val="none"/>
          <w:u w:val="single"/>
        </w:rPr>
        <w:t xml:space="preserve">                    </w:t>
      </w:r>
      <w:r>
        <w:rPr>
          <w:rFonts w:hint="eastAsia" w:ascii="宋体" w:hAnsi="宋体"/>
          <w:color w:val="auto"/>
          <w:szCs w:val="21"/>
          <w:highlight w:val="none"/>
        </w:rPr>
        <w:t>（签名）</w:t>
      </w:r>
    </w:p>
    <w:p w14:paraId="75265E56">
      <w:pPr>
        <w:pStyle w:val="4"/>
        <w:spacing w:line="360" w:lineRule="auto"/>
        <w:ind w:firstLine="573"/>
        <w:rPr>
          <w:rFonts w:hint="eastAsia" w:ascii="宋体" w:hAnsi="宋体"/>
          <w:color w:val="auto"/>
          <w:szCs w:val="21"/>
          <w:highlight w:val="none"/>
        </w:rPr>
      </w:pPr>
    </w:p>
    <w:p w14:paraId="58E07D0D">
      <w:pPr>
        <w:pStyle w:val="4"/>
        <w:spacing w:line="360" w:lineRule="auto"/>
        <w:ind w:firstLine="573"/>
        <w:rPr>
          <w:rFonts w:hint="eastAsia" w:ascii="宋体" w:hAnsi="宋体"/>
          <w:color w:val="auto"/>
          <w:szCs w:val="21"/>
          <w:highlight w:val="none"/>
        </w:rPr>
      </w:pPr>
    </w:p>
    <w:p w14:paraId="582FBB69">
      <w:pPr>
        <w:pStyle w:val="4"/>
        <w:spacing w:line="360" w:lineRule="auto"/>
        <w:ind w:firstLine="573"/>
        <w:rPr>
          <w:rFonts w:ascii="宋体" w:hAnsi="宋体"/>
          <w:color w:val="auto"/>
          <w:szCs w:val="21"/>
          <w:highlight w:val="none"/>
        </w:rPr>
      </w:pPr>
      <w:r>
        <w:rPr>
          <w:rFonts w:hint="eastAsia" w:ascii="宋体" w:hAnsi="宋体"/>
          <w:color w:val="auto"/>
          <w:szCs w:val="21"/>
          <w:highlight w:val="none"/>
        </w:rPr>
        <w:t>日  期：20</w:t>
      </w: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31D37860">
      <w:pPr>
        <w:pStyle w:val="4"/>
        <w:spacing w:line="360" w:lineRule="auto"/>
        <w:ind w:firstLine="573"/>
        <w:rPr>
          <w:rFonts w:hint="eastAsia" w:ascii="宋体" w:hAnsi="宋体"/>
          <w:color w:val="auto"/>
          <w:szCs w:val="21"/>
          <w:highlight w:val="none"/>
        </w:rPr>
      </w:pPr>
    </w:p>
    <w:p w14:paraId="68DCDE4E">
      <w:pPr>
        <w:spacing w:line="360" w:lineRule="auto"/>
        <w:rPr>
          <w:rFonts w:hint="eastAsia" w:ascii="仿宋_GB2312" w:hAnsi="宋体" w:eastAsia="仿宋_GB2312"/>
          <w:color w:val="auto"/>
          <w:sz w:val="28"/>
          <w:szCs w:val="28"/>
          <w:highlight w:val="none"/>
        </w:rPr>
      </w:pPr>
    </w:p>
    <w:p w14:paraId="62F17583">
      <w:pPr>
        <w:rPr>
          <w:rFonts w:hint="eastAsia" w:ascii="宋体" w:hAnsi="宋体" w:eastAsia="宋体" w:cs="宋体"/>
          <w:color w:val="auto"/>
          <w:sz w:val="24"/>
          <w:szCs w:val="24"/>
          <w:highlight w:val="none"/>
        </w:rPr>
      </w:pPr>
      <w:r>
        <w:rPr>
          <w:rFonts w:hint="eastAsia" w:ascii="黑体" w:hAnsi="宋体" w:eastAsia="黑体"/>
          <w:color w:val="auto"/>
          <w:sz w:val="36"/>
          <w:szCs w:val="36"/>
          <w:highlight w:val="none"/>
        </w:rPr>
        <w:br w:type="page"/>
      </w:r>
    </w:p>
    <w:p w14:paraId="1E48EF78">
      <w:pPr>
        <w:keepNext w:val="0"/>
        <w:keepLines w:val="0"/>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4"/>
          <w:highlight w:val="none"/>
        </w:rPr>
      </w:pPr>
    </w:p>
    <w:p w14:paraId="3F53E42D">
      <w:pPr>
        <w:pStyle w:val="4"/>
        <w:spacing w:before="120" w:beforeLines="50"/>
        <w:ind w:left="0" w:leftChars="0" w:firstLine="0" w:firstLineChars="0"/>
        <w:jc w:val="center"/>
        <w:outlineLvl w:val="1"/>
        <w:rPr>
          <w:rFonts w:hint="eastAsia" w:ascii="方正小标宋简体" w:eastAsia="方正小标宋简体"/>
          <w:color w:val="auto"/>
          <w:sz w:val="28"/>
          <w:szCs w:val="28"/>
          <w:highlight w:val="none"/>
          <w:lang w:val="en-US" w:eastAsia="zh-CN"/>
        </w:rPr>
      </w:pPr>
      <w:r>
        <w:rPr>
          <w:rFonts w:hint="eastAsia" w:ascii="方正小标宋简体" w:eastAsia="方正小标宋简体"/>
          <w:color w:val="auto"/>
          <w:sz w:val="28"/>
          <w:szCs w:val="28"/>
          <w:highlight w:val="none"/>
          <w:lang w:val="en-US" w:eastAsia="zh-CN"/>
        </w:rPr>
        <w:t>被授权代表的身份证复印件以及2</w:t>
      </w:r>
      <w:commentRangeStart w:id="2"/>
      <w:r>
        <w:rPr>
          <w:rFonts w:hint="eastAsia" w:ascii="方正小标宋简体" w:eastAsia="方正小标宋简体"/>
          <w:color w:val="auto"/>
          <w:sz w:val="28"/>
          <w:szCs w:val="28"/>
          <w:highlight w:val="none"/>
          <w:lang w:val="en-US" w:eastAsia="zh-CN"/>
        </w:rPr>
        <w:t>025年</w:t>
      </w:r>
      <w:commentRangeEnd w:id="2"/>
      <w:r>
        <w:rPr>
          <w:color w:val="auto"/>
          <w:highlight w:val="none"/>
        </w:rPr>
        <w:commentReference w:id="2"/>
      </w:r>
      <w:r>
        <w:rPr>
          <w:rFonts w:hint="eastAsia" w:ascii="方正小标宋简体" w:eastAsia="方正小标宋简体"/>
          <w:color w:val="auto"/>
          <w:sz w:val="28"/>
          <w:szCs w:val="28"/>
          <w:highlight w:val="none"/>
          <w:lang w:val="en-US" w:eastAsia="zh-CN"/>
        </w:rPr>
        <w:t>1月至今任意时段在本单位注册的已缴纳的社会保障资金缴存单据或社保机构开具的社会保险参保缴费情况证明</w:t>
      </w:r>
    </w:p>
    <w:p w14:paraId="7151780D">
      <w:pPr>
        <w:rPr>
          <w:color w:val="auto"/>
          <w:highlight w:val="none"/>
        </w:rPr>
      </w:pPr>
    </w:p>
    <w:p w14:paraId="789FE3CF">
      <w:pPr>
        <w:pStyle w:val="2"/>
        <w:rPr>
          <w:rFonts w:hint="eastAsia" w:ascii="宋体" w:hAnsi="宋体" w:eastAsia="宋体" w:cs="宋体"/>
          <w:color w:val="auto"/>
          <w:highlight w:val="none"/>
        </w:rPr>
      </w:pPr>
    </w:p>
    <w:sectPr>
      <w:footerReference r:id="rId7"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杜航" w:date="2025-06-19T15:06:41Z" w:initials="">
    <w:p w14:paraId="6871FFB9">
      <w:pPr>
        <w:pStyle w:val="7"/>
      </w:pPr>
      <w:r>
        <w:annotationRef/>
      </w:r>
    </w:p>
  </w:comment>
  <w:comment w:id="1" w:author="杜航" w:date="2025-06-19T15:05:47Z" w:initials="">
    <w:p w14:paraId="1929019F">
      <w:pPr>
        <w:pStyle w:val="7"/>
      </w:pPr>
      <w:r>
        <w:annotationRef/>
      </w:r>
    </w:p>
  </w:comment>
  <w:comment w:id="2" w:author="杜航" w:date="2025-06-19T15:05:31Z" w:initials="">
    <w:p w14:paraId="6ED4322D">
      <w:pPr>
        <w:pStyle w:val="7"/>
      </w:pPr>
      <w: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871FFB9" w15:done="0"/>
  <w15:commentEx w15:paraId="1929019F" w15:done="0"/>
  <w15:commentEx w15:paraId="6ED4322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1C58F">
    <w:pPr>
      <w:pStyle w:val="2"/>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7693ED"/>
    <w:multiLevelType w:val="singleLevel"/>
    <w:tmpl w:val="1C7693ED"/>
    <w:lvl w:ilvl="0" w:tentative="0">
      <w:start w:val="2"/>
      <w:numFmt w:val="chineseCounting"/>
      <w:suff w:val="space"/>
      <w:lvlText w:val="第%1条"/>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杜航">
    <w15:presenceInfo w15:providerId="WPS Office" w15:userId="37004660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523EB0"/>
    <w:rsid w:val="00900E1D"/>
    <w:rsid w:val="00DE110C"/>
    <w:rsid w:val="0136557F"/>
    <w:rsid w:val="01763ADE"/>
    <w:rsid w:val="0195764A"/>
    <w:rsid w:val="01E07299"/>
    <w:rsid w:val="01ED6C4B"/>
    <w:rsid w:val="02AE1145"/>
    <w:rsid w:val="02B349AE"/>
    <w:rsid w:val="02B54A34"/>
    <w:rsid w:val="02E66B31"/>
    <w:rsid w:val="02F565AE"/>
    <w:rsid w:val="032A5101"/>
    <w:rsid w:val="037203C5"/>
    <w:rsid w:val="039931C3"/>
    <w:rsid w:val="03DB240E"/>
    <w:rsid w:val="03FD4132"/>
    <w:rsid w:val="042532DE"/>
    <w:rsid w:val="05290F57"/>
    <w:rsid w:val="056A6C9C"/>
    <w:rsid w:val="059960DD"/>
    <w:rsid w:val="05B66C8F"/>
    <w:rsid w:val="05BB5618"/>
    <w:rsid w:val="05FC723E"/>
    <w:rsid w:val="06074566"/>
    <w:rsid w:val="070D0B30"/>
    <w:rsid w:val="078D230B"/>
    <w:rsid w:val="079160F7"/>
    <w:rsid w:val="07EC6998"/>
    <w:rsid w:val="07FE5059"/>
    <w:rsid w:val="08316AA1"/>
    <w:rsid w:val="09746C21"/>
    <w:rsid w:val="09774987"/>
    <w:rsid w:val="09A137B2"/>
    <w:rsid w:val="0A063180"/>
    <w:rsid w:val="0A510FA4"/>
    <w:rsid w:val="0A636CB9"/>
    <w:rsid w:val="0B0C4E07"/>
    <w:rsid w:val="0BAD28E2"/>
    <w:rsid w:val="0BAF5689"/>
    <w:rsid w:val="0C6451D2"/>
    <w:rsid w:val="0D2210AE"/>
    <w:rsid w:val="0D3D7C96"/>
    <w:rsid w:val="0D460B9B"/>
    <w:rsid w:val="0D516958"/>
    <w:rsid w:val="0D9B2C64"/>
    <w:rsid w:val="0DB22432"/>
    <w:rsid w:val="0DCC25B3"/>
    <w:rsid w:val="0E4A08BC"/>
    <w:rsid w:val="0F040A6B"/>
    <w:rsid w:val="0F041E04"/>
    <w:rsid w:val="0F114F36"/>
    <w:rsid w:val="0F583FCC"/>
    <w:rsid w:val="0F7301AD"/>
    <w:rsid w:val="0FAC4C5F"/>
    <w:rsid w:val="10790FE5"/>
    <w:rsid w:val="11407D54"/>
    <w:rsid w:val="114A472F"/>
    <w:rsid w:val="11800151"/>
    <w:rsid w:val="11C409A5"/>
    <w:rsid w:val="11DB182B"/>
    <w:rsid w:val="122E4051"/>
    <w:rsid w:val="12712DC5"/>
    <w:rsid w:val="12922832"/>
    <w:rsid w:val="12DE7274"/>
    <w:rsid w:val="12E52961"/>
    <w:rsid w:val="12F42BA4"/>
    <w:rsid w:val="13187154"/>
    <w:rsid w:val="13857CA0"/>
    <w:rsid w:val="13CE7899"/>
    <w:rsid w:val="13D50C28"/>
    <w:rsid w:val="13DA637D"/>
    <w:rsid w:val="13F516F2"/>
    <w:rsid w:val="14411E19"/>
    <w:rsid w:val="14891A12"/>
    <w:rsid w:val="14B468BF"/>
    <w:rsid w:val="155362A8"/>
    <w:rsid w:val="155D0ED5"/>
    <w:rsid w:val="1576596C"/>
    <w:rsid w:val="159E329B"/>
    <w:rsid w:val="15F555B1"/>
    <w:rsid w:val="16253B2B"/>
    <w:rsid w:val="164812CA"/>
    <w:rsid w:val="16575A2C"/>
    <w:rsid w:val="16897F26"/>
    <w:rsid w:val="168A13B6"/>
    <w:rsid w:val="169C3C7F"/>
    <w:rsid w:val="16DC407B"/>
    <w:rsid w:val="16E55626"/>
    <w:rsid w:val="17143815"/>
    <w:rsid w:val="172E1B66"/>
    <w:rsid w:val="174A7237"/>
    <w:rsid w:val="17D20116"/>
    <w:rsid w:val="17E70F2A"/>
    <w:rsid w:val="18701DE2"/>
    <w:rsid w:val="1881312C"/>
    <w:rsid w:val="18BA6619"/>
    <w:rsid w:val="18FB4499"/>
    <w:rsid w:val="193E2DCB"/>
    <w:rsid w:val="19A74E14"/>
    <w:rsid w:val="19B229E6"/>
    <w:rsid w:val="19D454DE"/>
    <w:rsid w:val="1A766595"/>
    <w:rsid w:val="1AB10E35"/>
    <w:rsid w:val="1AD80FFE"/>
    <w:rsid w:val="1B4F12C0"/>
    <w:rsid w:val="1B574B35"/>
    <w:rsid w:val="1BEA74D5"/>
    <w:rsid w:val="1BF6798D"/>
    <w:rsid w:val="1C250273"/>
    <w:rsid w:val="1C60602A"/>
    <w:rsid w:val="1C7D3CBE"/>
    <w:rsid w:val="1CF55718"/>
    <w:rsid w:val="1D1E4261"/>
    <w:rsid w:val="1D540E0F"/>
    <w:rsid w:val="1D7C1895"/>
    <w:rsid w:val="1D7F79EF"/>
    <w:rsid w:val="1D8E3BF5"/>
    <w:rsid w:val="1D9A259A"/>
    <w:rsid w:val="1E165F1B"/>
    <w:rsid w:val="1E390005"/>
    <w:rsid w:val="1E89232D"/>
    <w:rsid w:val="1EB36627"/>
    <w:rsid w:val="1EFB350D"/>
    <w:rsid w:val="1F021EDA"/>
    <w:rsid w:val="1F505606"/>
    <w:rsid w:val="20014B53"/>
    <w:rsid w:val="20191E9C"/>
    <w:rsid w:val="21025026"/>
    <w:rsid w:val="21075857"/>
    <w:rsid w:val="211014F1"/>
    <w:rsid w:val="217016BC"/>
    <w:rsid w:val="21701F90"/>
    <w:rsid w:val="21FC5F50"/>
    <w:rsid w:val="22140B6D"/>
    <w:rsid w:val="224C47AB"/>
    <w:rsid w:val="22550BDA"/>
    <w:rsid w:val="22EC3898"/>
    <w:rsid w:val="23243032"/>
    <w:rsid w:val="237815D0"/>
    <w:rsid w:val="23B00D6A"/>
    <w:rsid w:val="23B02B18"/>
    <w:rsid w:val="243E7697"/>
    <w:rsid w:val="24763D61"/>
    <w:rsid w:val="25164BFC"/>
    <w:rsid w:val="25453733"/>
    <w:rsid w:val="254A14E2"/>
    <w:rsid w:val="25826E67"/>
    <w:rsid w:val="25B85CB3"/>
    <w:rsid w:val="26543C2E"/>
    <w:rsid w:val="267816C5"/>
    <w:rsid w:val="27027B2E"/>
    <w:rsid w:val="275F557D"/>
    <w:rsid w:val="277E31B0"/>
    <w:rsid w:val="278C73F8"/>
    <w:rsid w:val="27D17500"/>
    <w:rsid w:val="27D75F18"/>
    <w:rsid w:val="280478D6"/>
    <w:rsid w:val="285D489A"/>
    <w:rsid w:val="28CE644C"/>
    <w:rsid w:val="28D9041B"/>
    <w:rsid w:val="28F811E9"/>
    <w:rsid w:val="28FC115B"/>
    <w:rsid w:val="29170DC4"/>
    <w:rsid w:val="294E7E06"/>
    <w:rsid w:val="29712D49"/>
    <w:rsid w:val="29E3027D"/>
    <w:rsid w:val="2A622692"/>
    <w:rsid w:val="2AD05911"/>
    <w:rsid w:val="2AF754D0"/>
    <w:rsid w:val="2B560448"/>
    <w:rsid w:val="2B5C5980"/>
    <w:rsid w:val="2B7E174D"/>
    <w:rsid w:val="2BF8505C"/>
    <w:rsid w:val="2C091017"/>
    <w:rsid w:val="2C8132A3"/>
    <w:rsid w:val="2D2D6F87"/>
    <w:rsid w:val="2E187C37"/>
    <w:rsid w:val="2E4E3659"/>
    <w:rsid w:val="2E854D74"/>
    <w:rsid w:val="2EA72D69"/>
    <w:rsid w:val="2F0C5D36"/>
    <w:rsid w:val="30226B4B"/>
    <w:rsid w:val="306B04F2"/>
    <w:rsid w:val="30B05E3F"/>
    <w:rsid w:val="311913D0"/>
    <w:rsid w:val="317909ED"/>
    <w:rsid w:val="31BC4D7D"/>
    <w:rsid w:val="327F2033"/>
    <w:rsid w:val="32917FB8"/>
    <w:rsid w:val="32E0684A"/>
    <w:rsid w:val="3315244E"/>
    <w:rsid w:val="33233306"/>
    <w:rsid w:val="33245604"/>
    <w:rsid w:val="332E5807"/>
    <w:rsid w:val="3361798A"/>
    <w:rsid w:val="33A1247D"/>
    <w:rsid w:val="33B84A98"/>
    <w:rsid w:val="344C4197"/>
    <w:rsid w:val="34546A3D"/>
    <w:rsid w:val="34AF7A65"/>
    <w:rsid w:val="34EF25FC"/>
    <w:rsid w:val="34FB796B"/>
    <w:rsid w:val="351C27B0"/>
    <w:rsid w:val="35865602"/>
    <w:rsid w:val="35E548A3"/>
    <w:rsid w:val="35F72828"/>
    <w:rsid w:val="369D13B4"/>
    <w:rsid w:val="36BA5D2F"/>
    <w:rsid w:val="36D80A21"/>
    <w:rsid w:val="372747C5"/>
    <w:rsid w:val="372C7136"/>
    <w:rsid w:val="37C34D14"/>
    <w:rsid w:val="382673F4"/>
    <w:rsid w:val="38CA5FD2"/>
    <w:rsid w:val="38EF5A38"/>
    <w:rsid w:val="399860D0"/>
    <w:rsid w:val="3A004EDF"/>
    <w:rsid w:val="3A0D5000"/>
    <w:rsid w:val="3A3951BD"/>
    <w:rsid w:val="3A59760D"/>
    <w:rsid w:val="3A801E9E"/>
    <w:rsid w:val="3A9C399E"/>
    <w:rsid w:val="3AAE58B3"/>
    <w:rsid w:val="3AD969A0"/>
    <w:rsid w:val="3B093FA7"/>
    <w:rsid w:val="3B984165"/>
    <w:rsid w:val="3BCB0097"/>
    <w:rsid w:val="3C3B10F1"/>
    <w:rsid w:val="3C53008C"/>
    <w:rsid w:val="3C6F3946"/>
    <w:rsid w:val="3C99647A"/>
    <w:rsid w:val="3CA134EE"/>
    <w:rsid w:val="3CF96E86"/>
    <w:rsid w:val="3D122796"/>
    <w:rsid w:val="3D246119"/>
    <w:rsid w:val="3D2F0AF9"/>
    <w:rsid w:val="3D8F6522"/>
    <w:rsid w:val="3D9559C0"/>
    <w:rsid w:val="3DA2751D"/>
    <w:rsid w:val="3DB66B25"/>
    <w:rsid w:val="3E0C3B84"/>
    <w:rsid w:val="3EBF7C5B"/>
    <w:rsid w:val="3ED835C0"/>
    <w:rsid w:val="3ED930B3"/>
    <w:rsid w:val="3F4F0FDF"/>
    <w:rsid w:val="3F8D4B70"/>
    <w:rsid w:val="3FE57D53"/>
    <w:rsid w:val="3FF5663E"/>
    <w:rsid w:val="40170381"/>
    <w:rsid w:val="40314FA3"/>
    <w:rsid w:val="4037219F"/>
    <w:rsid w:val="40703903"/>
    <w:rsid w:val="41040AA3"/>
    <w:rsid w:val="414172BF"/>
    <w:rsid w:val="41550306"/>
    <w:rsid w:val="41AB27FF"/>
    <w:rsid w:val="423170C2"/>
    <w:rsid w:val="427F7E2D"/>
    <w:rsid w:val="429C3CA4"/>
    <w:rsid w:val="42C83582"/>
    <w:rsid w:val="42F04887"/>
    <w:rsid w:val="430B346F"/>
    <w:rsid w:val="43911BC6"/>
    <w:rsid w:val="43917E43"/>
    <w:rsid w:val="43D47D05"/>
    <w:rsid w:val="43D50C9D"/>
    <w:rsid w:val="445175A7"/>
    <w:rsid w:val="452D3B70"/>
    <w:rsid w:val="45316955"/>
    <w:rsid w:val="459B6D2C"/>
    <w:rsid w:val="45D24B17"/>
    <w:rsid w:val="460F771A"/>
    <w:rsid w:val="463B406B"/>
    <w:rsid w:val="466730B2"/>
    <w:rsid w:val="467C75EB"/>
    <w:rsid w:val="4685178A"/>
    <w:rsid w:val="46D85D5E"/>
    <w:rsid w:val="47013507"/>
    <w:rsid w:val="47504DA7"/>
    <w:rsid w:val="478F0B12"/>
    <w:rsid w:val="48A56114"/>
    <w:rsid w:val="48A95C04"/>
    <w:rsid w:val="48A96D19"/>
    <w:rsid w:val="48F84495"/>
    <w:rsid w:val="49064E04"/>
    <w:rsid w:val="495808B5"/>
    <w:rsid w:val="49F16FD3"/>
    <w:rsid w:val="4A57286A"/>
    <w:rsid w:val="4A5D727D"/>
    <w:rsid w:val="4A8E6E5F"/>
    <w:rsid w:val="4A985F30"/>
    <w:rsid w:val="4AE92146"/>
    <w:rsid w:val="4C7107E7"/>
    <w:rsid w:val="4C983FC5"/>
    <w:rsid w:val="4D491763"/>
    <w:rsid w:val="4D695559"/>
    <w:rsid w:val="4D894AF1"/>
    <w:rsid w:val="4DE13C01"/>
    <w:rsid w:val="4E0560CC"/>
    <w:rsid w:val="4E3221F7"/>
    <w:rsid w:val="4E582836"/>
    <w:rsid w:val="4E6323B1"/>
    <w:rsid w:val="4EB15812"/>
    <w:rsid w:val="4EE01C53"/>
    <w:rsid w:val="4FB45527"/>
    <w:rsid w:val="4FE614EB"/>
    <w:rsid w:val="50045AFA"/>
    <w:rsid w:val="50243DC2"/>
    <w:rsid w:val="5147093D"/>
    <w:rsid w:val="51B11685"/>
    <w:rsid w:val="521B67F5"/>
    <w:rsid w:val="528C2795"/>
    <w:rsid w:val="52E75090"/>
    <w:rsid w:val="53005A6E"/>
    <w:rsid w:val="5325057D"/>
    <w:rsid w:val="5330603D"/>
    <w:rsid w:val="53933738"/>
    <w:rsid w:val="53962C9E"/>
    <w:rsid w:val="53D8114B"/>
    <w:rsid w:val="54C664CE"/>
    <w:rsid w:val="54E12281"/>
    <w:rsid w:val="55200FFC"/>
    <w:rsid w:val="55314FB7"/>
    <w:rsid w:val="553F1336"/>
    <w:rsid w:val="556F5ADF"/>
    <w:rsid w:val="55AC288F"/>
    <w:rsid w:val="55B20855"/>
    <w:rsid w:val="56451298"/>
    <w:rsid w:val="565F1E29"/>
    <w:rsid w:val="566969D2"/>
    <w:rsid w:val="5689497F"/>
    <w:rsid w:val="56D227CA"/>
    <w:rsid w:val="570102B2"/>
    <w:rsid w:val="576A0C54"/>
    <w:rsid w:val="57BE4AFC"/>
    <w:rsid w:val="57F95B34"/>
    <w:rsid w:val="57FF75EE"/>
    <w:rsid w:val="582C7CB7"/>
    <w:rsid w:val="58816255"/>
    <w:rsid w:val="5890055A"/>
    <w:rsid w:val="58AD704A"/>
    <w:rsid w:val="58EF1411"/>
    <w:rsid w:val="591006A9"/>
    <w:rsid w:val="599D70BF"/>
    <w:rsid w:val="5A1412C3"/>
    <w:rsid w:val="5A504131"/>
    <w:rsid w:val="5A6E45B7"/>
    <w:rsid w:val="5A7B2341"/>
    <w:rsid w:val="5BC52305"/>
    <w:rsid w:val="5BDB7A2A"/>
    <w:rsid w:val="5BF8682E"/>
    <w:rsid w:val="5C6B12CC"/>
    <w:rsid w:val="5CCB4A8E"/>
    <w:rsid w:val="5D645464"/>
    <w:rsid w:val="5D8F2E94"/>
    <w:rsid w:val="5DA30BF8"/>
    <w:rsid w:val="5E6006BB"/>
    <w:rsid w:val="5EB22067"/>
    <w:rsid w:val="5ED74E21"/>
    <w:rsid w:val="5F024A3E"/>
    <w:rsid w:val="5F3A0F0C"/>
    <w:rsid w:val="5F5752E6"/>
    <w:rsid w:val="5F71772E"/>
    <w:rsid w:val="5F773F0E"/>
    <w:rsid w:val="5FAD3EA6"/>
    <w:rsid w:val="5FC833BC"/>
    <w:rsid w:val="600E24AE"/>
    <w:rsid w:val="601F1CF2"/>
    <w:rsid w:val="606C09EB"/>
    <w:rsid w:val="608148D0"/>
    <w:rsid w:val="616109D2"/>
    <w:rsid w:val="61DE64C6"/>
    <w:rsid w:val="6223212B"/>
    <w:rsid w:val="626764BC"/>
    <w:rsid w:val="62E775FD"/>
    <w:rsid w:val="634B4390"/>
    <w:rsid w:val="637662F0"/>
    <w:rsid w:val="63894210"/>
    <w:rsid w:val="638D4142"/>
    <w:rsid w:val="63D455FE"/>
    <w:rsid w:val="63F16F7A"/>
    <w:rsid w:val="641B6CFA"/>
    <w:rsid w:val="641D7E76"/>
    <w:rsid w:val="64596B07"/>
    <w:rsid w:val="645B3DFE"/>
    <w:rsid w:val="647F02AB"/>
    <w:rsid w:val="64835103"/>
    <w:rsid w:val="64C01EB3"/>
    <w:rsid w:val="6614022E"/>
    <w:rsid w:val="66246472"/>
    <w:rsid w:val="66BD2855"/>
    <w:rsid w:val="67020A40"/>
    <w:rsid w:val="6713087B"/>
    <w:rsid w:val="674A4511"/>
    <w:rsid w:val="67D1437E"/>
    <w:rsid w:val="67E759A9"/>
    <w:rsid w:val="68095BBE"/>
    <w:rsid w:val="68725BBA"/>
    <w:rsid w:val="695B03FD"/>
    <w:rsid w:val="697426DF"/>
    <w:rsid w:val="69F56535"/>
    <w:rsid w:val="6B35052E"/>
    <w:rsid w:val="6B985E9C"/>
    <w:rsid w:val="6BD85E8F"/>
    <w:rsid w:val="6C027255"/>
    <w:rsid w:val="6C733CAF"/>
    <w:rsid w:val="6CA420BB"/>
    <w:rsid w:val="6CD94028"/>
    <w:rsid w:val="6D286848"/>
    <w:rsid w:val="6D4450F4"/>
    <w:rsid w:val="6E95615F"/>
    <w:rsid w:val="6ECC76A7"/>
    <w:rsid w:val="6EDC3D8E"/>
    <w:rsid w:val="6EFD5AB2"/>
    <w:rsid w:val="6F0F5F1F"/>
    <w:rsid w:val="6F41270D"/>
    <w:rsid w:val="6FA04DBB"/>
    <w:rsid w:val="6FFB55E3"/>
    <w:rsid w:val="70074E3A"/>
    <w:rsid w:val="70185150"/>
    <w:rsid w:val="70765B1C"/>
    <w:rsid w:val="7099189C"/>
    <w:rsid w:val="70BB79D3"/>
    <w:rsid w:val="70C32EE9"/>
    <w:rsid w:val="70F66138"/>
    <w:rsid w:val="712B53BB"/>
    <w:rsid w:val="715776FB"/>
    <w:rsid w:val="716D33C3"/>
    <w:rsid w:val="71CB1E97"/>
    <w:rsid w:val="71E52F59"/>
    <w:rsid w:val="720B51F7"/>
    <w:rsid w:val="722513CF"/>
    <w:rsid w:val="724265FE"/>
    <w:rsid w:val="727A5D97"/>
    <w:rsid w:val="727D3F4E"/>
    <w:rsid w:val="72CD203E"/>
    <w:rsid w:val="72D603E0"/>
    <w:rsid w:val="73217FC1"/>
    <w:rsid w:val="744D4DE6"/>
    <w:rsid w:val="74A215D5"/>
    <w:rsid w:val="74AE7F7A"/>
    <w:rsid w:val="74BB047B"/>
    <w:rsid w:val="74F17E67"/>
    <w:rsid w:val="74F61AF8"/>
    <w:rsid w:val="75107AB0"/>
    <w:rsid w:val="760427D7"/>
    <w:rsid w:val="76A64839"/>
    <w:rsid w:val="76C06440"/>
    <w:rsid w:val="76C34768"/>
    <w:rsid w:val="76D734D6"/>
    <w:rsid w:val="774150D6"/>
    <w:rsid w:val="78065E75"/>
    <w:rsid w:val="78490BFE"/>
    <w:rsid w:val="78970D25"/>
    <w:rsid w:val="794C17CC"/>
    <w:rsid w:val="795409C4"/>
    <w:rsid w:val="795B69AA"/>
    <w:rsid w:val="798A0AC8"/>
    <w:rsid w:val="79921C19"/>
    <w:rsid w:val="7ABF6D39"/>
    <w:rsid w:val="7AC758F2"/>
    <w:rsid w:val="7AEA7832"/>
    <w:rsid w:val="7AF37E57"/>
    <w:rsid w:val="7B5C2BD2"/>
    <w:rsid w:val="7B611E27"/>
    <w:rsid w:val="7B71191C"/>
    <w:rsid w:val="7B755AFC"/>
    <w:rsid w:val="7BCD6162"/>
    <w:rsid w:val="7C8B5ABC"/>
    <w:rsid w:val="7C920181"/>
    <w:rsid w:val="7D731D61"/>
    <w:rsid w:val="7DB4373E"/>
    <w:rsid w:val="7DC12ACC"/>
    <w:rsid w:val="7DC84464"/>
    <w:rsid w:val="7E2B2739"/>
    <w:rsid w:val="7E6C1CCD"/>
    <w:rsid w:val="7E8B30DA"/>
    <w:rsid w:val="7EB048EF"/>
    <w:rsid w:val="7F1C3D32"/>
    <w:rsid w:val="7FB1091F"/>
    <w:rsid w:val="7FC24CC3"/>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4">
    <w:name w:val="Normal Indent"/>
    <w:basedOn w:val="1"/>
    <w:next w:val="1"/>
    <w:qFormat/>
    <w:uiPriority w:val="0"/>
    <w:pPr>
      <w:ind w:firstLine="420"/>
    </w:pPr>
    <w:rPr>
      <w:szCs w:val="20"/>
    </w:rPr>
  </w:style>
  <w:style w:type="paragraph" w:styleId="7">
    <w:name w:val="annotation text"/>
    <w:basedOn w:val="1"/>
    <w:qFormat/>
    <w:uiPriority w:val="0"/>
    <w:pPr>
      <w:jc w:val="left"/>
    </w:pPr>
  </w:style>
  <w:style w:type="paragraph" w:styleId="8">
    <w:name w:val="Body Text Indent"/>
    <w:basedOn w:val="1"/>
    <w:next w:val="1"/>
    <w:qFormat/>
    <w:uiPriority w:val="0"/>
    <w:pPr>
      <w:ind w:firstLine="630"/>
    </w:pPr>
    <w:rPr>
      <w:sz w:val="32"/>
      <w:szCs w:val="20"/>
    </w:rPr>
  </w:style>
  <w:style w:type="paragraph" w:styleId="9">
    <w:name w:val="Plain Text"/>
    <w:basedOn w:val="1"/>
    <w:next w:val="1"/>
    <w:qFormat/>
    <w:uiPriority w:val="0"/>
    <w:rPr>
      <w:rFonts w:ascii="宋体" w:hAnsi="Courier New" w:cs="Courier New"/>
      <w:szCs w:val="21"/>
    </w:rPr>
  </w:style>
  <w:style w:type="paragraph" w:styleId="10">
    <w:name w:val="Date"/>
    <w:basedOn w:val="1"/>
    <w:next w:val="1"/>
    <w:qFormat/>
    <w:uiPriority w:val="0"/>
    <w:pPr>
      <w:ind w:left="100" w:leftChars="2500"/>
    </w:pPr>
  </w:style>
  <w:style w:type="paragraph" w:styleId="11">
    <w:name w:val="Body Text Indent 2"/>
    <w:basedOn w:val="1"/>
    <w:qFormat/>
    <w:uiPriority w:val="0"/>
    <w:pPr>
      <w:ind w:firstLine="630"/>
    </w:pPr>
    <w:rPr>
      <w:sz w:val="32"/>
      <w:szCs w:val="20"/>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5">
    <w:name w:val="Body Text First Indent"/>
    <w:basedOn w:val="2"/>
    <w:qFormat/>
    <w:uiPriority w:val="0"/>
    <w:pPr>
      <w:ind w:firstLine="420" w:firstLineChars="100"/>
    </w:pPr>
    <w:rPr>
      <w:szCs w:val="24"/>
    </w:rPr>
  </w:style>
  <w:style w:type="paragraph" w:styleId="16">
    <w:name w:val="Body Text First Indent 2"/>
    <w:basedOn w:val="8"/>
    <w:next w:val="4"/>
    <w:qFormat/>
    <w:uiPriority w:val="0"/>
    <w:pPr>
      <w:ind w:firstLine="420" w:firstLineChars="200"/>
    </w:p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0">
    <w:name w:val="Table Normal"/>
    <w:semiHidden/>
    <w:unhideWhenUsed/>
    <w:qFormat/>
    <w:uiPriority w:val="0"/>
    <w:tblPr>
      <w:tblCellMar>
        <w:top w:w="0" w:type="dxa"/>
        <w:left w:w="0" w:type="dxa"/>
        <w:bottom w:w="0" w:type="dxa"/>
        <w:right w:w="0" w:type="dxa"/>
      </w:tblCellMar>
    </w:tblPr>
  </w:style>
  <w:style w:type="paragraph" w:customStyle="1" w:styleId="21">
    <w:name w:val="Table Text"/>
    <w:basedOn w:val="1"/>
    <w:semiHidden/>
    <w:qFormat/>
    <w:uiPriority w:val="0"/>
    <w:rPr>
      <w:rFonts w:ascii="宋体" w:hAnsi="宋体" w:eastAsia="宋体" w:cs="宋体"/>
      <w:sz w:val="18"/>
      <w:szCs w:val="18"/>
      <w:lang w:val="en-US" w:eastAsia="en-US" w:bidi="ar-SA"/>
    </w:rPr>
  </w:style>
  <w:style w:type="paragraph" w:customStyle="1" w:styleId="22">
    <w:name w:val="Char1"/>
    <w:basedOn w:val="1"/>
    <w:qFormat/>
    <w:uiPriority w:val="0"/>
    <w:rPr>
      <w:szCs w:val="21"/>
    </w:rPr>
  </w:style>
  <w:style w:type="paragraph" w:customStyle="1" w:styleId="23">
    <w:name w:val="样式 首行缩进:  2 字符"/>
    <w:basedOn w:val="1"/>
    <w:qFormat/>
    <w:uiPriority w:val="0"/>
    <w:pPr>
      <w:spacing w:line="400" w:lineRule="exact"/>
      <w:ind w:firstLine="200" w:firstLineChars="200"/>
    </w:pPr>
    <w:rPr>
      <w:rFonts w:cs="宋体"/>
      <w:sz w:val="24"/>
    </w:rPr>
  </w:style>
  <w:style w:type="paragraph" w:styleId="24">
    <w:name w:val="List Paragraph"/>
    <w:basedOn w:val="1"/>
    <w:qFormat/>
    <w:uiPriority w:val="0"/>
    <w:pPr>
      <w:ind w:firstLine="420" w:firstLineChars="200"/>
    </w:pPr>
    <w:rPr>
      <w:sz w:val="18"/>
      <w:szCs w:val="18"/>
    </w:rPr>
  </w:style>
  <w:style w:type="paragraph" w:customStyle="1" w:styleId="2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12</Pages>
  <Words>4244</Words>
  <Characters>4355</Characters>
  <TotalTime>0</TotalTime>
  <ScaleCrop>false</ScaleCrop>
  <LinksUpToDate>false</LinksUpToDate>
  <CharactersWithSpaces>4888</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杜航</cp:lastModifiedBy>
  <dcterms:modified xsi:type="dcterms:W3CDTF">2025-06-20T06:46:58Z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2052-12.1.0.21541</vt:lpwstr>
  </property>
  <property fmtid="{D5CDD505-2E9C-101B-9397-08002B2CF9AE}" pid="5" name="ICV">
    <vt:lpwstr>AED8E82E0A3440E2A0C1E3E0E9F2A93F_13</vt:lpwstr>
  </property>
  <property fmtid="{D5CDD505-2E9C-101B-9397-08002B2CF9AE}" pid="6" name="KSOTemplateDocerSaveRecord">
    <vt:lpwstr>eyJoZGlkIjoiZmQ5MmU2MDRiNzg1MjE2NzY5YWVjNDljMGUwNmZmZmQiLCJ1c2VySWQiOiIzMDgwODY2MDYifQ==</vt:lpwstr>
  </property>
</Properties>
</file>