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版本号：SXLX25-02-043Z（F）20250623001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融媒体中心数据资源库使用项目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SXLX25-02-043Z（F）</w:t>
      </w:r>
      <w:r>
        <w:br/>
      </w:r>
      <w:r>
        <w:br/>
      </w:r>
      <w:r>
        <w:br/>
      </w:r>
    </w:p>
    <w:p>
      <w:pPr>
        <w:pStyle w:val="null3"/>
        <w:jc w:val="center"/>
        <w:outlineLvl w:val="5"/>
      </w:pPr>
      <w:r>
        <w:rPr>
          <w:rFonts w:ascii="仿宋_GB2312" w:hAnsi="仿宋_GB2312" w:cs="仿宋_GB2312" w:eastAsia="仿宋_GB2312"/>
          <w:sz w:val="15"/>
          <w:b/>
        </w:rPr>
        <w:t>西安市碑林区委宣传部（本级）</w:t>
      </w:r>
    </w:p>
    <w:p>
      <w:pPr>
        <w:pStyle w:val="null3"/>
        <w:jc w:val="center"/>
        <w:outlineLvl w:val="5"/>
      </w:pPr>
      <w:r>
        <w:rPr>
          <w:rFonts w:ascii="仿宋_GB2312" w:hAnsi="仿宋_GB2312" w:cs="仿宋_GB2312" w:eastAsia="仿宋_GB2312"/>
          <w:sz w:val="15"/>
          <w:b/>
        </w:rPr>
        <w:t>陕西隆信项目管理有限公司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西安市碑林区委宣传部（本级）</w:t>
      </w:r>
      <w:r>
        <w:rPr>
          <w:rFonts w:ascii="仿宋_GB2312" w:hAnsi="仿宋_GB2312" w:cs="仿宋_GB2312" w:eastAsia="仿宋_GB2312"/>
        </w:rPr>
        <w:t>委托，拟对</w:t>
      </w:r>
      <w:r>
        <w:rPr>
          <w:rFonts w:ascii="仿宋_GB2312" w:hAnsi="仿宋_GB2312" w:cs="仿宋_GB2312" w:eastAsia="仿宋_GB2312"/>
        </w:rPr>
        <w:t>融媒体中心数据资源库使用项目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SXLX25-02-043Z（F）</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融媒体中心数据资源库使用项目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长安云平台硬件后台更新、软件技术支撑、升级管控运维等；需满足长安云平台数据资源库使用所有要求。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陕西省西安市碑林区南院门27号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029-89625155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马彩霞、王小琼、任甜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参照《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西安市碑林区委宣传部（本级）</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西安市碑林区委宣传部（本级）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长安云平台硬件后台更新、软件技术支撑、升级管控运维等；需满足长安云平台数据资源库使用所有要求。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830000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标的名称：830000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2"/>
                <w:b/>
              </w:rPr>
              <w:t>一、</w:t>
            </w:r>
            <w:r>
              <w:rPr>
                <w:rFonts w:ascii="仿宋_GB2312" w:hAnsi="仿宋_GB2312" w:cs="仿宋_GB2312" w:eastAsia="仿宋_GB2312"/>
                <w:sz w:val="22"/>
                <w:b/>
              </w:rPr>
              <w:t>服务内容</w:t>
            </w:r>
          </w:p>
          <w:p>
            <w:pPr>
              <w:pStyle w:val="null3"/>
              <w:jc w:val="both"/>
            </w:pPr>
            <w:r>
              <w:rPr>
                <w:rFonts w:ascii="仿宋_GB2312" w:hAnsi="仿宋_GB2312" w:cs="仿宋_GB2312" w:eastAsia="仿宋_GB2312"/>
              </w:rPr>
              <w:t xml:space="preserve"> </w:t>
            </w:r>
          </w:p>
          <w:p>
            <w:pPr>
              <w:pStyle w:val="null3"/>
              <w:ind w:firstLine="408"/>
              <w:jc w:val="both"/>
            </w:pPr>
            <w:r>
              <w:rPr>
                <w:rFonts w:ascii="仿宋_GB2312" w:hAnsi="仿宋_GB2312" w:cs="仿宋_GB2312" w:eastAsia="仿宋_GB2312"/>
                <w:sz w:val="21"/>
                <w:color w:val="000000"/>
              </w:rPr>
              <w:t>采购人</w:t>
            </w:r>
            <w:r>
              <w:rPr>
                <w:rFonts w:ascii="仿宋_GB2312" w:hAnsi="仿宋_GB2312" w:cs="仿宋_GB2312" w:eastAsia="仿宋_GB2312"/>
                <w:sz w:val="21"/>
                <w:color w:val="000000"/>
              </w:rPr>
              <w:t>依托</w:t>
            </w:r>
            <w:r>
              <w:rPr>
                <w:rFonts w:ascii="仿宋_GB2312" w:hAnsi="仿宋_GB2312" w:cs="仿宋_GB2312" w:eastAsia="仿宋_GB2312"/>
                <w:sz w:val="21"/>
                <w:color w:val="000000"/>
              </w:rPr>
              <w:t>成交供应商</w:t>
            </w:r>
            <w:r>
              <w:rPr>
                <w:rFonts w:ascii="仿宋_GB2312" w:hAnsi="仿宋_GB2312" w:cs="仿宋_GB2312" w:eastAsia="仿宋_GB2312"/>
                <w:sz w:val="21"/>
                <w:color w:val="000000"/>
              </w:rPr>
              <w:t>技术平台和人力资源优势，应用西安台</w:t>
            </w:r>
            <w:r>
              <w:rPr>
                <w:rFonts w:ascii="仿宋_GB2312" w:hAnsi="仿宋_GB2312" w:cs="仿宋_GB2312" w:eastAsia="仿宋_GB2312"/>
                <w:sz w:val="21"/>
                <w:color w:val="000000"/>
              </w:rPr>
              <w:t>“长安云”融媒体平台开展工作。即碑林区融媒体中心数据资源库使用“长安云”平台硬件后台更新、软件技术支撑、升级管控运维及设备使用等功能</w:t>
            </w:r>
            <w:r>
              <w:rPr>
                <w:rFonts w:ascii="仿宋_GB2312" w:hAnsi="仿宋_GB2312" w:cs="仿宋_GB2312" w:eastAsia="仿宋_GB2312"/>
                <w:sz w:val="21"/>
                <w:color w:val="000000"/>
              </w:rPr>
              <w:t>。</w:t>
            </w:r>
          </w:p>
          <w:p>
            <w:pPr>
              <w:pStyle w:val="null3"/>
              <w:ind w:firstLine="408"/>
              <w:jc w:val="both"/>
            </w:pPr>
            <w:r>
              <w:rPr>
                <w:rFonts w:ascii="仿宋_GB2312" w:hAnsi="仿宋_GB2312" w:cs="仿宋_GB2312" w:eastAsia="仿宋_GB2312"/>
                <w:sz w:val="21"/>
                <w:color w:val="000000"/>
              </w:rPr>
              <w:t>本项目所属软件和信息技术服务业。（从业人员</w:t>
            </w:r>
            <w:r>
              <w:rPr>
                <w:rFonts w:ascii="仿宋_GB2312" w:hAnsi="仿宋_GB2312" w:cs="仿宋_GB2312" w:eastAsia="仿宋_GB2312"/>
                <w:sz w:val="21"/>
                <w:color w:val="000000"/>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tbl>
            <w:tblPr>
              <w:tblInd w:type="dxa" w:w="135"/>
              <w:tblBorders>
                <w:top w:val="none" w:color="000000" w:sz="4"/>
                <w:left w:val="none" w:color="000000" w:sz="4"/>
                <w:bottom w:val="none" w:color="000000" w:sz="4"/>
                <w:right w:val="none" w:color="000000" w:sz="4"/>
                <w:insideH w:val="none"/>
                <w:insideV w:val="none"/>
              </w:tblBorders>
            </w:tblPr>
            <w:tblGrid>
              <w:gridCol w:w="495"/>
              <w:gridCol w:w="733"/>
              <w:gridCol w:w="1132"/>
              <w:gridCol w:w="192"/>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center"/>
                  </w:pPr>
                  <w:r>
                    <w:rPr>
                      <w:rFonts w:ascii="仿宋_GB2312" w:hAnsi="仿宋_GB2312" w:cs="仿宋_GB2312" w:eastAsia="仿宋_GB2312"/>
                      <w:sz w:val="21"/>
                      <w:color w:val="000000"/>
                    </w:rPr>
                    <w:t>配置级别</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配置名称</w:t>
                  </w:r>
                </w:p>
              </w:tc>
              <w:tc>
                <w:tcPr>
                  <w:tcW w:type="dxa" w:w="11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用途</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基础配置</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推流</w:t>
                  </w:r>
                  <w:r>
                    <w:rPr>
                      <w:rFonts w:ascii="仿宋_GB2312" w:hAnsi="仿宋_GB2312" w:cs="仿宋_GB2312" w:eastAsia="仿宋_GB2312"/>
                      <w:sz w:val="21"/>
                      <w:color w:val="000000"/>
                    </w:rPr>
                    <w:t>CDN</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网络加速访问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VPN安全专网</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数据传输</w:t>
                  </w:r>
                </w:p>
                <w:p>
                  <w:pPr>
                    <w:pStyle w:val="null3"/>
                    <w:ind w:firstLine="408"/>
                    <w:jc w:val="both"/>
                  </w:pPr>
                  <w:r>
                    <w:rPr>
                      <w:rFonts w:ascii="仿宋_GB2312" w:hAnsi="仿宋_GB2312" w:cs="仿宋_GB2312" w:eastAsia="仿宋_GB2312"/>
                      <w:sz w:val="21"/>
                      <w:color w:val="000000"/>
                    </w:rPr>
                    <w:t>安全通道</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基本配置</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硬件后台</w:t>
                  </w:r>
                </w:p>
                <w:p>
                  <w:pPr>
                    <w:pStyle w:val="null3"/>
                    <w:ind w:firstLine="408"/>
                    <w:jc w:val="both"/>
                  </w:pPr>
                  <w:r>
                    <w:rPr>
                      <w:rFonts w:ascii="仿宋_GB2312" w:hAnsi="仿宋_GB2312" w:cs="仿宋_GB2312" w:eastAsia="仿宋_GB2312"/>
                      <w:sz w:val="21"/>
                      <w:color w:val="000000"/>
                    </w:rPr>
                    <w:t>更新维护</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长安云碑林模块后台硬件系统维护运行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5"/>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软件技术</w:t>
                  </w:r>
                </w:p>
                <w:p>
                  <w:pPr>
                    <w:pStyle w:val="null3"/>
                    <w:ind w:firstLine="408"/>
                    <w:jc w:val="both"/>
                  </w:pPr>
                  <w:r>
                    <w:rPr>
                      <w:rFonts w:ascii="仿宋_GB2312" w:hAnsi="仿宋_GB2312" w:cs="仿宋_GB2312" w:eastAsia="仿宋_GB2312"/>
                      <w:sz w:val="21"/>
                      <w:color w:val="000000"/>
                    </w:rPr>
                    <w:t>支撑服务</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长安云碑林模块融合媒体应用功能软件包（包括但不限于：内容库、音视频生产工具、平面编辑软件、碑林数据库存储空间）升级</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5"/>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升级管控</w:t>
                  </w:r>
                </w:p>
                <w:p>
                  <w:pPr>
                    <w:pStyle w:val="null3"/>
                    <w:ind w:firstLine="408"/>
                    <w:jc w:val="both"/>
                  </w:pPr>
                  <w:r>
                    <w:rPr>
                      <w:rFonts w:ascii="仿宋_GB2312" w:hAnsi="仿宋_GB2312" w:cs="仿宋_GB2312" w:eastAsia="仿宋_GB2312"/>
                      <w:sz w:val="21"/>
                      <w:color w:val="000000"/>
                    </w:rPr>
                    <w:t>运维</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长安云碑林模块数据库升级（包括但不限于网络安全等级建设加固）</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增强配置</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平台使用</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长安云、学习强国西安学习平台、原点</w:t>
                  </w:r>
                  <w:r>
                    <w:rPr>
                      <w:rFonts w:ascii="仿宋_GB2312" w:hAnsi="仿宋_GB2312" w:cs="仿宋_GB2312" w:eastAsia="仿宋_GB2312"/>
                      <w:sz w:val="21"/>
                      <w:color w:val="000000"/>
                    </w:rPr>
                    <w:t>APP碑林小原点、西安网碑林频道等平台开设频道</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5"/>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拆条服务</w:t>
                  </w:r>
                </w:p>
              </w:tc>
              <w:tc>
                <w:tcPr>
                  <w:tcW w:type="dxa" w:w="1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为区县拆条、推送</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融媒</w:t>
                  </w:r>
                  <w:r>
                    <w:rPr>
                      <w:rFonts w:ascii="仿宋_GB2312" w:hAnsi="仿宋_GB2312" w:cs="仿宋_GB2312" w:eastAsia="仿宋_GB2312"/>
                      <w:sz w:val="21"/>
                      <w:color w:val="000000"/>
                    </w:rPr>
                    <w:t>APP</w:t>
                  </w:r>
                </w:p>
              </w:tc>
              <w:tc>
                <w:tcPr>
                  <w:tcW w:type="dxa" w:w="186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8"/>
                    <w:jc w:val="both"/>
                  </w:pPr>
                  <w:r>
                    <w:rPr>
                      <w:rFonts w:ascii="仿宋_GB2312" w:hAnsi="仿宋_GB2312" w:cs="仿宋_GB2312" w:eastAsia="仿宋_GB2312"/>
                      <w:sz w:val="21"/>
                      <w:color w:val="000000"/>
                    </w:rPr>
                    <w:t>全年服务技术支撑保障及设备使用</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2"/>
                <w:b/>
              </w:rPr>
              <w:t>二、服务要求</w:t>
            </w:r>
          </w:p>
          <w:p>
            <w:pPr>
              <w:pStyle w:val="null3"/>
              <w:ind w:firstLine="420"/>
              <w:jc w:val="left"/>
            </w:pPr>
            <w:r>
              <w:rPr>
                <w:rFonts w:ascii="仿宋_GB2312" w:hAnsi="仿宋_GB2312" w:cs="仿宋_GB2312" w:eastAsia="仿宋_GB2312"/>
                <w:sz w:val="24"/>
                <w:color w:val="000000"/>
              </w:rPr>
              <w:t>1.双方以“项目所有权与经营管理权分离，委托管理”的方式进行合作；</w:t>
            </w:r>
          </w:p>
          <w:p>
            <w:pPr>
              <w:pStyle w:val="null3"/>
              <w:ind w:firstLine="420"/>
              <w:jc w:val="left"/>
            </w:pPr>
            <w:r>
              <w:rPr>
                <w:rFonts w:ascii="仿宋_GB2312" w:hAnsi="仿宋_GB2312" w:cs="仿宋_GB2312" w:eastAsia="仿宋_GB2312"/>
                <w:sz w:val="24"/>
                <w:color w:val="000000"/>
              </w:rPr>
              <w:t>2.按照采购人要求成交供应商派遣规定数量人员，代表成交供应商运营采购人委托的项目；</w:t>
            </w:r>
          </w:p>
          <w:p>
            <w:pPr>
              <w:pStyle w:val="null3"/>
              <w:ind w:firstLine="420"/>
              <w:jc w:val="left"/>
            </w:pPr>
            <w:r>
              <w:rPr>
                <w:rFonts w:ascii="仿宋_GB2312" w:hAnsi="仿宋_GB2312" w:cs="仿宋_GB2312" w:eastAsia="仿宋_GB2312"/>
                <w:sz w:val="24"/>
                <w:color w:val="000000"/>
              </w:rPr>
              <w:t>3.双方按约定的权利、责任和义务，在确定的时间内完成各自的工作。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按照采购人要求派遣规定数量人员，代运营采购人委托的项目；</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西安市碑林区南院门27号</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达到付款条件起20日内，甲方收到发票后，以转账方式向供应商一次性支付合同总金额的100.00%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按采购人要求完成项目服务内容及项目交付，并达到采购人验收要求，达到国家现行法律法规及行业要求合格标准。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交供应商接受并配合采购人、采购代理机构对基本资格条件证明材料的核验，包括:1.财务状况报告；2.税收缴纳证明；3.社保资金缴纳证明；4.被授权代表的身份证复印件以及2025年1月至今任意时段在本单位已缴纳的社会保障资金缴存单据或社保机构开具的社会保险参保缴费情况证明，具体要求详见合同附件。以上内容随合同公示一并发布，成交供应商应对其资格承诺内容的真实性、合法性、有效性负责。如作出虚假承诺，按“提供虚假材料谋取中标（成交）”处理。并按照《中华人民共和国政府采购法》第七十七条进行处罚。成交供应商在领取成交通知书时提供纸质版响应文件2套，应通过专用制作软件直接打印，确保与电子投标文件保持一致，不允许修改和补充。提交地点：陕西省西安市雁塔区雁翔路111号赛格·中京坊6幢1单元2层10201室招标二部。 二、供应商的报价是供应商响应本项目要求的全部工作内容的价格体现，包括供应商完成本项目所需的直接费、间接费、利润、税金及其他相关的一切费用。包括但不限于：人工费、设备费、管理费、验收费、采购代理服务费、利润和税金等全部费用。在提供服务的过程中的任何遗漏，均由成交供应商免费提供，采购人将不再支付任何费用。 三、协商有效期 1.出现特殊情况需要延长响应有效期的，采购代理机构或采购人可于响应有效期满之前，以书面形式通知所有供应商延长响应有效期。供应商应予书面答复，同意延长的，应相应延长其协商保证金（如有）有效期，但不得要求或被允许修改其响应文件；供应商拒绝延长的，其响应文件失效，递交协商保证金的，供应商有权收回其协商保证金。 2.在响应有效期内，供应商撤销响应文件的，应承担采购文件和法律规定的责任。 3.成交供应商的响应有效期自动延长至合同终止为止。 四、分公司独立参与协商时，不能使用总公司的资质或业绩；总公司单独参与协商时，除总公司所投产品为分公司生产的产品外，不能使用分公司的资质或业绩。总公司授权分公司或分支机构参与协商的，可以使用总公司的资质或业绩。 五、恶意质疑、投诉的法律后果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六、签名是指手写签名或者加盖名章(含电子签名或电子印章)，盖章是指加盖单位印章。 七、本项目需要落实的政府采购政策 （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 （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 （3）支持本国产业政策：《财政部关于印发〈进口产品管理办法〉的通知》（财库〔2007〕119号）；《财政部办公厅关于政府采购进口产品管理有关问题的通知》（财办库〔2008〕248号）。 （4）支持创新等政府采购政策。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1）供应商的营业执照等证明文件，自然人的身份证明；(2)法定代表人（单位负责人）参加协商的，提供本人身份证复印件；法定代表人（单位负责人）授权他人参加协商的，提供法定代表人（单位负责人）委托授权书及被授权代表的身份证复印件；(3)供应商提供的投标（响应）函；（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注：1、根据《中华人民共和国政府采购法》第二十三条规定，采购人应依法对供应商的资格进行审查。经采购人授权，资格审查工作可由资格审查小组完成。 2、资格审查小组，由经采购人授权的采购人代表和采购代理机构工作人员3人及以上单数组成，采购代理机构项目经理担任资格审查小组组长。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供应商响应文件满足采购文件中的实质性要求。</w:t>
            </w:r>
          </w:p>
        </w:tc>
        <w:tc>
          <w:tcPr>
            <w:tcW w:type="dxa" w:w="1661"/>
          </w:tcPr>
          <w:p>
            <w:pPr>
              <w:pStyle w:val="null3"/>
            </w:pPr>
            <w:r>
              <w:rPr>
                <w:rFonts w:ascii="仿宋_GB2312" w:hAnsi="仿宋_GB2312" w:cs="仿宋_GB2312" w:eastAsia="仿宋_GB2312"/>
              </w:rPr>
              <w:t>响应文件封面 资格证明文件 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协商过程中，协商小组认为供应商报价明显低于其他通过符合性审查供应商的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报价合理性的，协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响应文件中不存在采购文件规定的无效情形</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响应文件上法定代表人（单位负责人）或其委托代理人的签名齐全并加盖单位公章。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应满足采购文件中要求的服务期限</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