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FDD89">
      <w:pPr>
        <w:pStyle w:val="8"/>
        <w:spacing w:line="447" w:lineRule="auto"/>
        <w:rPr>
          <w:rFonts w:hint="eastAsia" w:ascii="宋体" w:hAnsi="宋体" w:eastAsia="宋体" w:cs="宋体"/>
          <w:color w:val="auto"/>
          <w:highlight w:val="none"/>
        </w:rPr>
      </w:pPr>
    </w:p>
    <w:p w14:paraId="66B3BC97">
      <w:pPr>
        <w:pStyle w:val="26"/>
        <w:keepNext w:val="0"/>
        <w:keepLines w:val="0"/>
        <w:pageBreakBefore w:val="0"/>
        <w:wordWrap/>
        <w:overflowPunct/>
        <w:topLinePunct w:val="0"/>
        <w:bidi w:val="0"/>
        <w:spacing w:line="360" w:lineRule="auto"/>
        <w:jc w:val="center"/>
        <w:rPr>
          <w:rFonts w:hint="eastAsia" w:ascii="宋体" w:hAnsi="宋体" w:eastAsia="宋体" w:cs="宋体"/>
          <w:b/>
          <w:bCs/>
          <w:color w:val="auto"/>
          <w:sz w:val="40"/>
          <w:szCs w:val="40"/>
          <w:lang w:val="en-US" w:eastAsia="zh-CN"/>
        </w:rPr>
      </w:pPr>
      <w:r>
        <w:rPr>
          <w:rFonts w:hint="eastAsia" w:ascii="宋体" w:hAnsi="宋体" w:eastAsia="宋体" w:cs="宋体"/>
          <w:b/>
          <w:bCs/>
          <w:color w:val="auto"/>
          <w:sz w:val="40"/>
          <w:szCs w:val="40"/>
          <w:lang w:val="en-US" w:eastAsia="zh-CN"/>
        </w:rPr>
        <w:t>政府采购合同格式</w:t>
      </w:r>
    </w:p>
    <w:p w14:paraId="4741645A">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 xml:space="preserve">合同编号： </w:t>
      </w:r>
    </w:p>
    <w:p w14:paraId="774E8843">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 xml:space="preserve">签订地点： </w:t>
      </w:r>
    </w:p>
    <w:p w14:paraId="568FD721">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 xml:space="preserve">签订时间: </w:t>
      </w:r>
    </w:p>
    <w:p w14:paraId="318B4A09">
      <w:pPr>
        <w:pStyle w:val="26"/>
        <w:keepNext w:val="0"/>
        <w:keepLines w:val="0"/>
        <w:pageBreakBefore w:val="0"/>
        <w:widowControl/>
        <w:wordWrap/>
        <w:overflowPunct/>
        <w:topLinePunct w:val="0"/>
        <w:bidi w:val="0"/>
        <w:adjustRightInd w:val="0"/>
        <w:snapToGrid w:val="0"/>
        <w:spacing w:line="360" w:lineRule="auto"/>
        <w:ind w:firstLine="384" w:firstLineChars="183"/>
        <w:textAlignment w:val="baseline"/>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是否为专门面向中小企业的采购项目：</w:t>
      </w:r>
      <w:r>
        <w:rPr>
          <w:rFonts w:hint="eastAsia" w:ascii="宋体" w:hAnsi="宋体" w:eastAsia="宋体" w:cs="宋体"/>
          <w:color w:val="auto"/>
          <w:sz w:val="21"/>
          <w:szCs w:val="21"/>
          <w:lang w:val="en-US" w:eastAsia="zh-CN"/>
        </w:rPr>
        <w:t>否</w:t>
      </w:r>
    </w:p>
    <w:p w14:paraId="300E10AD">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采购人（甲方）：</w:t>
      </w:r>
    </w:p>
    <w:p w14:paraId="349D8A70">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供应商（乙方）：</w:t>
      </w:r>
    </w:p>
    <w:p w14:paraId="43A3C5B4">
      <w:pPr>
        <w:pStyle w:val="13"/>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根据《中华人民共和国政府采购法》及实施条例、《中华人民共和国民法典》和</w:t>
      </w:r>
      <w:r>
        <w:rPr>
          <w:rFonts w:hint="eastAsia" w:ascii="宋体" w:hAnsi="宋体" w:eastAsia="宋体" w:cs="宋体"/>
          <w:color w:val="auto"/>
          <w:sz w:val="21"/>
          <w:szCs w:val="21"/>
          <w:lang w:eastAsia="zh-CN"/>
        </w:rPr>
        <w:t>西安市碑林区退役军人事务局2025年碑林区军队无军籍退休退职职工健康体检</w:t>
      </w:r>
      <w:r>
        <w:rPr>
          <w:rFonts w:hint="eastAsia" w:ascii="宋体" w:hAnsi="宋体" w:eastAsia="宋体" w:cs="宋体"/>
          <w:color w:val="auto"/>
          <w:sz w:val="21"/>
          <w:szCs w:val="21"/>
        </w:rPr>
        <w:t>（采购项目编号</w:t>
      </w:r>
      <w:r>
        <w:rPr>
          <w:rFonts w:hint="eastAsia" w:ascii="宋体" w:hAnsi="宋体" w:eastAsia="宋体" w:cs="宋体"/>
          <w:color w:val="auto"/>
          <w:sz w:val="21"/>
          <w:szCs w:val="21"/>
          <w:lang w:eastAsia="zh-CN"/>
        </w:rPr>
        <w:t>SXLX25-02-056Z(F)）</w:t>
      </w:r>
      <w:r>
        <w:rPr>
          <w:rFonts w:hint="eastAsia" w:ascii="宋体" w:hAnsi="宋体" w:eastAsia="宋体" w:cs="宋体"/>
          <w:color w:val="auto"/>
          <w:sz w:val="21"/>
          <w:szCs w:val="21"/>
        </w:rPr>
        <w:t>的采购文件、响应文件等有关规定，为确保甲方采购项目的顺利实施，甲、乙双方在平等自愿原则下签订本合同，并共同遵守如下条款，其主要要求如下：</w:t>
      </w:r>
    </w:p>
    <w:p w14:paraId="152F55FF">
      <w:pPr>
        <w:keepNext w:val="0"/>
        <w:keepLines w:val="0"/>
        <w:pageBreakBefore w:val="0"/>
        <w:widowControl/>
        <w:wordWrap/>
        <w:overflowPunct/>
        <w:topLinePunct w:val="0"/>
        <w:bidi w:val="0"/>
        <w:adjustRightInd w:val="0"/>
        <w:snapToGrid w:val="0"/>
        <w:spacing w:line="360" w:lineRule="auto"/>
        <w:ind w:firstLine="422" w:firstLineChars="200"/>
        <w:jc w:val="left"/>
        <w:textAlignment w:val="baseline"/>
        <w:outlineLvl w:val="1"/>
        <w:rPr>
          <w:rFonts w:hint="eastAsia" w:ascii="宋体" w:hAnsi="宋体" w:eastAsia="宋体" w:cs="宋体"/>
          <w:b/>
          <w:color w:val="auto"/>
          <w:szCs w:val="21"/>
        </w:rPr>
      </w:pPr>
      <w:bookmarkStart w:id="0" w:name="_Toc11438"/>
      <w:r>
        <w:rPr>
          <w:rFonts w:hint="eastAsia" w:ascii="宋体" w:hAnsi="宋体" w:eastAsia="宋体" w:cs="宋体"/>
          <w:b/>
          <w:color w:val="auto"/>
          <w:szCs w:val="21"/>
        </w:rPr>
        <w:t>第一条  项目基本情况</w:t>
      </w:r>
      <w:bookmarkEnd w:id="0"/>
    </w:p>
    <w:p w14:paraId="351EF238">
      <w:pPr>
        <w:pStyle w:val="29"/>
        <w:keepNext w:val="0"/>
        <w:keepLines w:val="0"/>
        <w:pageBreakBefore w:val="0"/>
        <w:widowControl w:val="0"/>
        <w:kinsoku w:val="0"/>
        <w:wordWrap/>
        <w:overflowPunct/>
        <w:topLinePunct w:val="0"/>
        <w:autoSpaceDE w:val="0"/>
        <w:autoSpaceDN w:val="0"/>
        <w:bidi w:val="0"/>
        <w:adjustRightInd w:val="0"/>
        <w:snapToGrid w:val="0"/>
        <w:spacing w:after="0" w:line="360" w:lineRule="auto"/>
        <w:ind w:firstLine="420" w:firstLineChars="200"/>
        <w:textAlignment w:val="auto"/>
        <w:rPr>
          <w:rFonts w:hint="eastAsia" w:ascii="宋体" w:hAnsi="宋体" w:eastAsia="宋体" w:cs="宋体"/>
          <w:color w:val="auto"/>
          <w:sz w:val="21"/>
          <w:szCs w:val="21"/>
          <w:lang w:val="en-US"/>
        </w:rPr>
      </w:pPr>
      <w:bookmarkStart w:id="1" w:name="_Toc24394"/>
      <w:r>
        <w:rPr>
          <w:rFonts w:hint="eastAsia" w:ascii="宋体" w:hAnsi="宋体" w:eastAsia="宋体" w:cs="宋体"/>
          <w:color w:val="auto"/>
          <w:sz w:val="21"/>
          <w:szCs w:val="21"/>
          <w:lang w:val="en-US" w:eastAsia="zh-CN"/>
        </w:rPr>
        <w:t>根据《军队无军籍退休退职职工服务管理办法》（民政部令第57号）有关规定，要求落实</w:t>
      </w:r>
      <w:r>
        <w:rPr>
          <w:rFonts w:hint="eastAsia" w:ascii="宋体" w:hAnsi="宋体" w:eastAsia="宋体" w:cs="宋体"/>
          <w:color w:val="auto"/>
          <w:sz w:val="21"/>
          <w:szCs w:val="21"/>
        </w:rPr>
        <w:t>无军籍</w:t>
      </w:r>
      <w:r>
        <w:rPr>
          <w:rFonts w:hint="eastAsia" w:ascii="宋体" w:hAnsi="宋体" w:eastAsia="宋体" w:cs="宋体"/>
          <w:color w:val="auto"/>
          <w:sz w:val="21"/>
          <w:szCs w:val="21"/>
          <w:lang w:val="en-US" w:eastAsia="zh-CN"/>
        </w:rPr>
        <w:t>职工医疗等各项待遇，做好无军籍职工服务管理等工作。</w:t>
      </w:r>
      <w:r>
        <w:rPr>
          <w:rFonts w:hint="eastAsia" w:eastAsia="宋体" w:cs="宋体"/>
          <w:color w:val="auto"/>
          <w:sz w:val="21"/>
          <w:szCs w:val="21"/>
          <w:lang w:val="en-US" w:eastAsia="zh-CN"/>
        </w:rPr>
        <w:t>西安市碑林区退役军人事务局</w:t>
      </w:r>
      <w:r>
        <w:rPr>
          <w:rFonts w:hint="eastAsia" w:ascii="宋体" w:hAnsi="宋体" w:eastAsia="宋体" w:cs="宋体"/>
          <w:color w:val="auto"/>
          <w:sz w:val="21"/>
          <w:szCs w:val="21"/>
          <w:lang w:val="en-US" w:eastAsia="zh-CN"/>
        </w:rPr>
        <w:t>现有无军籍退休职工490人，</w:t>
      </w:r>
      <w:r>
        <w:rPr>
          <w:rFonts w:hint="eastAsia" w:eastAsia="宋体" w:cs="宋体"/>
          <w:color w:val="auto"/>
          <w:sz w:val="21"/>
          <w:szCs w:val="21"/>
          <w:lang w:val="en-US" w:eastAsia="zh-CN"/>
        </w:rPr>
        <w:t>为</w:t>
      </w:r>
      <w:r>
        <w:rPr>
          <w:rFonts w:hint="eastAsia" w:ascii="宋体" w:hAnsi="宋体" w:eastAsia="宋体" w:cs="宋体"/>
          <w:color w:val="auto"/>
          <w:sz w:val="21"/>
          <w:szCs w:val="21"/>
          <w:lang w:val="en-US" w:eastAsia="zh-CN"/>
        </w:rPr>
        <w:t>积极落实无军籍退休职工各项待遇，拟组织进行2025年度健康体检。</w:t>
      </w:r>
    </w:p>
    <w:p w14:paraId="25B9A8B0">
      <w:pPr>
        <w:keepNext w:val="0"/>
        <w:keepLines w:val="0"/>
        <w:pageBreakBefore w:val="0"/>
        <w:widowControl/>
        <w:wordWrap/>
        <w:overflowPunct/>
        <w:topLinePunct w:val="0"/>
        <w:bidi w:val="0"/>
        <w:adjustRightInd w:val="0"/>
        <w:snapToGrid w:val="0"/>
        <w:spacing w:line="360" w:lineRule="auto"/>
        <w:ind w:firstLine="422" w:firstLineChars="200"/>
        <w:jc w:val="left"/>
        <w:textAlignment w:val="baseline"/>
        <w:outlineLvl w:val="1"/>
        <w:rPr>
          <w:rFonts w:hint="eastAsia" w:ascii="宋体" w:hAnsi="宋体" w:eastAsia="宋体" w:cs="宋体"/>
          <w:b/>
          <w:color w:val="auto"/>
          <w:szCs w:val="21"/>
        </w:rPr>
      </w:pPr>
      <w:r>
        <w:rPr>
          <w:rFonts w:hint="eastAsia" w:ascii="宋体" w:hAnsi="宋体" w:eastAsia="宋体" w:cs="宋体"/>
          <w:b/>
          <w:color w:val="auto"/>
          <w:szCs w:val="21"/>
        </w:rPr>
        <w:t>第二条  服务期限</w:t>
      </w:r>
      <w:bookmarkEnd w:id="1"/>
    </w:p>
    <w:p w14:paraId="14B7600C">
      <w:pPr>
        <w:keepNext w:val="0"/>
        <w:keepLines w:val="0"/>
        <w:pageBreakBefore w:val="0"/>
        <w:widowControl/>
        <w:tabs>
          <w:tab w:val="left" w:pos="387"/>
        </w:tabs>
        <w:wordWrap/>
        <w:overflowPunct/>
        <w:topLinePunct w:val="0"/>
        <w:bidi w:val="0"/>
        <w:adjustRightInd w:val="0"/>
        <w:snapToGrid w:val="0"/>
        <w:spacing w:line="360" w:lineRule="auto"/>
        <w:ind w:firstLine="420" w:firstLineChars="200"/>
        <w:jc w:val="left"/>
        <w:textAlignment w:val="baseline"/>
        <w:outlineLvl w:val="1"/>
        <w:rPr>
          <w:rFonts w:hint="eastAsia" w:ascii="宋体" w:hAnsi="宋体" w:eastAsia="宋体" w:cs="宋体"/>
          <w:b w:val="0"/>
          <w:bCs/>
          <w:color w:val="auto"/>
          <w:szCs w:val="21"/>
          <w:lang w:eastAsia="zh-CN"/>
        </w:rPr>
      </w:pPr>
      <w:bookmarkStart w:id="2" w:name="_Toc2407"/>
      <w:bookmarkStart w:id="3" w:name="_Toc225244852"/>
      <w:bookmarkStart w:id="4" w:name="_Toc283019214"/>
      <w:bookmarkStart w:id="5" w:name="_Toc237145406"/>
      <w:bookmarkStart w:id="6" w:name="_Toc211854449"/>
      <w:bookmarkStart w:id="7" w:name="_Toc185395249"/>
      <w:bookmarkStart w:id="8" w:name="_Toc286993786"/>
      <w:bookmarkStart w:id="9" w:name="_Toc241833903"/>
      <w:bookmarkStart w:id="10" w:name="_Toc225654644"/>
      <w:bookmarkStart w:id="11" w:name="_Toc251768862"/>
      <w:bookmarkStart w:id="12" w:name="_Toc239233914"/>
      <w:bookmarkStart w:id="13" w:name="_Toc239568418"/>
      <w:bookmarkStart w:id="14" w:name="_Toc238984975"/>
      <w:bookmarkStart w:id="15" w:name="_Toc232492928"/>
      <w:bookmarkStart w:id="16" w:name="_Toc211911348"/>
      <w:bookmarkStart w:id="17" w:name="_Toc212019594"/>
      <w:bookmarkStart w:id="18" w:name="_Toc225670751"/>
      <w:bookmarkStart w:id="19" w:name="_Toc247334841"/>
      <w:bookmarkStart w:id="20" w:name="_Toc282696226"/>
      <w:r>
        <w:rPr>
          <w:rFonts w:hint="eastAsia" w:ascii="宋体" w:hAnsi="宋体" w:eastAsia="宋体" w:cs="宋体"/>
          <w:b w:val="0"/>
          <w:bCs/>
          <w:color w:val="auto"/>
          <w:szCs w:val="21"/>
          <w:lang w:eastAsia="zh-CN"/>
        </w:rPr>
        <w:t>自合同签订之日起1年。</w:t>
      </w:r>
    </w:p>
    <w:p w14:paraId="0300DE76">
      <w:pPr>
        <w:keepNext w:val="0"/>
        <w:keepLines w:val="0"/>
        <w:pageBreakBefore w:val="0"/>
        <w:widowControl/>
        <w:tabs>
          <w:tab w:val="left" w:pos="387"/>
        </w:tabs>
        <w:wordWrap/>
        <w:overflowPunct/>
        <w:topLinePunct w:val="0"/>
        <w:bidi w:val="0"/>
        <w:adjustRightInd w:val="0"/>
        <w:snapToGrid w:val="0"/>
        <w:spacing w:line="360" w:lineRule="auto"/>
        <w:ind w:firstLine="422" w:firstLineChars="200"/>
        <w:jc w:val="left"/>
        <w:textAlignment w:val="baseline"/>
        <w:outlineLvl w:val="1"/>
        <w:rPr>
          <w:rFonts w:hint="eastAsia" w:ascii="宋体" w:hAnsi="宋体" w:eastAsia="宋体" w:cs="宋体"/>
          <w:b/>
          <w:color w:val="auto"/>
          <w:szCs w:val="21"/>
        </w:rPr>
      </w:pPr>
      <w:r>
        <w:rPr>
          <w:rFonts w:hint="eastAsia" w:ascii="宋体" w:hAnsi="宋体" w:eastAsia="宋体" w:cs="宋体"/>
          <w:b/>
          <w:color w:val="auto"/>
          <w:szCs w:val="21"/>
        </w:rPr>
        <w:t>第三条  服务内容与质量标准</w:t>
      </w:r>
      <w:bookmarkEnd w:id="2"/>
    </w:p>
    <w:p w14:paraId="21D94E76">
      <w:pPr>
        <w:widowControl w:val="0"/>
        <w:spacing w:line="360" w:lineRule="auto"/>
        <w:ind w:firstLine="420" w:firstLineChars="200"/>
        <w:jc w:val="left"/>
        <w:rPr>
          <w:rFonts w:hint="eastAsia" w:ascii="宋体" w:hAnsi="宋体" w:eastAsia="宋体" w:cs="宋体"/>
          <w:bCs/>
          <w:color w:val="auto"/>
          <w:sz w:val="21"/>
          <w:szCs w:val="21"/>
        </w:rPr>
      </w:pPr>
      <w:bookmarkStart w:id="21" w:name="_Toc20078"/>
      <w:r>
        <w:rPr>
          <w:rFonts w:hint="eastAsia" w:ascii="宋体" w:hAnsi="宋体" w:eastAsia="宋体" w:cs="宋体"/>
          <w:bCs/>
          <w:color w:val="auto"/>
          <w:sz w:val="21"/>
          <w:szCs w:val="21"/>
          <w:lang w:val="en-US" w:eastAsia="zh-CN"/>
        </w:rPr>
        <w:t>1、</w:t>
      </w:r>
      <w:r>
        <w:rPr>
          <w:rFonts w:hint="eastAsia" w:ascii="宋体" w:hAnsi="宋体" w:eastAsia="宋体" w:cs="宋体"/>
          <w:bCs/>
          <w:color w:val="auto"/>
          <w:sz w:val="21"/>
          <w:szCs w:val="21"/>
        </w:rPr>
        <w:t>本次体检应在当地进行，在体检期间做好标识标牌，保证参检人员方便快捷进行各项体检。</w:t>
      </w:r>
    </w:p>
    <w:p w14:paraId="3CBB2D9A">
      <w:pPr>
        <w:widowControl w:val="0"/>
        <w:spacing w:line="360" w:lineRule="auto"/>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2、</w:t>
      </w:r>
      <w:r>
        <w:rPr>
          <w:rFonts w:hint="eastAsia" w:ascii="宋体" w:hAnsi="宋体" w:eastAsia="宋体" w:cs="宋体"/>
          <w:bCs/>
          <w:color w:val="auto"/>
          <w:sz w:val="21"/>
          <w:szCs w:val="21"/>
        </w:rPr>
        <w:t>体检机构应对参检人员信息进行核对，确认核对是本人后方可体检。</w:t>
      </w:r>
    </w:p>
    <w:p w14:paraId="03EE18CA">
      <w:pPr>
        <w:widowControl w:val="0"/>
        <w:spacing w:line="360" w:lineRule="auto"/>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3、</w:t>
      </w:r>
      <w:r>
        <w:rPr>
          <w:rFonts w:hint="eastAsia" w:ascii="宋体" w:hAnsi="宋体" w:eastAsia="宋体" w:cs="宋体"/>
          <w:bCs/>
          <w:color w:val="auto"/>
          <w:sz w:val="21"/>
          <w:szCs w:val="21"/>
        </w:rPr>
        <w:t>本着科学、严谨的工作态度，严格按医疗规范标准执行，确保向参检人员提供切实可信的体检，涉及到个人隐私应告知本人，不得向第三方传播。</w:t>
      </w:r>
    </w:p>
    <w:p w14:paraId="1E65BD78">
      <w:pPr>
        <w:widowControl w:val="0"/>
        <w:spacing w:line="360" w:lineRule="auto"/>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4、</w:t>
      </w:r>
      <w:r>
        <w:rPr>
          <w:rFonts w:hint="eastAsia" w:ascii="宋体" w:hAnsi="宋体" w:eastAsia="宋体" w:cs="宋体"/>
          <w:bCs/>
          <w:color w:val="auto"/>
          <w:sz w:val="21"/>
          <w:szCs w:val="21"/>
        </w:rPr>
        <w:t>按规定的检查项目内容为参检人员提供对应的体检服务和体检器材,保证一人一针一管（器）</w:t>
      </w:r>
      <w:r>
        <w:rPr>
          <w:rFonts w:hint="eastAsia" w:ascii="宋体" w:hAnsi="宋体" w:eastAsia="宋体" w:cs="宋体"/>
          <w:bCs/>
          <w:color w:val="auto"/>
          <w:sz w:val="21"/>
          <w:szCs w:val="21"/>
        </w:rPr>
        <w:t>，用于医疗活动的器材需要符合《医疗器械监督管理条例》和相关的国家标准，确保产品的安全性和有效性。</w:t>
      </w:r>
    </w:p>
    <w:p w14:paraId="1DC2E8A8">
      <w:pPr>
        <w:widowControl w:val="0"/>
        <w:spacing w:line="360" w:lineRule="auto"/>
        <w:ind w:firstLine="420" w:firstLineChars="200"/>
        <w:jc w:val="left"/>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5、</w:t>
      </w:r>
      <w:r>
        <w:rPr>
          <w:rFonts w:hint="eastAsia" w:ascii="宋体" w:hAnsi="宋体" w:eastAsia="宋体" w:cs="宋体"/>
          <w:bCs/>
          <w:color w:val="auto"/>
          <w:sz w:val="21"/>
          <w:szCs w:val="21"/>
        </w:rPr>
        <w:t>在所有人员体检完成后，及时以短信等电子形式将个人检查结论告知本人，并为所有参检人员出具体检报告。</w:t>
      </w:r>
      <w:bookmarkStart w:id="66" w:name="_GoBack"/>
      <w:bookmarkEnd w:id="66"/>
    </w:p>
    <w:p w14:paraId="3701F07A">
      <w:pPr>
        <w:widowControl w:val="0"/>
        <w:spacing w:line="360" w:lineRule="auto"/>
        <w:ind w:firstLine="420" w:firstLineChars="200"/>
        <w:jc w:val="left"/>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6、绿色通道：为体检人员准备早餐；对行动不便的体检者可预约车接车送，根据体检人员个人情况进行定制检查服务、专家报告解读、中医辨证论治。</w:t>
      </w:r>
    </w:p>
    <w:p w14:paraId="396B9E15">
      <w:pPr>
        <w:widowControl w:val="0"/>
        <w:spacing w:line="360" w:lineRule="auto"/>
        <w:ind w:firstLine="420" w:firstLineChars="200"/>
        <w:rPr>
          <w:rFonts w:hint="eastAsia" w:ascii="宋体" w:hAnsi="宋体" w:eastAsia="宋体" w:cs="宋体"/>
          <w:b w:val="0"/>
          <w:bCs/>
          <w:color w:val="auto"/>
          <w:lang w:val="en-US" w:eastAsia="zh-CN"/>
        </w:rPr>
      </w:pPr>
      <w:r>
        <w:rPr>
          <w:rFonts w:hint="eastAsia" w:ascii="宋体" w:hAnsi="宋体" w:eastAsia="宋体" w:cs="宋体"/>
          <w:b w:val="0"/>
          <w:bCs/>
          <w:color w:val="auto"/>
          <w:sz w:val="21"/>
          <w:szCs w:val="21"/>
          <w:lang w:val="en-US" w:eastAsia="zh-CN"/>
        </w:rPr>
        <w:t>7、</w:t>
      </w:r>
      <w:r>
        <w:rPr>
          <w:rFonts w:hint="eastAsia" w:ascii="宋体" w:hAnsi="宋体" w:eastAsia="宋体" w:cs="宋体"/>
          <w:b w:val="0"/>
          <w:bCs/>
          <w:color w:val="auto"/>
          <w:kern w:val="2"/>
          <w:szCs w:val="24"/>
        </w:rPr>
        <w:t>体检后上门服务内容</w:t>
      </w:r>
    </w:p>
    <w:p w14:paraId="5E444B71">
      <w:pPr>
        <w:widowControl w:val="0"/>
        <w:spacing w:line="360" w:lineRule="auto"/>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（1）</w:t>
      </w:r>
      <w:r>
        <w:rPr>
          <w:rFonts w:hint="eastAsia" w:ascii="宋体" w:hAnsi="宋体" w:eastAsia="宋体" w:cs="宋体"/>
          <w:bCs/>
          <w:color w:val="auto"/>
          <w:sz w:val="21"/>
          <w:szCs w:val="21"/>
        </w:rPr>
        <w:t>康复理疗类：艾灸、拔罐、刮痧、推拿、康复治疗（神经系统康复、骨折术后康复、骨折术后、慢性颈肩腰腿疮）。</w:t>
      </w:r>
    </w:p>
    <w:p w14:paraId="0AEBC4F1">
      <w:pPr>
        <w:widowControl w:val="0"/>
        <w:spacing w:line="360" w:lineRule="auto"/>
        <w:ind w:firstLine="420" w:firstLineChars="200"/>
        <w:jc w:val="left"/>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（2）</w:t>
      </w:r>
      <w:r>
        <w:rPr>
          <w:rFonts w:hint="eastAsia" w:ascii="宋体" w:hAnsi="宋体" w:eastAsia="宋体" w:cs="宋体"/>
          <w:bCs/>
          <w:color w:val="auto"/>
          <w:sz w:val="21"/>
          <w:szCs w:val="21"/>
        </w:rPr>
        <w:t>护理上门服务：皮下、肌肉注射、静脉采血、尿管护理(女性)、集尿袋更换、胃管护理、口腔护理、外周静脉置入中心静脉导管维护、普通造口护理、压疮、术后、浅表伤口换药、快速血糖检测。</w:t>
      </w:r>
    </w:p>
    <w:p w14:paraId="0BC17EEC">
      <w:pPr>
        <w:widowControl w:val="0"/>
        <w:spacing w:line="360" w:lineRule="auto"/>
        <w:ind w:firstLine="420" w:firstLineChars="200"/>
        <w:jc w:val="left"/>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3</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rPr>
        <w:t>住家照护类：自理/半护理/全护理照护、短时照护(居家)、住院陪护、生活护理、助浴服务、打扫卫生</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rPr>
        <w:t>做饭</w:t>
      </w:r>
      <w:r>
        <w:rPr>
          <w:rFonts w:hint="eastAsia" w:ascii="宋体" w:hAnsi="宋体" w:eastAsia="宋体" w:cs="宋体"/>
          <w:bCs/>
          <w:color w:val="auto"/>
          <w:sz w:val="21"/>
          <w:szCs w:val="21"/>
          <w:lang w:eastAsia="zh-CN"/>
        </w:rPr>
        <w:t>。</w:t>
      </w:r>
    </w:p>
    <w:p w14:paraId="103C1682">
      <w:pPr>
        <w:keepNext w:val="0"/>
        <w:keepLines w:val="0"/>
        <w:pageBreakBefore w:val="0"/>
        <w:widowControl/>
        <w:kinsoku w:val="0"/>
        <w:wordWrap/>
        <w:overflowPunct/>
        <w:topLinePunct w:val="0"/>
        <w:autoSpaceDE w:val="0"/>
        <w:autoSpaceDN w:val="0"/>
        <w:bidi w:val="0"/>
        <w:adjustRightInd w:val="0"/>
        <w:snapToGrid w:val="0"/>
        <w:spacing w:line="360" w:lineRule="auto"/>
        <w:ind w:firstLine="422" w:firstLineChars="200"/>
        <w:jc w:val="left"/>
        <w:textAlignment w:val="baseline"/>
        <w:outlineLvl w:val="1"/>
        <w:rPr>
          <w:rFonts w:hint="eastAsia" w:ascii="宋体" w:hAnsi="宋体" w:eastAsia="宋体" w:cs="宋体"/>
          <w:b/>
          <w:color w:val="auto"/>
          <w:szCs w:val="21"/>
        </w:rPr>
      </w:pPr>
      <w:r>
        <w:rPr>
          <w:rFonts w:hint="eastAsia" w:ascii="宋体" w:hAnsi="宋体" w:eastAsia="宋体" w:cs="宋体"/>
          <w:b/>
          <w:color w:val="auto"/>
          <w:szCs w:val="21"/>
        </w:rPr>
        <w:t>第四条  服务费用及支付方式</w:t>
      </w:r>
      <w:bookmarkEnd w:id="21"/>
    </w:p>
    <w:p w14:paraId="28C19472">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val="0"/>
          <w:bCs/>
          <w:color w:val="auto"/>
          <w:szCs w:val="21"/>
        </w:rPr>
      </w:pPr>
      <w:bookmarkStart w:id="22" w:name="_Toc22959"/>
      <w:r>
        <w:rPr>
          <w:rFonts w:hint="eastAsia" w:ascii="宋体" w:hAnsi="宋体" w:eastAsia="宋体" w:cs="宋体"/>
          <w:b w:val="0"/>
          <w:bCs/>
          <w:color w:val="auto"/>
          <w:szCs w:val="21"/>
        </w:rPr>
        <w:t>1、服务费按下列比例支付价款</w:t>
      </w:r>
    </w:p>
    <w:p w14:paraId="1D786D90">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val="0"/>
          <w:bCs/>
          <w:color w:val="auto"/>
          <w:szCs w:val="21"/>
          <w:lang w:eastAsia="zh-CN"/>
        </w:rPr>
      </w:pPr>
      <w:r>
        <w:rPr>
          <w:rFonts w:hint="eastAsia" w:ascii="宋体" w:hAnsi="宋体" w:eastAsia="宋体" w:cs="宋体"/>
          <w:b w:val="0"/>
          <w:bCs/>
          <w:color w:val="auto"/>
          <w:szCs w:val="21"/>
        </w:rPr>
        <w:t>体检标准</w:t>
      </w: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rPr>
        <w:t>单价</w:t>
      </w:r>
      <w:r>
        <w:rPr>
          <w:rFonts w:hint="eastAsia" w:ascii="宋体" w:hAnsi="宋体" w:eastAsia="宋体" w:cs="宋体"/>
          <w:i w:val="0"/>
          <w:iCs w:val="0"/>
          <w:caps w:val="0"/>
          <w:color w:val="auto"/>
          <w:spacing w:val="0"/>
          <w:sz w:val="21"/>
          <w:szCs w:val="21"/>
          <w:u w:val="single"/>
          <w:shd w:val="clear" w:fill="FFFFFF"/>
          <w:lang w:val="en-US" w:eastAsia="zh-CN"/>
        </w:rPr>
        <w:t xml:space="preserve">     </w:t>
      </w:r>
      <w:r>
        <w:rPr>
          <w:rFonts w:hint="eastAsia" w:ascii="宋体" w:hAnsi="宋体" w:eastAsia="宋体" w:cs="宋体"/>
          <w:b w:val="0"/>
          <w:bCs/>
          <w:color w:val="auto"/>
          <w:szCs w:val="21"/>
        </w:rPr>
        <w:t>元</w:t>
      </w:r>
      <w:r>
        <w:rPr>
          <w:rFonts w:hint="eastAsia" w:ascii="宋体" w:hAnsi="宋体" w:eastAsia="宋体" w:cs="宋体"/>
          <w:b w:val="0"/>
          <w:bCs/>
          <w:color w:val="auto"/>
          <w:szCs w:val="21"/>
          <w:highlight w:val="none"/>
        </w:rPr>
        <w:t>/人</w:t>
      </w:r>
      <w:r>
        <w:rPr>
          <w:rFonts w:hint="eastAsia" w:ascii="宋体" w:hAnsi="宋体" w:eastAsia="宋体" w:cs="宋体"/>
          <w:b w:val="0"/>
          <w:bCs/>
          <w:color w:val="auto"/>
          <w:szCs w:val="21"/>
          <w:highlight w:val="none"/>
          <w:lang w:eastAsia="zh-CN"/>
        </w:rPr>
        <w:t>（</w:t>
      </w:r>
      <w:r>
        <w:rPr>
          <w:rFonts w:hint="eastAsia" w:ascii="宋体" w:hAnsi="宋体" w:eastAsia="宋体" w:cs="宋体"/>
          <w:color w:val="auto"/>
          <w:szCs w:val="21"/>
          <w:highlight w:val="none"/>
          <w:lang w:val="en-US" w:eastAsia="zh-CN"/>
        </w:rPr>
        <w:t>男女体检金额一致</w:t>
      </w:r>
      <w:r>
        <w:rPr>
          <w:rFonts w:hint="eastAsia" w:ascii="宋体" w:hAnsi="宋体" w:eastAsia="宋体" w:cs="宋体"/>
          <w:b w:val="0"/>
          <w:bCs/>
          <w:color w:val="auto"/>
          <w:szCs w:val="21"/>
          <w:highlight w:val="none"/>
          <w:lang w:eastAsia="zh-CN"/>
        </w:rPr>
        <w:t>）。</w:t>
      </w:r>
    </w:p>
    <w:p w14:paraId="3AF357AC">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val="0"/>
          <w:bCs/>
          <w:color w:val="auto"/>
          <w:szCs w:val="21"/>
        </w:rPr>
      </w:pPr>
      <w:r>
        <w:rPr>
          <w:rFonts w:hint="eastAsia" w:ascii="宋体" w:hAnsi="宋体" w:eastAsia="宋体" w:cs="宋体"/>
          <w:b w:val="0"/>
          <w:bCs/>
          <w:color w:val="auto"/>
          <w:szCs w:val="21"/>
        </w:rPr>
        <w:t>服务总费用为人民币（大写）：</w:t>
      </w:r>
      <w:r>
        <w:rPr>
          <w:rFonts w:hint="eastAsia" w:ascii="宋体" w:hAnsi="宋体" w:eastAsia="宋体" w:cs="宋体"/>
          <w:i w:val="0"/>
          <w:iCs w:val="0"/>
          <w:caps w:val="0"/>
          <w:color w:val="auto"/>
          <w:spacing w:val="0"/>
          <w:sz w:val="21"/>
          <w:szCs w:val="21"/>
          <w:u w:val="single"/>
          <w:shd w:val="clear" w:fill="FFFFFF"/>
          <w:lang w:val="en-US" w:eastAsia="zh-CN"/>
        </w:rPr>
        <w:t xml:space="preserve">     </w:t>
      </w:r>
      <w:r>
        <w:rPr>
          <w:rFonts w:hint="eastAsia" w:ascii="宋体" w:hAnsi="宋体" w:eastAsia="宋体" w:cs="宋体"/>
          <w:b w:val="0"/>
          <w:bCs/>
          <w:color w:val="auto"/>
          <w:szCs w:val="21"/>
        </w:rPr>
        <w:t>元，￥</w:t>
      </w:r>
      <w:r>
        <w:rPr>
          <w:rFonts w:hint="eastAsia" w:ascii="宋体" w:hAnsi="宋体" w:eastAsia="宋体" w:cs="宋体"/>
          <w:i w:val="0"/>
          <w:iCs w:val="0"/>
          <w:caps w:val="0"/>
          <w:color w:val="auto"/>
          <w:spacing w:val="0"/>
          <w:sz w:val="21"/>
          <w:szCs w:val="21"/>
          <w:u w:val="single"/>
          <w:shd w:val="clear" w:fill="FFFFFF"/>
          <w:lang w:val="en-US" w:eastAsia="zh-CN"/>
        </w:rPr>
        <w:t xml:space="preserve">     </w:t>
      </w:r>
      <w:r>
        <w:rPr>
          <w:rFonts w:hint="eastAsia" w:ascii="宋体" w:hAnsi="宋体" w:eastAsia="宋体" w:cs="宋体"/>
          <w:b w:val="0"/>
          <w:bCs/>
          <w:color w:val="auto"/>
          <w:szCs w:val="21"/>
        </w:rPr>
        <w:t>。</w:t>
      </w:r>
    </w:p>
    <w:p w14:paraId="577E85F2">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default" w:ascii="宋体" w:hAnsi="宋体" w:eastAsia="宋体" w:cs="宋体"/>
          <w:b w:val="0"/>
          <w:bCs/>
          <w:color w:val="auto"/>
          <w:szCs w:val="21"/>
          <w:lang w:val="en-US" w:eastAsia="zh-CN"/>
        </w:rPr>
      </w:pPr>
      <w:r>
        <w:rPr>
          <w:rFonts w:hint="eastAsia" w:ascii="宋体" w:hAnsi="宋体" w:eastAsia="宋体" w:cs="宋体"/>
          <w:b w:val="0"/>
          <w:bCs/>
          <w:color w:val="auto"/>
          <w:szCs w:val="21"/>
        </w:rPr>
        <w:t>2、支付方式：合同签订后30日内甲方向乙方支付至合同总价100%的价款，乙方须向甲方出具合法有效的完税发票，甲方进行支付结算</w:t>
      </w:r>
      <w:r>
        <w:rPr>
          <w:rFonts w:hint="eastAsia" w:ascii="宋体" w:hAnsi="宋体" w:eastAsia="宋体" w:cs="宋体"/>
          <w:b w:val="0"/>
          <w:bCs/>
          <w:color w:val="auto"/>
          <w:szCs w:val="21"/>
          <w:lang w:eastAsia="zh-CN"/>
        </w:rPr>
        <w:t>。</w:t>
      </w:r>
      <w:r>
        <w:rPr>
          <w:rFonts w:hint="eastAsia" w:ascii="宋体" w:hAnsi="宋体" w:eastAsia="宋体" w:cs="宋体"/>
          <w:b w:val="0"/>
          <w:bCs/>
          <w:color w:val="auto"/>
          <w:szCs w:val="21"/>
          <w:lang w:val="en-US" w:eastAsia="zh-CN"/>
        </w:rPr>
        <w:t>结算金额以实际体检人数为依据，据实结算。</w:t>
      </w:r>
    </w:p>
    <w:p w14:paraId="205AA84C">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val="0"/>
          <w:bCs/>
          <w:color w:val="auto"/>
          <w:szCs w:val="21"/>
        </w:rPr>
      </w:pPr>
      <w:r>
        <w:rPr>
          <w:rFonts w:hint="eastAsia" w:ascii="宋体" w:hAnsi="宋体" w:eastAsia="宋体" w:cs="宋体"/>
          <w:b w:val="0"/>
          <w:bCs/>
          <w:color w:val="auto"/>
          <w:szCs w:val="21"/>
        </w:rPr>
        <w:t>3、结算方式：银行转账</w:t>
      </w:r>
    </w:p>
    <w:p w14:paraId="47BCD0C5">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val="0"/>
          <w:bCs/>
          <w:color w:val="auto"/>
          <w:szCs w:val="21"/>
        </w:rPr>
      </w:pPr>
      <w:r>
        <w:rPr>
          <w:rFonts w:hint="eastAsia" w:ascii="宋体" w:hAnsi="宋体" w:eastAsia="宋体" w:cs="宋体"/>
          <w:b w:val="0"/>
          <w:bCs/>
          <w:color w:val="auto"/>
          <w:szCs w:val="21"/>
        </w:rPr>
        <w:t>4、乙方收款账户</w:t>
      </w:r>
    </w:p>
    <w:p w14:paraId="4B2D1C05">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val="0"/>
          <w:bCs/>
          <w:color w:val="auto"/>
          <w:szCs w:val="21"/>
          <w:u w:val="none"/>
        </w:rPr>
      </w:pPr>
      <w:r>
        <w:rPr>
          <w:rFonts w:hint="eastAsia" w:ascii="宋体" w:hAnsi="宋体" w:eastAsia="宋体" w:cs="宋体"/>
          <w:b w:val="0"/>
          <w:bCs/>
          <w:color w:val="auto"/>
          <w:szCs w:val="21"/>
        </w:rPr>
        <w:t>账户名称：</w:t>
      </w:r>
      <w:r>
        <w:rPr>
          <w:rFonts w:hint="eastAsia" w:ascii="宋体" w:hAnsi="宋体" w:eastAsia="宋体" w:cs="宋体"/>
          <w:i w:val="0"/>
          <w:iCs w:val="0"/>
          <w:caps w:val="0"/>
          <w:color w:val="auto"/>
          <w:spacing w:val="0"/>
          <w:sz w:val="21"/>
          <w:szCs w:val="21"/>
          <w:u w:val="none"/>
          <w:shd w:val="clear" w:fill="FFFFFF"/>
          <w:lang w:val="en-US" w:eastAsia="zh-CN"/>
        </w:rPr>
        <w:t xml:space="preserve">    </w:t>
      </w:r>
    </w:p>
    <w:p w14:paraId="7AE6A613">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val="0"/>
          <w:bCs/>
          <w:color w:val="auto"/>
          <w:szCs w:val="21"/>
        </w:rPr>
      </w:pPr>
      <w:r>
        <w:rPr>
          <w:rFonts w:hint="eastAsia" w:ascii="宋体" w:hAnsi="宋体" w:eastAsia="宋体" w:cs="宋体"/>
          <w:b w:val="0"/>
          <w:bCs/>
          <w:color w:val="auto"/>
          <w:szCs w:val="21"/>
        </w:rPr>
        <w:t xml:space="preserve">开户银行：                   </w:t>
      </w:r>
    </w:p>
    <w:p w14:paraId="32D61B1D">
      <w:pPr>
        <w:keepNext w:val="0"/>
        <w:keepLines w:val="0"/>
        <w:pageBreakBefore w:val="0"/>
        <w:widowControl/>
        <w:kinsoku w:val="0"/>
        <w:wordWrap/>
        <w:overflowPunct/>
        <w:topLinePunct w:val="0"/>
        <w:autoSpaceDE w:val="0"/>
        <w:autoSpaceDN w:val="0"/>
        <w:bidi w:val="0"/>
        <w:adjustRightInd w:val="0"/>
        <w:snapToGrid w:val="0"/>
        <w:spacing w:line="360" w:lineRule="auto"/>
        <w:ind w:left="425"/>
        <w:textAlignment w:val="baseline"/>
        <w:outlineLvl w:val="1"/>
        <w:rPr>
          <w:rFonts w:hint="eastAsia" w:ascii="宋体" w:hAnsi="宋体" w:eastAsia="宋体" w:cs="宋体"/>
          <w:b/>
          <w:color w:val="auto"/>
          <w:szCs w:val="21"/>
        </w:rPr>
      </w:pPr>
      <w:r>
        <w:rPr>
          <w:rFonts w:hint="eastAsia" w:ascii="宋体" w:hAnsi="宋体" w:eastAsia="宋体" w:cs="宋体"/>
          <w:b w:val="0"/>
          <w:bCs/>
          <w:color w:val="auto"/>
          <w:szCs w:val="21"/>
        </w:rPr>
        <w:t xml:space="preserve">银行账号：                 </w:t>
      </w:r>
    </w:p>
    <w:p w14:paraId="066D2754">
      <w:pPr>
        <w:keepNext w:val="0"/>
        <w:keepLines w:val="0"/>
        <w:pageBreakBefore w:val="0"/>
        <w:widowControl/>
        <w:wordWrap/>
        <w:overflowPunct/>
        <w:topLinePunct w:val="0"/>
        <w:bidi w:val="0"/>
        <w:adjustRightInd w:val="0"/>
        <w:snapToGrid w:val="0"/>
        <w:spacing w:line="360" w:lineRule="auto"/>
        <w:ind w:left="425"/>
        <w:textAlignment w:val="baseline"/>
        <w:outlineLvl w:val="1"/>
        <w:rPr>
          <w:rFonts w:hint="eastAsia" w:ascii="宋体" w:hAnsi="宋体" w:eastAsia="宋体" w:cs="宋体"/>
          <w:b/>
          <w:color w:val="auto"/>
          <w:szCs w:val="21"/>
        </w:rPr>
      </w:pPr>
      <w:r>
        <w:rPr>
          <w:rFonts w:hint="eastAsia" w:ascii="宋体" w:hAnsi="宋体" w:eastAsia="宋体" w:cs="宋体"/>
          <w:b/>
          <w:color w:val="auto"/>
          <w:szCs w:val="21"/>
        </w:rPr>
        <w:t>第五条  知识产权（若有）</w:t>
      </w:r>
      <w:bookmarkEnd w:id="22"/>
    </w:p>
    <w:p w14:paraId="454AB19B">
      <w:pPr>
        <w:keepNext w:val="0"/>
        <w:keepLines w:val="0"/>
        <w:pageBreakBefore w:val="0"/>
        <w:widowControl/>
        <w:tabs>
          <w:tab w:val="left" w:pos="1440"/>
        </w:tabs>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乙方应保证所提供的服务或其任何一部分均不会侵犯任何第三方的专利权、商标权或著作权。</w:t>
      </w:r>
    </w:p>
    <w:p w14:paraId="7BE7C356">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23" w:name="_Toc31647"/>
      <w:r>
        <w:rPr>
          <w:rFonts w:hint="eastAsia" w:ascii="宋体" w:hAnsi="宋体" w:eastAsia="宋体" w:cs="宋体"/>
          <w:b/>
          <w:color w:val="auto"/>
          <w:szCs w:val="21"/>
        </w:rPr>
        <w:t>第六条  无产权瑕疵条款（如有）</w:t>
      </w:r>
      <w:bookmarkEnd w:id="23"/>
    </w:p>
    <w:p w14:paraId="5AE2D331">
      <w:pPr>
        <w:keepNext w:val="0"/>
        <w:keepLines w:val="0"/>
        <w:pageBreakBefore w:val="0"/>
        <w:widowControl/>
        <w:tabs>
          <w:tab w:val="left" w:pos="1440"/>
        </w:tabs>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乙方保证所提供的服务的所有权完全属于乙方且无任何抵押、查封等产权瑕疵。如有产权瑕疵的，视为乙方违约。乙方应负担由此而产生的一切损失。</w:t>
      </w:r>
    </w:p>
    <w:p w14:paraId="1BFB8E2B">
      <w:pPr>
        <w:keepNext w:val="0"/>
        <w:keepLines w:val="0"/>
        <w:pageBreakBefore w:val="0"/>
        <w:widowControl/>
        <w:wordWrap/>
        <w:overflowPunct/>
        <w:topLinePunct w:val="0"/>
        <w:bidi w:val="0"/>
        <w:adjustRightInd w:val="0"/>
        <w:snapToGrid w:val="0"/>
        <w:spacing w:line="360" w:lineRule="auto"/>
        <w:ind w:firstLine="422" w:firstLineChars="200"/>
        <w:jc w:val="left"/>
        <w:textAlignment w:val="baseline"/>
        <w:outlineLvl w:val="1"/>
        <w:rPr>
          <w:rFonts w:hint="eastAsia" w:ascii="宋体" w:hAnsi="宋体" w:eastAsia="宋体" w:cs="宋体"/>
          <w:b/>
          <w:color w:val="auto"/>
          <w:szCs w:val="21"/>
        </w:rPr>
      </w:pPr>
      <w:bookmarkStart w:id="24" w:name="_Toc4779"/>
      <w:r>
        <w:rPr>
          <w:rFonts w:hint="eastAsia" w:ascii="宋体" w:hAnsi="宋体" w:eastAsia="宋体" w:cs="宋体"/>
          <w:b/>
          <w:color w:val="auto"/>
          <w:szCs w:val="21"/>
        </w:rPr>
        <w:t>第七条  履约保证金（如有）</w:t>
      </w:r>
      <w:bookmarkEnd w:id="24"/>
    </w:p>
    <w:p w14:paraId="78ACC3EE">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
          <w:color w:val="auto"/>
          <w:szCs w:val="21"/>
        </w:rPr>
      </w:pPr>
      <w:r>
        <w:rPr>
          <w:rFonts w:hint="eastAsia" w:ascii="宋体" w:hAnsi="宋体" w:eastAsia="宋体" w:cs="宋体"/>
          <w:color w:val="auto"/>
          <w:kern w:val="0"/>
          <w:szCs w:val="21"/>
        </w:rPr>
        <w:t>1.乙方在签订本合同之前，向</w:t>
      </w:r>
      <w:r>
        <w:rPr>
          <w:rFonts w:hint="eastAsia" w:ascii="宋体" w:hAnsi="宋体" w:eastAsia="宋体" w:cs="宋体"/>
          <w:color w:val="auto"/>
          <w:kern w:val="0"/>
          <w:szCs w:val="21"/>
          <w:lang w:eastAsia="zh-CN"/>
        </w:rPr>
        <w:t>甲方</w:t>
      </w:r>
      <w:r>
        <w:rPr>
          <w:rFonts w:hint="eastAsia" w:ascii="宋体" w:hAnsi="宋体" w:eastAsia="宋体" w:cs="宋体"/>
          <w:color w:val="auto"/>
          <w:kern w:val="0"/>
          <w:szCs w:val="21"/>
        </w:rPr>
        <w:t>提交履约保证金人民币</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元，</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u w:val="single"/>
          <w:lang w:val="en-US" w:eastAsia="zh-CN"/>
        </w:rPr>
        <w:t xml:space="preserve"> </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w:t>
      </w:r>
    </w:p>
    <w:p w14:paraId="18CFA07D">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color w:val="auto"/>
          <w:kern w:val="0"/>
          <w:szCs w:val="21"/>
        </w:rPr>
      </w:pPr>
      <w:r>
        <w:rPr>
          <w:rFonts w:hint="eastAsia" w:ascii="宋体" w:hAnsi="宋体" w:eastAsia="宋体" w:cs="宋体"/>
          <w:bCs/>
          <w:color w:val="auto"/>
          <w:szCs w:val="21"/>
        </w:rPr>
        <w:t>2.</w:t>
      </w:r>
      <w:r>
        <w:rPr>
          <w:rFonts w:hint="eastAsia" w:ascii="宋体" w:hAnsi="宋体" w:eastAsia="宋体" w:cs="宋体"/>
          <w:color w:val="auto"/>
          <w:kern w:val="0"/>
          <w:szCs w:val="21"/>
        </w:rPr>
        <w:t>履约保证金的有效期为乙方承诺的服务期限。</w:t>
      </w:r>
    </w:p>
    <w:p w14:paraId="5D3F0B4F">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3.履约保证金作为违约金的一部分及用于补偿甲方因乙方不能履行合同义务而蒙受的损失。</w:t>
      </w:r>
    </w:p>
    <w:p w14:paraId="036F9F90">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color w:val="auto"/>
          <w:szCs w:val="21"/>
        </w:rPr>
      </w:pPr>
      <w:r>
        <w:rPr>
          <w:rFonts w:hint="eastAsia" w:ascii="宋体" w:hAnsi="宋体" w:eastAsia="宋体" w:cs="宋体"/>
          <w:color w:val="auto"/>
          <w:kern w:val="0"/>
          <w:szCs w:val="21"/>
        </w:rPr>
        <w:t>4.</w:t>
      </w:r>
      <w:r>
        <w:rPr>
          <w:rFonts w:hint="eastAsia" w:ascii="宋体" w:hAnsi="宋体" w:eastAsia="宋体" w:cs="宋体"/>
          <w:color w:val="auto"/>
          <w:szCs w:val="21"/>
        </w:rPr>
        <w:t>服务期限结束后，甲方财务部门接到甲方确认本合同服务等约定事项已经履行完毕的正式书面文件后的</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日内，向乙方退还履约保证金。</w:t>
      </w:r>
    </w:p>
    <w:p w14:paraId="6C2FCB38">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color w:val="auto"/>
          <w:szCs w:val="21"/>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426D92CF">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25" w:name="_Toc16162"/>
      <w:r>
        <w:rPr>
          <w:rFonts w:hint="eastAsia" w:ascii="宋体" w:hAnsi="宋体" w:eastAsia="宋体" w:cs="宋体"/>
          <w:b/>
          <w:color w:val="auto"/>
          <w:szCs w:val="21"/>
        </w:rPr>
        <w:t>第八条  甲方的权利和义务</w:t>
      </w:r>
      <w:bookmarkEnd w:id="25"/>
    </w:p>
    <w:p w14:paraId="10880946">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0EB8B07C">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2.负责检查监督乙方管理工作的实施及制度的执行情况。</w:t>
      </w:r>
    </w:p>
    <w:p w14:paraId="5B4D8C4C">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3.根据本合同规定，按时向乙方支付应付服务费用。</w:t>
      </w:r>
    </w:p>
    <w:p w14:paraId="285991C5">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4.国家</w:t>
      </w:r>
      <w:r>
        <w:rPr>
          <w:rFonts w:hint="eastAsia" w:ascii="宋体" w:hAnsi="宋体" w:eastAsia="宋体" w:cs="宋体"/>
          <w:bCs/>
          <w:color w:val="auto"/>
          <w:szCs w:val="21"/>
          <w:lang w:eastAsia="zh-CN"/>
        </w:rPr>
        <w:t>法律法规</w:t>
      </w:r>
      <w:r>
        <w:rPr>
          <w:rFonts w:hint="eastAsia" w:ascii="宋体" w:hAnsi="宋体" w:eastAsia="宋体" w:cs="宋体"/>
          <w:bCs/>
          <w:color w:val="auto"/>
          <w:szCs w:val="21"/>
        </w:rPr>
        <w:t>所规定由甲方承担的</w:t>
      </w:r>
      <w:r>
        <w:rPr>
          <w:rFonts w:hint="eastAsia" w:ascii="宋体" w:hAnsi="宋体" w:eastAsia="宋体" w:cs="宋体"/>
          <w:bCs/>
          <w:color w:val="auto"/>
          <w:szCs w:val="21"/>
          <w:lang w:eastAsia="zh-CN"/>
        </w:rPr>
        <w:t>其他</w:t>
      </w:r>
      <w:r>
        <w:rPr>
          <w:rFonts w:hint="eastAsia" w:ascii="宋体" w:hAnsi="宋体" w:eastAsia="宋体" w:cs="宋体"/>
          <w:bCs/>
          <w:color w:val="auto"/>
          <w:szCs w:val="21"/>
        </w:rPr>
        <w:t>责任。</w:t>
      </w:r>
    </w:p>
    <w:p w14:paraId="20822C59">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26" w:name="_Toc27740"/>
      <w:r>
        <w:rPr>
          <w:rFonts w:hint="eastAsia" w:ascii="宋体" w:hAnsi="宋体" w:eastAsia="宋体" w:cs="宋体"/>
          <w:b/>
          <w:color w:val="auto"/>
          <w:szCs w:val="21"/>
        </w:rPr>
        <w:t>第九条  乙方的权利和义务</w:t>
      </w:r>
      <w:bookmarkEnd w:id="26"/>
    </w:p>
    <w:p w14:paraId="590F7DD8">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1.对本合同规定的委托服务范围内的项目享有管理权及服务义务。</w:t>
      </w:r>
    </w:p>
    <w:p w14:paraId="597F47A4">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2.根据本合同的规定向甲方收取相关服务费用，并有权在本项目管理范围内管理及合理使用。</w:t>
      </w:r>
    </w:p>
    <w:p w14:paraId="4101A12C">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color w:val="auto"/>
          <w:szCs w:val="21"/>
        </w:rPr>
      </w:pPr>
      <w:r>
        <w:rPr>
          <w:rFonts w:hint="eastAsia" w:ascii="宋体" w:hAnsi="宋体" w:eastAsia="宋体" w:cs="宋体"/>
          <w:color w:val="auto"/>
          <w:szCs w:val="21"/>
        </w:rPr>
        <w:t>3.及时向甲方通告本项目服务范围内有关服务的重大事项，及时配合处理投诉。</w:t>
      </w:r>
    </w:p>
    <w:p w14:paraId="231DE592">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color w:val="auto"/>
          <w:szCs w:val="21"/>
        </w:rPr>
        <w:t>4.</w:t>
      </w:r>
      <w:r>
        <w:rPr>
          <w:rFonts w:hint="eastAsia" w:ascii="宋体" w:hAnsi="宋体" w:eastAsia="宋体" w:cs="宋体"/>
          <w:bCs/>
          <w:color w:val="auto"/>
          <w:szCs w:val="21"/>
        </w:rPr>
        <w:t>接受项目行业管理部门及政府有关部门的指导，接受甲方的监督。</w:t>
      </w:r>
    </w:p>
    <w:p w14:paraId="3950BF93">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5.国家</w:t>
      </w:r>
      <w:r>
        <w:rPr>
          <w:rFonts w:hint="eastAsia" w:ascii="宋体" w:hAnsi="宋体" w:eastAsia="宋体" w:cs="宋体"/>
          <w:bCs/>
          <w:color w:val="auto"/>
          <w:szCs w:val="21"/>
          <w:lang w:eastAsia="zh-CN"/>
        </w:rPr>
        <w:t>法律法规</w:t>
      </w:r>
      <w:r>
        <w:rPr>
          <w:rFonts w:hint="eastAsia" w:ascii="宋体" w:hAnsi="宋体" w:eastAsia="宋体" w:cs="宋体"/>
          <w:bCs/>
          <w:color w:val="auto"/>
          <w:szCs w:val="21"/>
        </w:rPr>
        <w:t>所规定由乙方承担的</w:t>
      </w:r>
      <w:r>
        <w:rPr>
          <w:rFonts w:hint="eastAsia" w:ascii="宋体" w:hAnsi="宋体" w:eastAsia="宋体" w:cs="宋体"/>
          <w:bCs/>
          <w:color w:val="auto"/>
          <w:szCs w:val="21"/>
          <w:lang w:eastAsia="zh-CN"/>
        </w:rPr>
        <w:t>其他</w:t>
      </w:r>
      <w:r>
        <w:rPr>
          <w:rFonts w:hint="eastAsia" w:ascii="宋体" w:hAnsi="宋体" w:eastAsia="宋体" w:cs="宋体"/>
          <w:bCs/>
          <w:color w:val="auto"/>
          <w:szCs w:val="21"/>
        </w:rPr>
        <w:t>责任。</w:t>
      </w:r>
    </w:p>
    <w:p w14:paraId="5182B34F">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27" w:name="_Toc25988"/>
      <w:r>
        <w:rPr>
          <w:rFonts w:hint="eastAsia" w:ascii="宋体" w:hAnsi="宋体" w:eastAsia="宋体" w:cs="宋体"/>
          <w:b/>
          <w:color w:val="auto"/>
          <w:szCs w:val="21"/>
        </w:rPr>
        <w:t>第十条  违约责任</w:t>
      </w:r>
      <w:bookmarkEnd w:id="27"/>
    </w:p>
    <w:p w14:paraId="54486558">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1.甲乙双方必须遵守本合同并执行合同中的各项规定，保证本合同的正常履行。</w:t>
      </w:r>
    </w:p>
    <w:p w14:paraId="07A921E8">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bCs/>
          <w:color w:val="auto"/>
          <w:szCs w:val="21"/>
        </w:rPr>
      </w:pPr>
      <w:r>
        <w:rPr>
          <w:rFonts w:hint="eastAsia" w:ascii="宋体" w:hAnsi="宋体" w:eastAsia="宋体" w:cs="宋体"/>
          <w:bCs/>
          <w:color w:val="auto"/>
          <w:szCs w:val="21"/>
        </w:rPr>
        <w:t>2.如因乙方工作人员在履行职务过程中</w:t>
      </w:r>
      <w:r>
        <w:rPr>
          <w:rFonts w:hint="eastAsia" w:ascii="宋体" w:hAnsi="宋体" w:eastAsia="宋体" w:cs="宋体"/>
          <w:bCs/>
          <w:color w:val="auto"/>
          <w:szCs w:val="21"/>
          <w:lang w:eastAsia="zh-CN"/>
        </w:rPr>
        <w:t>的</w:t>
      </w:r>
      <w:r>
        <w:rPr>
          <w:rFonts w:hint="eastAsia" w:ascii="宋体" w:hAnsi="宋体" w:eastAsia="宋体" w:cs="宋体"/>
          <w:bCs/>
          <w:color w:val="auto"/>
          <w:szCs w:val="21"/>
        </w:rPr>
        <w:t>疏忽、失职、过错等故意或者过失原因给甲方造成损失或侵害，包括但不限于甲方本身的财产损失、由此而导致的甲方对任何第三方的法律责任等，乙方对此均应承担全部的赔偿责任。</w:t>
      </w:r>
    </w:p>
    <w:p w14:paraId="4302ABBD">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28" w:name="_Toc26448"/>
      <w:r>
        <w:rPr>
          <w:rFonts w:hint="eastAsia" w:ascii="宋体" w:hAnsi="宋体" w:eastAsia="宋体" w:cs="宋体"/>
          <w:b/>
          <w:color w:val="auto"/>
          <w:szCs w:val="21"/>
        </w:rPr>
        <w:t>第十一条  不可抗力事件处理</w:t>
      </w:r>
      <w:bookmarkEnd w:id="28"/>
    </w:p>
    <w:p w14:paraId="42D37A55">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Cs w:val="21"/>
        </w:rPr>
      </w:pPr>
      <w:bookmarkStart w:id="29" w:name="_Toc185395254"/>
      <w:bookmarkStart w:id="30" w:name="_Toc237145411"/>
      <w:bookmarkStart w:id="31" w:name="_Toc238984980"/>
      <w:bookmarkStart w:id="32" w:name="_Toc232492933"/>
      <w:bookmarkStart w:id="33" w:name="_Toc225244857"/>
      <w:bookmarkStart w:id="34" w:name="_Toc211854454"/>
      <w:bookmarkStart w:id="35" w:name="_Toc212019599"/>
      <w:bookmarkStart w:id="36" w:name="_Toc251768867"/>
      <w:bookmarkStart w:id="37" w:name="_Toc239233919"/>
      <w:bookmarkStart w:id="38" w:name="_Toc247334846"/>
      <w:bookmarkStart w:id="39" w:name="_Toc241833908"/>
      <w:bookmarkStart w:id="40" w:name="_Toc225670756"/>
      <w:bookmarkStart w:id="41" w:name="_Toc286993792"/>
      <w:bookmarkStart w:id="42" w:name="_Toc225654649"/>
      <w:bookmarkStart w:id="43" w:name="_Toc239568423"/>
      <w:bookmarkStart w:id="44" w:name="_Toc211911353"/>
      <w:r>
        <w:rPr>
          <w:rFonts w:hint="eastAsia" w:ascii="宋体" w:hAnsi="宋体" w:eastAsia="宋体" w:cs="宋体"/>
          <w:color w:val="auto"/>
          <w:szCs w:val="21"/>
        </w:rPr>
        <w:t>1.在合同有效期内，任何一方因不可抗力事件导致不能履行合同，则合同履行期可延长，其延长期与不可抗力影响期相同。</w:t>
      </w:r>
    </w:p>
    <w:p w14:paraId="435A2AD2">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2.不可抗力事件发生后，应立即通知对方，并寄送有关权威机构出具的证明。</w:t>
      </w:r>
    </w:p>
    <w:p w14:paraId="19B02FDD">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szCs w:val="21"/>
        </w:rPr>
        <w:t>3.不可抗力事件延续</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天以上，双方应通过友好协商，确定是否继续履行合同。</w:t>
      </w:r>
    </w:p>
    <w:p w14:paraId="07309919">
      <w:pPr>
        <w:keepNext w:val="0"/>
        <w:keepLines w:val="0"/>
        <w:pageBreakBefore w:val="0"/>
        <w:widowControl/>
        <w:wordWrap/>
        <w:overflowPunct/>
        <w:topLinePunct w:val="0"/>
        <w:bidi w:val="0"/>
        <w:adjustRightInd w:val="0"/>
        <w:snapToGrid w:val="0"/>
        <w:spacing w:before="120" w:beforeLines="50" w:after="120" w:afterLines="50" w:line="360" w:lineRule="auto"/>
        <w:ind w:firstLine="422" w:firstLineChars="200"/>
        <w:jc w:val="left"/>
        <w:textAlignment w:val="baseline"/>
        <w:outlineLvl w:val="1"/>
        <w:rPr>
          <w:rFonts w:hint="eastAsia" w:ascii="宋体" w:hAnsi="宋体" w:eastAsia="宋体" w:cs="宋体"/>
          <w:color w:val="auto"/>
          <w:kern w:val="0"/>
          <w:szCs w:val="21"/>
        </w:rPr>
      </w:pPr>
      <w:bookmarkStart w:id="45" w:name="_Toc20448"/>
      <w:r>
        <w:rPr>
          <w:rFonts w:hint="eastAsia" w:ascii="宋体" w:hAnsi="宋体" w:eastAsia="宋体" w:cs="宋体"/>
          <w:b/>
          <w:color w:val="auto"/>
          <w:szCs w:val="21"/>
        </w:rPr>
        <w:t xml:space="preserve">第十二条  </w:t>
      </w:r>
      <w:r>
        <w:rPr>
          <w:rFonts w:hint="eastAsia" w:ascii="宋体" w:hAnsi="宋体" w:eastAsia="宋体" w:cs="宋体"/>
          <w:b/>
          <w:color w:val="auto"/>
          <w:kern w:val="0"/>
          <w:szCs w:val="21"/>
        </w:rPr>
        <w:t>合同的变更和终止</w:t>
      </w:r>
      <w:bookmarkEnd w:id="45"/>
    </w:p>
    <w:p w14:paraId="3365F892">
      <w:pPr>
        <w:keepNext w:val="0"/>
        <w:keepLines w:val="0"/>
        <w:pageBreakBefore w:val="0"/>
        <w:widowControl/>
        <w:wordWrap/>
        <w:overflowPunct/>
        <w:topLinePunct w:val="0"/>
        <w:bidi w:val="0"/>
        <w:adjustRightInd w:val="0"/>
        <w:snapToGrid w:val="0"/>
        <w:spacing w:line="360" w:lineRule="auto"/>
        <w:ind w:firstLine="420" w:firstLineChars="200"/>
        <w:jc w:val="left"/>
        <w:textAlignment w:val="baseline"/>
        <w:rPr>
          <w:rFonts w:hint="eastAsia" w:ascii="宋体" w:hAnsi="宋体" w:eastAsia="宋体" w:cs="宋体"/>
          <w:color w:val="auto"/>
          <w:kern w:val="0"/>
          <w:szCs w:val="21"/>
        </w:rPr>
      </w:pPr>
      <w:r>
        <w:rPr>
          <w:rFonts w:hint="eastAsia" w:ascii="宋体" w:hAnsi="宋体" w:eastAsia="宋体" w:cs="宋体"/>
          <w:color w:val="auto"/>
          <w:kern w:val="0"/>
          <w:szCs w:val="21"/>
        </w:rPr>
        <w:t>除《中华人民共和国政府采购法》第49条、第50条第二款规定的情形外，本合同一经签订，甲乙双方不得擅自变更、中止或终止合同。</w:t>
      </w:r>
    </w:p>
    <w:p w14:paraId="20845CE4">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46" w:name="_Toc32004"/>
      <w:r>
        <w:rPr>
          <w:rFonts w:hint="eastAsia" w:ascii="宋体" w:hAnsi="宋体" w:eastAsia="宋体" w:cs="宋体"/>
          <w:b/>
          <w:color w:val="auto"/>
          <w:szCs w:val="21"/>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5E1FF702">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kern w:val="0"/>
          <w:sz w:val="21"/>
          <w:szCs w:val="21"/>
        </w:rPr>
      </w:pPr>
      <w:r>
        <w:rPr>
          <w:rFonts w:hint="eastAsia" w:ascii="宋体" w:hAnsi="宋体" w:eastAsia="宋体" w:cs="宋体"/>
          <w:color w:val="auto"/>
          <w:sz w:val="21"/>
          <w:szCs w:val="21"/>
        </w:rPr>
        <w:t>1、在执行本合同中发生的或与本合同有关的争端，双方应通过友好协商解决，经协商在</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天内不能达成协议时，</w:t>
      </w:r>
      <w:r>
        <w:rPr>
          <w:rFonts w:hint="eastAsia" w:ascii="宋体" w:hAnsi="宋体" w:eastAsia="宋体" w:cs="宋体"/>
          <w:color w:val="auto"/>
          <w:kern w:val="0"/>
          <w:sz w:val="21"/>
          <w:szCs w:val="21"/>
        </w:rPr>
        <w:t>则采取以下第</w:t>
      </w:r>
      <w:r>
        <w:rPr>
          <w:rFonts w:hint="eastAsia" w:ascii="宋体" w:hAnsi="宋体" w:eastAsia="宋体" w:cs="宋体"/>
          <w:color w:val="auto"/>
          <w:kern w:val="0"/>
          <w:sz w:val="21"/>
          <w:szCs w:val="21"/>
          <w:u w:val="single"/>
        </w:rPr>
        <w:t xml:space="preserve"> 1 </w:t>
      </w:r>
      <w:r>
        <w:rPr>
          <w:rFonts w:hint="eastAsia" w:ascii="宋体" w:hAnsi="宋体" w:eastAsia="宋体" w:cs="宋体"/>
          <w:color w:val="auto"/>
          <w:kern w:val="0"/>
          <w:sz w:val="21"/>
          <w:szCs w:val="21"/>
        </w:rPr>
        <w:t>种方式解决争议：</w:t>
      </w:r>
    </w:p>
    <w:p w14:paraId="369C3C95">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（1）向甲方所在地有管辖权的人民法院提起诉讼；</w:t>
      </w:r>
    </w:p>
    <w:p w14:paraId="76C5A98A">
      <w:pPr>
        <w:pStyle w:val="26"/>
        <w:keepNext w:val="0"/>
        <w:keepLines w:val="0"/>
        <w:pageBreakBefore w:val="0"/>
        <w:widowControl/>
        <w:wordWrap/>
        <w:overflowPunct/>
        <w:topLinePunct w:val="0"/>
        <w:bidi w:val="0"/>
        <w:adjustRightInd w:val="0"/>
        <w:snapToGrid w:val="0"/>
        <w:spacing w:line="360" w:lineRule="auto"/>
        <w:ind w:firstLine="420"/>
        <w:textAlignment w:val="baseline"/>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（2）向</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u w:val="single"/>
          <w:lang w:val="en-US" w:eastAsia="zh-CN"/>
        </w:rPr>
        <w:t xml:space="preserve">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仲裁委员会按其仲裁规则申请仲裁。</w:t>
      </w:r>
    </w:p>
    <w:p w14:paraId="7BE2AB0B">
      <w:pPr>
        <w:keepNext w:val="0"/>
        <w:keepLines w:val="0"/>
        <w:pageBreakBefore w:val="0"/>
        <w:widowControl/>
        <w:tabs>
          <w:tab w:val="left" w:pos="0"/>
        </w:tabs>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Cs w:val="21"/>
        </w:rPr>
      </w:pPr>
      <w:r>
        <w:rPr>
          <w:rFonts w:hint="eastAsia" w:ascii="宋体" w:hAnsi="宋体" w:eastAsia="宋体" w:cs="宋体"/>
          <w:color w:val="auto"/>
          <w:kern w:val="0"/>
          <w:szCs w:val="21"/>
        </w:rPr>
        <w:t>2、在仲裁期间，本合同应继续履行。</w:t>
      </w:r>
    </w:p>
    <w:p w14:paraId="6768381E">
      <w:pPr>
        <w:keepNext w:val="0"/>
        <w:keepLines w:val="0"/>
        <w:pageBreakBefore w:val="0"/>
        <w:widowControl/>
        <w:wordWrap/>
        <w:overflowPunct/>
        <w:topLinePunct w:val="0"/>
        <w:bidi w:val="0"/>
        <w:adjustRightInd w:val="0"/>
        <w:snapToGrid w:val="0"/>
        <w:spacing w:line="360" w:lineRule="auto"/>
        <w:ind w:left="426"/>
        <w:textAlignment w:val="baseline"/>
        <w:outlineLvl w:val="1"/>
        <w:rPr>
          <w:rFonts w:hint="eastAsia" w:ascii="宋体" w:hAnsi="宋体" w:eastAsia="宋体" w:cs="宋体"/>
          <w:b/>
          <w:color w:val="auto"/>
          <w:szCs w:val="21"/>
        </w:rPr>
      </w:pPr>
      <w:bookmarkStart w:id="47" w:name="_Toc211911354"/>
      <w:bookmarkStart w:id="48" w:name="_Toc286993793"/>
      <w:bookmarkStart w:id="49" w:name="_Toc239568424"/>
      <w:bookmarkStart w:id="50" w:name="_Toc185395255"/>
      <w:bookmarkStart w:id="51" w:name="_Toc225244858"/>
      <w:bookmarkStart w:id="52" w:name="_Toc239233920"/>
      <w:bookmarkStart w:id="53" w:name="_Toc232492934"/>
      <w:bookmarkStart w:id="54" w:name="_Toc251768868"/>
      <w:bookmarkStart w:id="55" w:name="_Toc212019600"/>
      <w:bookmarkStart w:id="56" w:name="_Toc247334847"/>
      <w:bookmarkStart w:id="57" w:name="_Toc237145412"/>
      <w:bookmarkStart w:id="58" w:name="_Toc225670757"/>
      <w:bookmarkStart w:id="59" w:name="_Toc238984981"/>
      <w:bookmarkStart w:id="60" w:name="_Toc211854455"/>
      <w:bookmarkStart w:id="61" w:name="_Toc225654650"/>
      <w:bookmarkStart w:id="62" w:name="_Toc283019219"/>
      <w:bookmarkStart w:id="63" w:name="_Toc282696231"/>
      <w:bookmarkStart w:id="64" w:name="_Toc241833909"/>
      <w:bookmarkStart w:id="65" w:name="_Toc28433"/>
      <w:r>
        <w:rPr>
          <w:rFonts w:hint="eastAsia" w:ascii="宋体" w:hAnsi="宋体" w:eastAsia="宋体" w:cs="宋体"/>
          <w:b/>
          <w:color w:val="auto"/>
          <w:szCs w:val="21"/>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color w:val="auto"/>
          <w:szCs w:val="21"/>
        </w:rPr>
        <w:t>生效及其他</w:t>
      </w:r>
      <w:bookmarkEnd w:id="65"/>
    </w:p>
    <w:p w14:paraId="411B8FD6">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1、合同经双方法定代表人（单位负责人）或授权委托代理人签字并加盖单位公章并由采购代理机构盖章后生效。</w:t>
      </w:r>
    </w:p>
    <w:p w14:paraId="7B628D35">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2、合同执行中涉及采购资金和采购内容修改或补充的，须经政府采购监管部门审批，并</w:t>
      </w:r>
      <w:r>
        <w:rPr>
          <w:rFonts w:hint="eastAsia" w:ascii="宋体" w:hAnsi="宋体" w:eastAsia="宋体" w:cs="宋体"/>
          <w:color w:val="auto"/>
          <w:sz w:val="21"/>
          <w:szCs w:val="21"/>
          <w:lang w:eastAsia="zh-CN"/>
        </w:rPr>
        <w:t>签订</w:t>
      </w:r>
      <w:r>
        <w:rPr>
          <w:rFonts w:hint="eastAsia" w:ascii="宋体" w:hAnsi="宋体" w:eastAsia="宋体" w:cs="宋体"/>
          <w:color w:val="auto"/>
          <w:sz w:val="21"/>
          <w:szCs w:val="21"/>
        </w:rPr>
        <w:t>书面补充协议报政府采购监督管理部门备案，方可作为主合同不可分割的一部分。</w:t>
      </w:r>
    </w:p>
    <w:p w14:paraId="57E507FE">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3、本合同一式</w:t>
      </w:r>
      <w:r>
        <w:rPr>
          <w:rFonts w:hint="eastAsia" w:ascii="宋体" w:hAnsi="宋体" w:eastAsia="宋体" w:cs="宋体"/>
          <w:color w:val="auto"/>
          <w:sz w:val="21"/>
          <w:szCs w:val="21"/>
          <w:highlight w:val="none"/>
          <w:lang w:val="en-US" w:eastAsia="zh-CN"/>
        </w:rPr>
        <w:t>陆</w:t>
      </w:r>
      <w:r>
        <w:rPr>
          <w:rFonts w:hint="eastAsia" w:ascii="宋体" w:hAnsi="宋体" w:eastAsia="宋体" w:cs="宋体"/>
          <w:color w:val="auto"/>
          <w:sz w:val="21"/>
          <w:szCs w:val="21"/>
          <w:highlight w:val="none"/>
        </w:rPr>
        <w:t>份，自双方签章之日起</w:t>
      </w:r>
      <w:r>
        <w:rPr>
          <w:rFonts w:hint="eastAsia" w:ascii="宋体" w:hAnsi="宋体" w:eastAsia="宋体" w:cs="宋体"/>
          <w:color w:val="auto"/>
          <w:sz w:val="21"/>
          <w:szCs w:val="21"/>
          <w:highlight w:val="none"/>
          <w:lang w:eastAsia="zh-CN"/>
        </w:rPr>
        <w:t>生效</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val="en-US" w:eastAsia="zh-CN"/>
        </w:rPr>
        <w:t>贰</w:t>
      </w:r>
      <w:r>
        <w:rPr>
          <w:rFonts w:hint="eastAsia" w:ascii="宋体" w:hAnsi="宋体" w:eastAsia="宋体" w:cs="宋体"/>
          <w:color w:val="auto"/>
          <w:sz w:val="21"/>
          <w:szCs w:val="21"/>
          <w:highlight w:val="none"/>
        </w:rPr>
        <w:t>份，乙方</w:t>
      </w:r>
      <w:r>
        <w:rPr>
          <w:rFonts w:hint="eastAsia" w:ascii="宋体" w:hAnsi="宋体" w:eastAsia="宋体" w:cs="宋体"/>
          <w:color w:val="auto"/>
          <w:sz w:val="21"/>
          <w:szCs w:val="21"/>
          <w:highlight w:val="none"/>
          <w:lang w:val="en-US" w:eastAsia="zh-CN"/>
        </w:rPr>
        <w:t>贰</w:t>
      </w:r>
      <w:r>
        <w:rPr>
          <w:rFonts w:hint="eastAsia" w:ascii="宋体" w:hAnsi="宋体" w:eastAsia="宋体" w:cs="宋体"/>
          <w:color w:val="auto"/>
          <w:sz w:val="21"/>
          <w:szCs w:val="21"/>
          <w:highlight w:val="none"/>
        </w:rPr>
        <w:t>份，政府采购代理机构壹份，同级财政部门备案壹份，具有同等法律效力。</w:t>
      </w:r>
    </w:p>
    <w:p w14:paraId="31BE8884">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第十五条 附件</w:t>
      </w:r>
    </w:p>
    <w:p w14:paraId="7803CA63">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1、项目采购文件</w:t>
      </w:r>
    </w:p>
    <w:p w14:paraId="3968B768">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2、项目修改澄清文件</w:t>
      </w:r>
    </w:p>
    <w:p w14:paraId="08DFD329">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3、项目响应文件</w:t>
      </w:r>
    </w:p>
    <w:p w14:paraId="6273BD5E">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4、成交通知书</w:t>
      </w:r>
    </w:p>
    <w:p w14:paraId="6C909E6D">
      <w:pPr>
        <w:pStyle w:val="27"/>
        <w:keepNext w:val="0"/>
        <w:keepLines w:val="0"/>
        <w:pageBreakBefore w:val="0"/>
        <w:kinsoku/>
        <w:wordWrap/>
        <w:overflowPunct/>
        <w:topLinePunct w:val="0"/>
        <w:autoSpaceDE/>
        <w:autoSpaceDN/>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kern w:val="0"/>
          <w:sz w:val="21"/>
          <w:szCs w:val="21"/>
          <w:highlight w:val="none"/>
          <w:lang w:val="en-US" w:eastAsia="zh-CN" w:bidi="ar"/>
        </w:rPr>
        <w:t>检查验证相关证明材料</w:t>
      </w:r>
      <w:r>
        <w:rPr>
          <w:rFonts w:hint="eastAsia" w:ascii="宋体" w:hAnsi="宋体" w:eastAsia="宋体" w:cs="宋体"/>
          <w:color w:val="auto"/>
          <w:sz w:val="24"/>
          <w:szCs w:val="24"/>
          <w:highlight w:val="none"/>
          <w:lang w:val="en-US" w:eastAsia="zh-CN"/>
        </w:rPr>
        <w:t>（</w:t>
      </w:r>
      <w:r>
        <w:rPr>
          <w:rFonts w:hint="eastAsia" w:ascii="宋体" w:hAnsi="宋体" w:eastAsia="宋体" w:cs="宋体"/>
          <w:b/>
          <w:bCs/>
          <w:color w:val="auto"/>
          <w:kern w:val="0"/>
          <w:sz w:val="21"/>
          <w:szCs w:val="21"/>
          <w:highlight w:val="none"/>
          <w:lang w:val="en-US" w:eastAsia="zh-CN" w:bidi="ar"/>
        </w:rPr>
        <w:t>1.</w:t>
      </w:r>
      <w:r>
        <w:rPr>
          <w:rFonts w:hint="eastAsia" w:ascii="宋体" w:hAnsi="宋体" w:eastAsia="宋体" w:cs="宋体"/>
          <w:b/>
          <w:bCs/>
          <w:color w:val="auto"/>
          <w:sz w:val="21"/>
          <w:szCs w:val="21"/>
          <w:lang w:eastAsia="zh-CN"/>
        </w:rPr>
        <w:t>财务状况报告；</w:t>
      </w:r>
      <w:r>
        <w:rPr>
          <w:rFonts w:hint="eastAsia" w:ascii="宋体" w:hAnsi="宋体" w:eastAsia="宋体" w:cs="宋体"/>
          <w:b/>
          <w:bCs/>
          <w:color w:val="auto"/>
          <w:sz w:val="21"/>
          <w:szCs w:val="21"/>
          <w:lang w:val="en-US" w:eastAsia="zh-CN"/>
        </w:rPr>
        <w:t>2.</w:t>
      </w:r>
      <w:r>
        <w:rPr>
          <w:rFonts w:hint="eastAsia" w:ascii="宋体" w:hAnsi="宋体" w:eastAsia="宋体" w:cs="宋体"/>
          <w:b/>
          <w:bCs/>
          <w:color w:val="auto"/>
          <w:sz w:val="21"/>
          <w:szCs w:val="21"/>
          <w:lang w:eastAsia="zh-CN"/>
        </w:rPr>
        <w:t>税收缴纳证明；</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highlight w:val="none"/>
        </w:rPr>
        <w:t>社保资金缴纳证明</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4.被授权代表的身份证复印件以及2024年1月至今任意时段在本单位注册的已缴纳的社会保障资金缴存单据或社保机构开具的社会保险参保缴费情况证明；5.成交供应商的业绩(业绩需与磋商响应文件中所提供的保持一致</w:t>
      </w:r>
      <w:r>
        <w:rPr>
          <w:rFonts w:hint="eastAsia" w:ascii="宋体" w:hAnsi="宋体" w:eastAsia="宋体" w:cs="宋体"/>
          <w:color w:val="auto"/>
          <w:sz w:val="24"/>
          <w:szCs w:val="24"/>
          <w:highlight w:val="none"/>
          <w:lang w:val="en-US" w:eastAsia="zh-CN"/>
        </w:rPr>
        <w:t>）。</w:t>
      </w:r>
    </w:p>
    <w:p w14:paraId="7AEA0467">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、其他</w:t>
      </w:r>
    </w:p>
    <w:p w14:paraId="52BBA38F">
      <w:pPr>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5E5196D">
      <w:pPr>
        <w:pStyle w:val="27"/>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此页无正文</w:t>
      </w:r>
      <w:r>
        <w:rPr>
          <w:rFonts w:hint="eastAsia" w:ascii="宋体" w:hAnsi="宋体" w:eastAsia="宋体" w:cs="宋体"/>
          <w:color w:val="auto"/>
          <w:sz w:val="21"/>
          <w:szCs w:val="21"/>
          <w:highlight w:val="none"/>
          <w:lang w:eastAsia="zh-CN"/>
        </w:rPr>
        <w:t>）</w:t>
      </w:r>
    </w:p>
    <w:p w14:paraId="485969AD">
      <w:pPr>
        <w:pStyle w:val="8"/>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rPr>
      </w:pPr>
    </w:p>
    <w:p w14:paraId="6309950E">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 xml:space="preserve">甲方：   （盖章）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 xml:space="preserve">    乙方：   （盖章）</w:t>
      </w:r>
    </w:p>
    <w:p w14:paraId="2EDFBCF2">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法定代表人：（单位负责人）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法定代表人：（单位负责人）</w:t>
      </w:r>
    </w:p>
    <w:p w14:paraId="194021AF">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地    址：                           地    址：</w:t>
      </w:r>
    </w:p>
    <w:p w14:paraId="117CB7EA">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开户银行：                           开户银行：</w:t>
      </w:r>
    </w:p>
    <w:p w14:paraId="0AE409EC">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账号：                               账号：</w:t>
      </w:r>
    </w:p>
    <w:p w14:paraId="72E562E9">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电    话：                           电    话：</w:t>
      </w:r>
    </w:p>
    <w:p w14:paraId="13115B7F">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传    真：                           传    真：</w:t>
      </w:r>
    </w:p>
    <w:p w14:paraId="12540BA6">
      <w:pPr>
        <w:keepNext w:val="0"/>
        <w:keepLines w:val="0"/>
        <w:pageBreakBefore w:val="0"/>
        <w:widowControl/>
        <w:wordWrap/>
        <w:overflowPunct/>
        <w:topLinePunct w:val="0"/>
        <w:bidi w:val="0"/>
        <w:adjustRightInd w:val="0"/>
        <w:snapToGrid w:val="0"/>
        <w:spacing w:line="360" w:lineRule="auto"/>
        <w:ind w:firstLine="420" w:firstLineChars="200"/>
        <w:textAlignment w:val="baseline"/>
        <w:rPr>
          <w:rFonts w:hint="eastAsia" w:ascii="宋体" w:hAnsi="宋体" w:eastAsia="宋体" w:cs="宋体"/>
          <w:color w:val="auto"/>
          <w:sz w:val="21"/>
          <w:szCs w:val="21"/>
        </w:rPr>
      </w:pPr>
      <w:r>
        <w:rPr>
          <w:rFonts w:hint="eastAsia" w:ascii="宋体" w:hAnsi="宋体" w:eastAsia="宋体" w:cs="宋体"/>
          <w:color w:val="auto"/>
          <w:sz w:val="21"/>
          <w:szCs w:val="21"/>
        </w:rPr>
        <w:t xml:space="preserve">签约日期：  年  月  日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签约日期：  年  月  日</w:t>
      </w:r>
    </w:p>
    <w:p w14:paraId="61DBB0FC">
      <w:pPr>
        <w:pStyle w:val="15"/>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rPr>
      </w:pPr>
    </w:p>
    <w:p w14:paraId="0ED50BAA">
      <w:pPr>
        <w:keepNext w:val="0"/>
        <w:keepLines w:val="0"/>
        <w:pageBreakBefore w:val="0"/>
        <w:widowControl/>
        <w:wordWrap/>
        <w:overflowPunct/>
        <w:topLinePunct w:val="0"/>
        <w:bidi w:val="0"/>
        <w:adjustRightInd w:val="0"/>
        <w:snapToGrid w:val="0"/>
        <w:spacing w:line="360" w:lineRule="auto"/>
        <w:textAlignment w:val="baseline"/>
        <w:rPr>
          <w:rFonts w:hint="eastAsia" w:ascii="宋体" w:hAnsi="宋体" w:eastAsia="宋体" w:cs="宋体"/>
          <w:color w:val="auto"/>
          <w:sz w:val="21"/>
          <w:szCs w:val="21"/>
        </w:rPr>
      </w:pPr>
    </w:p>
    <w:p w14:paraId="21D26499">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F87018B">
      <w:pPr>
        <w:rPr>
          <w:rFonts w:hint="eastAsia" w:ascii="宋体" w:hAnsi="宋体" w:eastAsia="宋体" w:cs="宋体"/>
          <w:b/>
          <w:bCs/>
          <w:snapToGrid w:val="0"/>
          <w:color w:val="auto"/>
          <w:kern w:val="0"/>
          <w:sz w:val="36"/>
          <w:szCs w:val="36"/>
          <w:highlight w:val="none"/>
          <w:lang w:val="en-US" w:eastAsia="zh-CN" w:bidi="ar-SA"/>
        </w:rPr>
      </w:pPr>
      <w:r>
        <w:rPr>
          <w:rFonts w:hint="eastAsia" w:ascii="宋体" w:hAnsi="宋体" w:eastAsia="宋体" w:cs="宋体"/>
          <w:b/>
          <w:bCs/>
          <w:snapToGrid w:val="0"/>
          <w:color w:val="auto"/>
          <w:kern w:val="0"/>
          <w:sz w:val="36"/>
          <w:szCs w:val="36"/>
          <w:highlight w:val="none"/>
          <w:lang w:val="en-US" w:eastAsia="zh-CN" w:bidi="ar-SA"/>
        </w:rPr>
        <w:t>附件：检查验证相关证明材料</w:t>
      </w:r>
    </w:p>
    <w:p w14:paraId="63F38621">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rPr>
      </w:pPr>
    </w:p>
    <w:p w14:paraId="1CD0C298">
      <w:pPr>
        <w:pStyle w:val="10"/>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1</w:t>
      </w:r>
      <w:r>
        <w:rPr>
          <w:rFonts w:hint="eastAsia" w:ascii="宋体" w:hAnsi="宋体" w:eastAsia="宋体" w:cs="宋体"/>
          <w:b/>
          <w:bCs/>
          <w:color w:val="auto"/>
          <w:sz w:val="36"/>
          <w:szCs w:val="36"/>
          <w:highlight w:val="none"/>
        </w:rPr>
        <w:t>.财务状况报告</w:t>
      </w:r>
    </w:p>
    <w:p w14:paraId="52E6D19E">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090FD22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1A09138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2DD339A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25226B55">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31F645BB">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1D2D39A8">
      <w:pPr>
        <w:pStyle w:val="10"/>
        <w:adjustRightInd w:val="0"/>
        <w:snapToGrid w:val="0"/>
        <w:spacing w:line="360" w:lineRule="auto"/>
        <w:rPr>
          <w:rFonts w:hint="eastAsia" w:ascii="宋体" w:hAnsi="宋体" w:eastAsia="宋体" w:cs="宋体"/>
          <w:color w:val="auto"/>
          <w:sz w:val="21"/>
          <w:szCs w:val="21"/>
          <w:highlight w:val="none"/>
        </w:rPr>
      </w:pPr>
    </w:p>
    <w:p w14:paraId="2EF3E838">
      <w:pPr>
        <w:pStyle w:val="10"/>
        <w:adjustRightInd w:val="0"/>
        <w:snapToGrid w:val="0"/>
        <w:spacing w:line="360" w:lineRule="auto"/>
        <w:rPr>
          <w:rFonts w:hint="eastAsia" w:ascii="宋体" w:hAnsi="宋体" w:eastAsia="宋体" w:cs="宋体"/>
          <w:color w:val="auto"/>
          <w:sz w:val="21"/>
          <w:szCs w:val="21"/>
          <w:highlight w:val="none"/>
        </w:rPr>
      </w:pPr>
    </w:p>
    <w:p w14:paraId="72BFA59F">
      <w:pPr>
        <w:pStyle w:val="10"/>
        <w:adjustRightInd w:val="0"/>
        <w:snapToGrid w:val="0"/>
        <w:spacing w:line="360" w:lineRule="auto"/>
        <w:jc w:val="left"/>
        <w:rPr>
          <w:rFonts w:hint="eastAsia" w:ascii="宋体" w:hAnsi="宋体" w:eastAsia="宋体" w:cs="宋体"/>
          <w:b/>
          <w:color w:val="auto"/>
          <w:sz w:val="21"/>
          <w:szCs w:val="21"/>
          <w:highlight w:val="none"/>
        </w:rPr>
      </w:pPr>
    </w:p>
    <w:p w14:paraId="29714FA4">
      <w:pPr>
        <w:pStyle w:val="10"/>
        <w:adjustRightInd w:val="0"/>
        <w:snapToGrid w:val="0"/>
        <w:spacing w:line="360" w:lineRule="auto"/>
        <w:jc w:val="left"/>
        <w:rPr>
          <w:rFonts w:hint="eastAsia" w:ascii="宋体" w:hAnsi="宋体" w:eastAsia="宋体" w:cs="宋体"/>
          <w:b/>
          <w:color w:val="auto"/>
          <w:sz w:val="24"/>
          <w:szCs w:val="24"/>
          <w:highlight w:val="none"/>
        </w:rPr>
      </w:pPr>
    </w:p>
    <w:p w14:paraId="4FE9528E">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7AC17890">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4E929ED3">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35CE878">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25EA35D0">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757856A6">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AF5885F">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5FBD9541">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2E29DC94">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3A1A1AC5">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588281B6">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625E530">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2D7B0AFA">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1ED457F">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44B408BE">
      <w:pPr>
        <w:pStyle w:val="10"/>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2</w:t>
      </w:r>
      <w:r>
        <w:rPr>
          <w:rFonts w:hint="eastAsia" w:ascii="宋体" w:hAnsi="宋体" w:eastAsia="宋体" w:cs="宋体"/>
          <w:b/>
          <w:bCs/>
          <w:color w:val="auto"/>
          <w:sz w:val="36"/>
          <w:szCs w:val="36"/>
          <w:highlight w:val="none"/>
        </w:rPr>
        <w:t>.税收缴纳证明</w:t>
      </w:r>
    </w:p>
    <w:p w14:paraId="1C390EE9">
      <w:pPr>
        <w:pStyle w:val="10"/>
        <w:adjustRightInd w:val="0"/>
        <w:snapToGrid w:val="0"/>
        <w:spacing w:line="360" w:lineRule="auto"/>
        <w:jc w:val="left"/>
        <w:rPr>
          <w:rFonts w:hint="eastAsia" w:ascii="宋体" w:hAnsi="宋体" w:eastAsia="宋体" w:cs="宋体"/>
          <w:b w:val="0"/>
          <w:bCs w:val="0"/>
          <w:color w:val="auto"/>
          <w:sz w:val="24"/>
          <w:szCs w:val="24"/>
          <w:highlight w:val="none"/>
        </w:rPr>
      </w:pPr>
    </w:p>
    <w:p w14:paraId="5BBDA0CA">
      <w:pPr>
        <w:pStyle w:val="10"/>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要求</w:t>
      </w:r>
      <w:r>
        <w:rPr>
          <w:rFonts w:hint="eastAsia" w:ascii="宋体" w:hAnsi="宋体" w:eastAsia="宋体" w:cs="宋体"/>
          <w:b/>
          <w:bCs/>
          <w:color w:val="auto"/>
          <w:highlight w:val="none"/>
          <w:lang w:eastAsia="zh-CN"/>
        </w:rPr>
        <w:t>：</w:t>
      </w:r>
    </w:p>
    <w:p w14:paraId="7C462486">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年1月至今已缴纳任意时段任意税种纳税凭证或税务机关开具的完税证明（个人所得税除外）；</w:t>
      </w:r>
    </w:p>
    <w:p w14:paraId="504110E9">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671379D2">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07288851">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46D1066D">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单位章。</w:t>
      </w:r>
    </w:p>
    <w:p w14:paraId="6E04F4C3">
      <w:pPr>
        <w:pStyle w:val="10"/>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4621E2CD">
      <w:pPr>
        <w:pStyle w:val="10"/>
        <w:adjustRightInd w:val="0"/>
        <w:snapToGrid w:val="0"/>
        <w:spacing w:line="360" w:lineRule="auto"/>
        <w:rPr>
          <w:rFonts w:hint="eastAsia" w:ascii="宋体" w:hAnsi="宋体" w:eastAsia="宋体" w:cs="宋体"/>
          <w:color w:val="auto"/>
          <w:highlight w:val="none"/>
        </w:rPr>
      </w:pPr>
    </w:p>
    <w:p w14:paraId="3F3D5CF6">
      <w:pPr>
        <w:pStyle w:val="10"/>
        <w:adjustRightInd w:val="0"/>
        <w:snapToGrid w:val="0"/>
        <w:spacing w:line="360" w:lineRule="auto"/>
        <w:rPr>
          <w:rFonts w:hint="eastAsia" w:ascii="宋体" w:hAnsi="宋体" w:eastAsia="宋体" w:cs="宋体"/>
          <w:color w:val="auto"/>
          <w:highlight w:val="none"/>
        </w:rPr>
      </w:pPr>
    </w:p>
    <w:p w14:paraId="346A5F63">
      <w:pPr>
        <w:pStyle w:val="10"/>
        <w:adjustRightInd w:val="0"/>
        <w:snapToGrid w:val="0"/>
        <w:spacing w:line="360" w:lineRule="auto"/>
        <w:rPr>
          <w:rFonts w:hint="eastAsia" w:ascii="宋体" w:hAnsi="宋体" w:eastAsia="宋体" w:cs="宋体"/>
          <w:color w:val="auto"/>
          <w:highlight w:val="none"/>
        </w:rPr>
      </w:pPr>
    </w:p>
    <w:p w14:paraId="56B29FC2">
      <w:pPr>
        <w:pStyle w:val="10"/>
        <w:adjustRightInd w:val="0"/>
        <w:snapToGrid w:val="0"/>
        <w:spacing w:line="360" w:lineRule="auto"/>
        <w:rPr>
          <w:rFonts w:hint="eastAsia" w:ascii="宋体" w:hAnsi="宋体" w:eastAsia="宋体" w:cs="宋体"/>
          <w:color w:val="auto"/>
          <w:highlight w:val="none"/>
        </w:rPr>
      </w:pPr>
    </w:p>
    <w:p w14:paraId="2FB18FAC">
      <w:pPr>
        <w:pStyle w:val="10"/>
        <w:adjustRightInd w:val="0"/>
        <w:snapToGrid w:val="0"/>
        <w:spacing w:line="360" w:lineRule="auto"/>
        <w:rPr>
          <w:rFonts w:hint="eastAsia" w:ascii="宋体" w:hAnsi="宋体" w:eastAsia="宋体" w:cs="宋体"/>
          <w:color w:val="auto"/>
          <w:highlight w:val="none"/>
        </w:rPr>
      </w:pPr>
    </w:p>
    <w:p w14:paraId="43946A29">
      <w:pPr>
        <w:pStyle w:val="10"/>
        <w:adjustRightInd w:val="0"/>
        <w:snapToGrid w:val="0"/>
        <w:spacing w:line="360" w:lineRule="auto"/>
        <w:rPr>
          <w:rFonts w:hint="eastAsia" w:ascii="宋体" w:hAnsi="宋体" w:eastAsia="宋体" w:cs="宋体"/>
          <w:color w:val="auto"/>
          <w:highlight w:val="none"/>
        </w:rPr>
      </w:pPr>
    </w:p>
    <w:p w14:paraId="63332589">
      <w:pPr>
        <w:pStyle w:val="10"/>
        <w:adjustRightInd w:val="0"/>
        <w:snapToGrid w:val="0"/>
        <w:spacing w:line="360" w:lineRule="auto"/>
        <w:rPr>
          <w:rFonts w:hint="eastAsia" w:ascii="宋体" w:hAnsi="宋体" w:eastAsia="宋体" w:cs="宋体"/>
          <w:color w:val="auto"/>
          <w:highlight w:val="none"/>
        </w:rPr>
      </w:pPr>
    </w:p>
    <w:p w14:paraId="0EAEFC1E">
      <w:pPr>
        <w:pStyle w:val="10"/>
        <w:adjustRightInd w:val="0"/>
        <w:snapToGrid w:val="0"/>
        <w:spacing w:line="360" w:lineRule="auto"/>
        <w:rPr>
          <w:rFonts w:hint="eastAsia" w:ascii="宋体" w:hAnsi="宋体" w:eastAsia="宋体" w:cs="宋体"/>
          <w:color w:val="auto"/>
          <w:highlight w:val="none"/>
        </w:rPr>
      </w:pPr>
    </w:p>
    <w:p w14:paraId="43EDD4CC">
      <w:pPr>
        <w:pStyle w:val="10"/>
        <w:adjustRightInd w:val="0"/>
        <w:snapToGrid w:val="0"/>
        <w:spacing w:line="360" w:lineRule="auto"/>
        <w:rPr>
          <w:rFonts w:hint="eastAsia" w:ascii="宋体" w:hAnsi="宋体" w:eastAsia="宋体" w:cs="宋体"/>
          <w:color w:val="auto"/>
          <w:highlight w:val="none"/>
        </w:rPr>
      </w:pPr>
    </w:p>
    <w:p w14:paraId="196FCCCB">
      <w:pPr>
        <w:pStyle w:val="10"/>
        <w:adjustRightInd w:val="0"/>
        <w:snapToGrid w:val="0"/>
        <w:spacing w:line="360" w:lineRule="auto"/>
        <w:rPr>
          <w:rFonts w:hint="eastAsia" w:ascii="宋体" w:hAnsi="宋体" w:eastAsia="宋体" w:cs="宋体"/>
          <w:color w:val="auto"/>
          <w:highlight w:val="none"/>
        </w:rPr>
      </w:pPr>
    </w:p>
    <w:p w14:paraId="1CCE438D">
      <w:pPr>
        <w:pStyle w:val="10"/>
        <w:adjustRightInd w:val="0"/>
        <w:snapToGrid w:val="0"/>
        <w:spacing w:line="360" w:lineRule="auto"/>
        <w:rPr>
          <w:rFonts w:hint="eastAsia" w:ascii="宋体" w:hAnsi="宋体" w:eastAsia="宋体" w:cs="宋体"/>
          <w:color w:val="auto"/>
          <w:highlight w:val="none"/>
        </w:rPr>
      </w:pPr>
    </w:p>
    <w:p w14:paraId="7745416D">
      <w:pPr>
        <w:pStyle w:val="10"/>
        <w:adjustRightInd w:val="0"/>
        <w:snapToGrid w:val="0"/>
        <w:spacing w:line="360" w:lineRule="auto"/>
        <w:rPr>
          <w:rFonts w:hint="eastAsia" w:ascii="宋体" w:hAnsi="宋体" w:eastAsia="宋体" w:cs="宋体"/>
          <w:color w:val="auto"/>
          <w:highlight w:val="none"/>
        </w:rPr>
      </w:pPr>
    </w:p>
    <w:p w14:paraId="63A0B175">
      <w:pPr>
        <w:pStyle w:val="10"/>
        <w:adjustRightInd w:val="0"/>
        <w:snapToGrid w:val="0"/>
        <w:spacing w:line="360" w:lineRule="auto"/>
        <w:rPr>
          <w:rFonts w:hint="eastAsia" w:ascii="宋体" w:hAnsi="宋体" w:eastAsia="宋体" w:cs="宋体"/>
          <w:color w:val="auto"/>
          <w:highlight w:val="none"/>
        </w:rPr>
      </w:pPr>
    </w:p>
    <w:p w14:paraId="58BA5251">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72685D08">
      <w:pPr>
        <w:pStyle w:val="10"/>
        <w:adjustRightInd w:val="0"/>
        <w:snapToGrid w:val="0"/>
        <w:spacing w:line="360" w:lineRule="auto"/>
        <w:jc w:val="left"/>
        <w:rPr>
          <w:rFonts w:hint="eastAsia" w:ascii="宋体" w:hAnsi="宋体" w:eastAsia="宋体" w:cs="宋体"/>
          <w:color w:val="auto"/>
          <w:sz w:val="28"/>
          <w:szCs w:val="28"/>
          <w:highlight w:val="none"/>
        </w:rPr>
      </w:pPr>
    </w:p>
    <w:p w14:paraId="0673AEAD">
      <w:pPr>
        <w:pStyle w:val="10"/>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4A1ECA3A">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6AE65210">
      <w:pPr>
        <w:pStyle w:val="4"/>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7976540E">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7DD73D85">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6A3E1E94">
      <w:pPr>
        <w:pStyle w:val="4"/>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5161C002">
      <w:pPr>
        <w:pStyle w:val="4"/>
        <w:spacing w:line="360" w:lineRule="auto"/>
        <w:ind w:firstLine="573"/>
        <w:rPr>
          <w:rFonts w:hint="eastAsia" w:ascii="宋体" w:hAnsi="宋体" w:eastAsia="宋体" w:cs="宋体"/>
          <w:color w:val="auto"/>
          <w:sz w:val="21"/>
          <w:szCs w:val="21"/>
          <w:highlight w:val="none"/>
        </w:rPr>
      </w:pPr>
    </w:p>
    <w:p w14:paraId="4C15A2AA">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28BA6737">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3637F6DF">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3955144">
      <w:pPr>
        <w:pStyle w:val="4"/>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2D4159E8">
      <w:pPr>
        <w:pStyle w:val="4"/>
        <w:spacing w:line="360" w:lineRule="auto"/>
        <w:ind w:firstLine="0"/>
        <w:rPr>
          <w:rFonts w:hint="eastAsia" w:ascii="宋体" w:hAnsi="宋体" w:eastAsia="宋体" w:cs="宋体"/>
          <w:color w:val="auto"/>
          <w:sz w:val="20"/>
          <w:szCs w:val="20"/>
          <w:highlight w:val="none"/>
        </w:rPr>
      </w:pPr>
    </w:p>
    <w:p w14:paraId="456CD2CD">
      <w:pPr>
        <w:pStyle w:val="10"/>
        <w:adjustRightInd w:val="0"/>
        <w:snapToGrid w:val="0"/>
        <w:spacing w:line="360" w:lineRule="auto"/>
        <w:jc w:val="left"/>
        <w:rPr>
          <w:rFonts w:hint="eastAsia" w:ascii="宋体" w:hAnsi="宋体" w:eastAsia="宋体" w:cs="宋体"/>
          <w:b/>
          <w:color w:val="auto"/>
          <w:sz w:val="24"/>
          <w:szCs w:val="24"/>
          <w:highlight w:val="none"/>
        </w:rPr>
      </w:pPr>
    </w:p>
    <w:p w14:paraId="31C632D1">
      <w:pPr>
        <w:pStyle w:val="10"/>
        <w:adjustRightInd w:val="0"/>
        <w:snapToGrid w:val="0"/>
        <w:spacing w:line="360" w:lineRule="auto"/>
        <w:rPr>
          <w:rFonts w:hint="eastAsia" w:ascii="宋体" w:hAnsi="宋体" w:eastAsia="宋体" w:cs="宋体"/>
          <w:b/>
          <w:color w:val="auto"/>
          <w:sz w:val="36"/>
          <w:szCs w:val="36"/>
          <w:highlight w:val="none"/>
        </w:rPr>
      </w:pPr>
    </w:p>
    <w:p w14:paraId="204F50E6">
      <w:pPr>
        <w:pStyle w:val="10"/>
        <w:adjustRightInd w:val="0"/>
        <w:snapToGrid w:val="0"/>
        <w:spacing w:line="360" w:lineRule="auto"/>
        <w:jc w:val="center"/>
        <w:rPr>
          <w:rFonts w:hint="eastAsia" w:ascii="宋体" w:hAnsi="宋体" w:eastAsia="宋体" w:cs="宋体"/>
          <w:color w:val="auto"/>
          <w:sz w:val="36"/>
          <w:szCs w:val="36"/>
          <w:highlight w:val="none"/>
        </w:rPr>
      </w:pPr>
    </w:p>
    <w:p w14:paraId="00D48191">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1CC4EF7">
      <w:pPr>
        <w:pStyle w:val="10"/>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3.</w:t>
      </w:r>
      <w:r>
        <w:rPr>
          <w:rFonts w:hint="eastAsia" w:ascii="宋体" w:hAnsi="宋体" w:eastAsia="宋体" w:cs="宋体"/>
          <w:b/>
          <w:bCs/>
          <w:color w:val="auto"/>
          <w:sz w:val="36"/>
          <w:szCs w:val="36"/>
          <w:highlight w:val="none"/>
        </w:rPr>
        <w:t>缴纳社会保障资金证明</w:t>
      </w:r>
    </w:p>
    <w:p w14:paraId="66CCC4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28E0A2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0390B6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4824F6E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7DED4BFE">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2BF417A9">
      <w:pPr>
        <w:pStyle w:val="10"/>
        <w:adjustRightInd w:val="0"/>
        <w:snapToGrid w:val="0"/>
        <w:spacing w:line="360" w:lineRule="auto"/>
        <w:ind w:firstLine="482"/>
        <w:rPr>
          <w:rFonts w:hint="eastAsia" w:ascii="宋体" w:hAnsi="宋体" w:eastAsia="宋体" w:cs="宋体"/>
          <w:color w:val="auto"/>
          <w:sz w:val="22"/>
          <w:szCs w:val="18"/>
          <w:highlight w:val="none"/>
        </w:rPr>
      </w:pPr>
    </w:p>
    <w:p w14:paraId="477F6473">
      <w:pPr>
        <w:pStyle w:val="4"/>
        <w:spacing w:line="360" w:lineRule="auto"/>
        <w:ind w:firstLine="0"/>
        <w:rPr>
          <w:rFonts w:hint="eastAsia" w:ascii="宋体" w:hAnsi="宋体" w:eastAsia="宋体" w:cs="宋体"/>
          <w:b/>
          <w:color w:val="auto"/>
          <w:sz w:val="24"/>
          <w:szCs w:val="20"/>
          <w:highlight w:val="none"/>
        </w:rPr>
      </w:pPr>
    </w:p>
    <w:p w14:paraId="76768589">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64F3351">
      <w:pPr>
        <w:pStyle w:val="4"/>
        <w:spacing w:line="360" w:lineRule="auto"/>
        <w:ind w:firstLine="0"/>
        <w:rPr>
          <w:rFonts w:hint="eastAsia" w:ascii="宋体" w:hAnsi="宋体" w:eastAsia="宋体" w:cs="宋体"/>
          <w:b/>
          <w:color w:val="auto"/>
          <w:szCs w:val="21"/>
          <w:highlight w:val="none"/>
        </w:rPr>
      </w:pPr>
    </w:p>
    <w:p w14:paraId="666CFEB5">
      <w:pPr>
        <w:pStyle w:val="4"/>
        <w:spacing w:line="360" w:lineRule="auto"/>
        <w:ind w:firstLine="0"/>
        <w:rPr>
          <w:rFonts w:hint="eastAsia" w:ascii="宋体" w:hAnsi="宋体" w:eastAsia="宋体" w:cs="宋体"/>
          <w:b/>
          <w:color w:val="auto"/>
          <w:szCs w:val="21"/>
          <w:highlight w:val="none"/>
        </w:rPr>
      </w:pPr>
    </w:p>
    <w:p w14:paraId="2FEBD822">
      <w:pPr>
        <w:pStyle w:val="4"/>
        <w:spacing w:line="360" w:lineRule="auto"/>
        <w:ind w:firstLine="0"/>
        <w:rPr>
          <w:rFonts w:hint="eastAsia" w:ascii="宋体" w:hAnsi="宋体" w:eastAsia="宋体" w:cs="宋体"/>
          <w:b/>
          <w:color w:val="auto"/>
          <w:szCs w:val="21"/>
          <w:highlight w:val="none"/>
        </w:rPr>
      </w:pPr>
    </w:p>
    <w:p w14:paraId="17375585">
      <w:pPr>
        <w:pStyle w:val="4"/>
        <w:spacing w:line="360" w:lineRule="auto"/>
        <w:ind w:firstLine="0"/>
        <w:rPr>
          <w:rFonts w:hint="eastAsia" w:ascii="宋体" w:hAnsi="宋体" w:eastAsia="宋体" w:cs="宋体"/>
          <w:b/>
          <w:color w:val="auto"/>
          <w:szCs w:val="21"/>
          <w:highlight w:val="none"/>
        </w:rPr>
      </w:pPr>
    </w:p>
    <w:p w14:paraId="092B5D76">
      <w:pPr>
        <w:pStyle w:val="4"/>
        <w:spacing w:line="360" w:lineRule="auto"/>
        <w:ind w:firstLine="0"/>
        <w:rPr>
          <w:rFonts w:hint="eastAsia" w:ascii="宋体" w:hAnsi="宋体" w:eastAsia="宋体" w:cs="宋体"/>
          <w:b/>
          <w:color w:val="auto"/>
          <w:szCs w:val="21"/>
          <w:highlight w:val="none"/>
        </w:rPr>
      </w:pPr>
    </w:p>
    <w:p w14:paraId="79A0E8BD">
      <w:pPr>
        <w:pStyle w:val="4"/>
        <w:spacing w:line="360" w:lineRule="auto"/>
        <w:ind w:firstLine="0"/>
        <w:rPr>
          <w:rFonts w:hint="eastAsia" w:ascii="宋体" w:hAnsi="宋体" w:eastAsia="宋体" w:cs="宋体"/>
          <w:b/>
          <w:color w:val="auto"/>
          <w:szCs w:val="21"/>
          <w:highlight w:val="none"/>
        </w:rPr>
      </w:pPr>
    </w:p>
    <w:p w14:paraId="7247C1E9">
      <w:pPr>
        <w:pStyle w:val="4"/>
        <w:spacing w:line="360" w:lineRule="auto"/>
        <w:ind w:firstLine="0"/>
        <w:rPr>
          <w:rFonts w:hint="eastAsia" w:ascii="宋体" w:hAnsi="宋体" w:eastAsia="宋体" w:cs="宋体"/>
          <w:b/>
          <w:color w:val="auto"/>
          <w:szCs w:val="21"/>
          <w:highlight w:val="none"/>
        </w:rPr>
      </w:pPr>
    </w:p>
    <w:p w14:paraId="3026FAEC">
      <w:pPr>
        <w:pStyle w:val="4"/>
        <w:spacing w:line="360" w:lineRule="auto"/>
        <w:ind w:firstLine="0"/>
        <w:rPr>
          <w:rFonts w:hint="eastAsia" w:ascii="宋体" w:hAnsi="宋体" w:eastAsia="宋体" w:cs="宋体"/>
          <w:b/>
          <w:color w:val="auto"/>
          <w:szCs w:val="21"/>
          <w:highlight w:val="none"/>
        </w:rPr>
      </w:pPr>
    </w:p>
    <w:p w14:paraId="60CEC675">
      <w:pPr>
        <w:pStyle w:val="4"/>
        <w:spacing w:line="360" w:lineRule="auto"/>
        <w:ind w:firstLine="0"/>
        <w:rPr>
          <w:rFonts w:hint="eastAsia" w:ascii="宋体" w:hAnsi="宋体" w:eastAsia="宋体" w:cs="宋体"/>
          <w:b/>
          <w:color w:val="auto"/>
          <w:szCs w:val="21"/>
          <w:highlight w:val="none"/>
        </w:rPr>
      </w:pPr>
    </w:p>
    <w:p w14:paraId="546ED7A6">
      <w:pPr>
        <w:pStyle w:val="4"/>
        <w:spacing w:line="360" w:lineRule="auto"/>
        <w:ind w:firstLine="0"/>
        <w:rPr>
          <w:rFonts w:hint="eastAsia" w:ascii="宋体" w:hAnsi="宋体" w:eastAsia="宋体" w:cs="宋体"/>
          <w:b/>
          <w:color w:val="auto"/>
          <w:szCs w:val="21"/>
          <w:highlight w:val="none"/>
        </w:rPr>
      </w:pPr>
    </w:p>
    <w:p w14:paraId="4C17DF17">
      <w:pPr>
        <w:pStyle w:val="4"/>
        <w:spacing w:line="360" w:lineRule="auto"/>
        <w:ind w:firstLine="0"/>
        <w:rPr>
          <w:rFonts w:hint="eastAsia" w:ascii="宋体" w:hAnsi="宋体" w:eastAsia="宋体" w:cs="宋体"/>
          <w:b/>
          <w:color w:val="auto"/>
          <w:szCs w:val="21"/>
          <w:highlight w:val="none"/>
        </w:rPr>
      </w:pPr>
    </w:p>
    <w:p w14:paraId="6ADEF741">
      <w:pPr>
        <w:pStyle w:val="4"/>
        <w:spacing w:line="360" w:lineRule="auto"/>
        <w:ind w:firstLine="0"/>
        <w:rPr>
          <w:rFonts w:hint="eastAsia" w:ascii="宋体" w:hAnsi="宋体" w:eastAsia="宋体" w:cs="宋体"/>
          <w:b/>
          <w:color w:val="auto"/>
          <w:szCs w:val="21"/>
          <w:highlight w:val="none"/>
        </w:rPr>
      </w:pPr>
    </w:p>
    <w:p w14:paraId="68AF4D24">
      <w:pPr>
        <w:pStyle w:val="4"/>
        <w:spacing w:line="360" w:lineRule="auto"/>
        <w:ind w:firstLine="0"/>
        <w:rPr>
          <w:rFonts w:hint="eastAsia" w:ascii="宋体" w:hAnsi="宋体" w:eastAsia="宋体" w:cs="宋体"/>
          <w:b/>
          <w:color w:val="auto"/>
          <w:szCs w:val="21"/>
          <w:highlight w:val="none"/>
        </w:rPr>
      </w:pPr>
    </w:p>
    <w:p w14:paraId="416701C2">
      <w:pPr>
        <w:pStyle w:val="4"/>
        <w:spacing w:line="360" w:lineRule="auto"/>
        <w:ind w:firstLine="0"/>
        <w:rPr>
          <w:rFonts w:hint="eastAsia" w:ascii="宋体" w:hAnsi="宋体" w:eastAsia="宋体" w:cs="宋体"/>
          <w:b/>
          <w:color w:val="auto"/>
          <w:szCs w:val="21"/>
          <w:highlight w:val="none"/>
        </w:rPr>
      </w:pPr>
    </w:p>
    <w:p w14:paraId="42952727">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754D5188">
      <w:pPr>
        <w:pStyle w:val="10"/>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379DDB71">
      <w:pPr>
        <w:pStyle w:val="10"/>
        <w:adjustRightInd w:val="0"/>
        <w:snapToGrid w:val="0"/>
        <w:spacing w:line="360" w:lineRule="auto"/>
        <w:jc w:val="left"/>
        <w:rPr>
          <w:rFonts w:hint="eastAsia" w:ascii="宋体" w:hAnsi="宋体" w:eastAsia="宋体" w:cs="宋体"/>
          <w:color w:val="auto"/>
          <w:sz w:val="21"/>
          <w:szCs w:val="21"/>
          <w:highlight w:val="none"/>
        </w:rPr>
      </w:pPr>
    </w:p>
    <w:p w14:paraId="2D50AFBB">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3BB1C883">
      <w:pPr>
        <w:pStyle w:val="4"/>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08D9380E">
      <w:pPr>
        <w:pStyle w:val="4"/>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4D7602B9">
      <w:pPr>
        <w:pStyle w:val="4"/>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7B6F28EE">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2C88AA59">
      <w:pPr>
        <w:pStyle w:val="4"/>
        <w:spacing w:line="360" w:lineRule="auto"/>
        <w:ind w:firstLine="573"/>
        <w:jc w:val="left"/>
        <w:rPr>
          <w:rFonts w:hint="eastAsia" w:ascii="宋体" w:hAnsi="宋体" w:eastAsia="宋体" w:cs="宋体"/>
          <w:color w:val="auto"/>
          <w:sz w:val="22"/>
          <w:szCs w:val="22"/>
          <w:highlight w:val="none"/>
        </w:rPr>
      </w:pPr>
    </w:p>
    <w:p w14:paraId="2166EC98">
      <w:pPr>
        <w:pStyle w:val="4"/>
        <w:spacing w:line="360" w:lineRule="auto"/>
        <w:ind w:firstLine="573"/>
        <w:jc w:val="left"/>
        <w:rPr>
          <w:rFonts w:hint="eastAsia" w:ascii="宋体" w:hAnsi="宋体" w:eastAsia="宋体" w:cs="宋体"/>
          <w:color w:val="auto"/>
          <w:sz w:val="22"/>
          <w:szCs w:val="22"/>
          <w:highlight w:val="none"/>
        </w:rPr>
      </w:pPr>
    </w:p>
    <w:p w14:paraId="1F49C820">
      <w:pPr>
        <w:pStyle w:val="4"/>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1F1C6A2E">
      <w:pPr>
        <w:pStyle w:val="4"/>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9D53E72">
      <w:pPr>
        <w:pStyle w:val="4"/>
        <w:spacing w:line="360" w:lineRule="auto"/>
        <w:ind w:firstLine="573"/>
        <w:jc w:val="left"/>
        <w:rPr>
          <w:rFonts w:hint="eastAsia" w:ascii="宋体" w:hAnsi="宋体" w:eastAsia="宋体" w:cs="宋体"/>
          <w:color w:val="auto"/>
          <w:sz w:val="22"/>
          <w:szCs w:val="22"/>
          <w:highlight w:val="none"/>
        </w:rPr>
      </w:pPr>
    </w:p>
    <w:p w14:paraId="4749C564">
      <w:pPr>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br w:type="page"/>
      </w:r>
    </w:p>
    <w:p w14:paraId="22CDD0B4">
      <w:pPr>
        <w:pStyle w:val="10"/>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4</w:t>
      </w:r>
      <w:r>
        <w:rPr>
          <w:rFonts w:hint="eastAsia" w:hAnsi="宋体" w:eastAsia="宋体" w:cs="宋体"/>
          <w:b/>
          <w:bCs/>
          <w:color w:val="auto"/>
          <w:sz w:val="36"/>
          <w:szCs w:val="36"/>
          <w:highlight w:val="none"/>
          <w:lang w:val="en-US" w:eastAsia="zh-CN"/>
        </w:rPr>
        <w:t>.</w:t>
      </w:r>
      <w:r>
        <w:rPr>
          <w:rFonts w:hint="eastAsia" w:ascii="宋体" w:hAnsi="宋体" w:eastAsia="宋体" w:cs="宋体"/>
          <w:b/>
          <w:bCs/>
          <w:color w:val="auto"/>
          <w:sz w:val="36"/>
          <w:szCs w:val="36"/>
          <w:highlight w:val="none"/>
          <w:lang w:val="en-US" w:eastAsia="zh-CN"/>
        </w:rPr>
        <w:t>被授权代表的身份证复印件以及2025年1月至今任意时段在本单位注册的已缴纳的社会保障资金缴存单据或社保机构开具的社会保险参保缴费情况证明</w:t>
      </w:r>
    </w:p>
    <w:p w14:paraId="0E811390">
      <w:pPr>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br w:type="page"/>
      </w:r>
    </w:p>
    <w:p w14:paraId="1B79885A">
      <w:pPr>
        <w:pStyle w:val="10"/>
        <w:numPr>
          <w:ilvl w:val="0"/>
          <w:numId w:val="0"/>
        </w:numPr>
        <w:adjustRightInd w:val="0"/>
        <w:snapToGrid w:val="0"/>
        <w:spacing w:line="360" w:lineRule="auto"/>
        <w:jc w:val="left"/>
        <w:outlineLvl w:val="2"/>
        <w:rPr>
          <w:rFonts w:hint="default" w:ascii="宋体" w:hAnsi="宋体" w:eastAsia="宋体" w:cs="宋体"/>
          <w:b/>
          <w:bCs/>
          <w:color w:val="auto"/>
          <w:sz w:val="36"/>
          <w:szCs w:val="36"/>
          <w:highlight w:val="none"/>
          <w:lang w:val="en-US" w:eastAsia="zh-CN"/>
        </w:rPr>
      </w:pPr>
      <w:r>
        <w:rPr>
          <w:rFonts w:hint="eastAsia" w:hAnsi="宋体" w:eastAsia="宋体" w:cs="宋体"/>
          <w:b/>
          <w:bCs/>
          <w:color w:val="auto"/>
          <w:sz w:val="36"/>
          <w:szCs w:val="36"/>
          <w:highlight w:val="none"/>
          <w:lang w:val="en-US" w:eastAsia="zh-CN"/>
        </w:rPr>
        <w:t>5.成交供应商的业绩(业绩需与磋商响应文件中所提供的保持一致)</w:t>
      </w:r>
    </w:p>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8"/>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0A1CAA"/>
    <w:rsid w:val="001A4716"/>
    <w:rsid w:val="00304401"/>
    <w:rsid w:val="00392DDA"/>
    <w:rsid w:val="003A7879"/>
    <w:rsid w:val="00613F9E"/>
    <w:rsid w:val="01457570"/>
    <w:rsid w:val="0195764A"/>
    <w:rsid w:val="01E07299"/>
    <w:rsid w:val="01ED6C4B"/>
    <w:rsid w:val="02B81158"/>
    <w:rsid w:val="02F565AE"/>
    <w:rsid w:val="03655152"/>
    <w:rsid w:val="039931C3"/>
    <w:rsid w:val="03FD4132"/>
    <w:rsid w:val="042532DE"/>
    <w:rsid w:val="046E53FF"/>
    <w:rsid w:val="04785EAF"/>
    <w:rsid w:val="050322E0"/>
    <w:rsid w:val="05070289"/>
    <w:rsid w:val="059960DD"/>
    <w:rsid w:val="059E0E0E"/>
    <w:rsid w:val="05B66C8F"/>
    <w:rsid w:val="05BB5618"/>
    <w:rsid w:val="060318FF"/>
    <w:rsid w:val="0604098B"/>
    <w:rsid w:val="06331B04"/>
    <w:rsid w:val="069418C6"/>
    <w:rsid w:val="06AB2E80"/>
    <w:rsid w:val="06C673A5"/>
    <w:rsid w:val="06D22095"/>
    <w:rsid w:val="074D717F"/>
    <w:rsid w:val="079160F7"/>
    <w:rsid w:val="07990616"/>
    <w:rsid w:val="08316AA1"/>
    <w:rsid w:val="0844581F"/>
    <w:rsid w:val="08A01700"/>
    <w:rsid w:val="09774987"/>
    <w:rsid w:val="09E65669"/>
    <w:rsid w:val="0A0B72F0"/>
    <w:rsid w:val="0A510FA4"/>
    <w:rsid w:val="0AC459AA"/>
    <w:rsid w:val="0B0C4E07"/>
    <w:rsid w:val="0B3B0E16"/>
    <w:rsid w:val="0BC80B0B"/>
    <w:rsid w:val="0C6451D2"/>
    <w:rsid w:val="0CD33710"/>
    <w:rsid w:val="0D2210AE"/>
    <w:rsid w:val="0D460B9B"/>
    <w:rsid w:val="0DCE6B40"/>
    <w:rsid w:val="0E2A646C"/>
    <w:rsid w:val="0E5232CD"/>
    <w:rsid w:val="0E785B95"/>
    <w:rsid w:val="0F041E04"/>
    <w:rsid w:val="0F114F36"/>
    <w:rsid w:val="0F583FCC"/>
    <w:rsid w:val="0F7301AD"/>
    <w:rsid w:val="101A3658"/>
    <w:rsid w:val="10EE19D3"/>
    <w:rsid w:val="11423ACC"/>
    <w:rsid w:val="11DB182B"/>
    <w:rsid w:val="122E4051"/>
    <w:rsid w:val="123D4149"/>
    <w:rsid w:val="12712DC5"/>
    <w:rsid w:val="12D827CA"/>
    <w:rsid w:val="12DE7274"/>
    <w:rsid w:val="12E52961"/>
    <w:rsid w:val="12F42BA4"/>
    <w:rsid w:val="130E10A5"/>
    <w:rsid w:val="13187154"/>
    <w:rsid w:val="13906D71"/>
    <w:rsid w:val="13954387"/>
    <w:rsid w:val="13DA637D"/>
    <w:rsid w:val="14321FDC"/>
    <w:rsid w:val="145A2D06"/>
    <w:rsid w:val="146908EC"/>
    <w:rsid w:val="14B468BF"/>
    <w:rsid w:val="155D0ED5"/>
    <w:rsid w:val="158F4E06"/>
    <w:rsid w:val="15F555B1"/>
    <w:rsid w:val="16450797"/>
    <w:rsid w:val="164812CA"/>
    <w:rsid w:val="16897F26"/>
    <w:rsid w:val="168A13B6"/>
    <w:rsid w:val="169F7940"/>
    <w:rsid w:val="16DC407B"/>
    <w:rsid w:val="172E1B66"/>
    <w:rsid w:val="174A7237"/>
    <w:rsid w:val="179867CD"/>
    <w:rsid w:val="17CC179E"/>
    <w:rsid w:val="17EC1143"/>
    <w:rsid w:val="18701DE2"/>
    <w:rsid w:val="18832EBA"/>
    <w:rsid w:val="18BA6619"/>
    <w:rsid w:val="18D70F9E"/>
    <w:rsid w:val="190A2371"/>
    <w:rsid w:val="19157D18"/>
    <w:rsid w:val="1931064F"/>
    <w:rsid w:val="193E2DCB"/>
    <w:rsid w:val="19D454DE"/>
    <w:rsid w:val="19E5593D"/>
    <w:rsid w:val="1A3364B0"/>
    <w:rsid w:val="1BA14A89"/>
    <w:rsid w:val="1BCE5670"/>
    <w:rsid w:val="1BEA74D5"/>
    <w:rsid w:val="1C1239AC"/>
    <w:rsid w:val="1C60602A"/>
    <w:rsid w:val="1C7D00AF"/>
    <w:rsid w:val="1CEB17A5"/>
    <w:rsid w:val="1CF55718"/>
    <w:rsid w:val="1D182BB5"/>
    <w:rsid w:val="1D540E0F"/>
    <w:rsid w:val="1D545E85"/>
    <w:rsid w:val="1D73672D"/>
    <w:rsid w:val="1D7F79EF"/>
    <w:rsid w:val="1D9A259A"/>
    <w:rsid w:val="1DA653E3"/>
    <w:rsid w:val="1DE663D2"/>
    <w:rsid w:val="1E89232D"/>
    <w:rsid w:val="1EF90A2F"/>
    <w:rsid w:val="1F021EDA"/>
    <w:rsid w:val="1F2F3B72"/>
    <w:rsid w:val="1F3F164B"/>
    <w:rsid w:val="2020322B"/>
    <w:rsid w:val="21025026"/>
    <w:rsid w:val="21075857"/>
    <w:rsid w:val="21076199"/>
    <w:rsid w:val="21751354"/>
    <w:rsid w:val="217E75E8"/>
    <w:rsid w:val="21885FF9"/>
    <w:rsid w:val="21D36530"/>
    <w:rsid w:val="22221FE9"/>
    <w:rsid w:val="224C47AB"/>
    <w:rsid w:val="22550BDA"/>
    <w:rsid w:val="23080E27"/>
    <w:rsid w:val="23B00D6A"/>
    <w:rsid w:val="23E0672D"/>
    <w:rsid w:val="243C43AB"/>
    <w:rsid w:val="243E7697"/>
    <w:rsid w:val="24763D61"/>
    <w:rsid w:val="24EA72F8"/>
    <w:rsid w:val="256764B5"/>
    <w:rsid w:val="26E637E0"/>
    <w:rsid w:val="27027B2E"/>
    <w:rsid w:val="271F18C1"/>
    <w:rsid w:val="272546E7"/>
    <w:rsid w:val="277E31B0"/>
    <w:rsid w:val="27D75F18"/>
    <w:rsid w:val="2808699B"/>
    <w:rsid w:val="284657F9"/>
    <w:rsid w:val="285D489A"/>
    <w:rsid w:val="28CE644C"/>
    <w:rsid w:val="28F811E9"/>
    <w:rsid w:val="29170DC4"/>
    <w:rsid w:val="294E7E06"/>
    <w:rsid w:val="29712D49"/>
    <w:rsid w:val="29E3027D"/>
    <w:rsid w:val="2A862824"/>
    <w:rsid w:val="2AD05911"/>
    <w:rsid w:val="2B006133"/>
    <w:rsid w:val="2B456F77"/>
    <w:rsid w:val="2B7E174D"/>
    <w:rsid w:val="2BBE7D9C"/>
    <w:rsid w:val="2C091017"/>
    <w:rsid w:val="2CAF6062"/>
    <w:rsid w:val="2D0068BE"/>
    <w:rsid w:val="2D2D6F87"/>
    <w:rsid w:val="2D447E8A"/>
    <w:rsid w:val="2E854D74"/>
    <w:rsid w:val="2EA72D69"/>
    <w:rsid w:val="2F1F0B51"/>
    <w:rsid w:val="2F8512FC"/>
    <w:rsid w:val="2F9D1443"/>
    <w:rsid w:val="2FBD2846"/>
    <w:rsid w:val="30620A30"/>
    <w:rsid w:val="309537C1"/>
    <w:rsid w:val="309D4424"/>
    <w:rsid w:val="30A07F8A"/>
    <w:rsid w:val="30C25E89"/>
    <w:rsid w:val="313C3C3D"/>
    <w:rsid w:val="31BC4D7D"/>
    <w:rsid w:val="31D71BB7"/>
    <w:rsid w:val="32511317"/>
    <w:rsid w:val="32917FB8"/>
    <w:rsid w:val="3307027A"/>
    <w:rsid w:val="33233306"/>
    <w:rsid w:val="33245604"/>
    <w:rsid w:val="332E5807"/>
    <w:rsid w:val="33560890"/>
    <w:rsid w:val="33B84A98"/>
    <w:rsid w:val="34AC10D9"/>
    <w:rsid w:val="34D128B0"/>
    <w:rsid w:val="35BD11DD"/>
    <w:rsid w:val="360D4516"/>
    <w:rsid w:val="369D13B4"/>
    <w:rsid w:val="36E83F1F"/>
    <w:rsid w:val="372C7136"/>
    <w:rsid w:val="3738787F"/>
    <w:rsid w:val="377B2DF7"/>
    <w:rsid w:val="385C3672"/>
    <w:rsid w:val="38CA5FD2"/>
    <w:rsid w:val="38CC7F9C"/>
    <w:rsid w:val="38E075A3"/>
    <w:rsid w:val="39516B04"/>
    <w:rsid w:val="39581EFF"/>
    <w:rsid w:val="395835DE"/>
    <w:rsid w:val="3982065B"/>
    <w:rsid w:val="39A922BE"/>
    <w:rsid w:val="3A004EDF"/>
    <w:rsid w:val="3A343433"/>
    <w:rsid w:val="3A59760D"/>
    <w:rsid w:val="3A9C399E"/>
    <w:rsid w:val="3AAE58B3"/>
    <w:rsid w:val="3AD43195"/>
    <w:rsid w:val="3AD969A0"/>
    <w:rsid w:val="3AFA0DF0"/>
    <w:rsid w:val="3B5424B5"/>
    <w:rsid w:val="3C3B10F1"/>
    <w:rsid w:val="3D021D02"/>
    <w:rsid w:val="3D122796"/>
    <w:rsid w:val="3D246119"/>
    <w:rsid w:val="3D2F0AF9"/>
    <w:rsid w:val="3D6562C9"/>
    <w:rsid w:val="3D9559C0"/>
    <w:rsid w:val="3DA2751D"/>
    <w:rsid w:val="3E0C3B84"/>
    <w:rsid w:val="3E1D6BA4"/>
    <w:rsid w:val="3E6B328C"/>
    <w:rsid w:val="3ED835C0"/>
    <w:rsid w:val="3F4F0FDF"/>
    <w:rsid w:val="3F8D4B70"/>
    <w:rsid w:val="3FC16215"/>
    <w:rsid w:val="3FE57D53"/>
    <w:rsid w:val="40170381"/>
    <w:rsid w:val="4037219F"/>
    <w:rsid w:val="406B19EA"/>
    <w:rsid w:val="40703903"/>
    <w:rsid w:val="40C24EEA"/>
    <w:rsid w:val="41040AA3"/>
    <w:rsid w:val="412903DE"/>
    <w:rsid w:val="414172BF"/>
    <w:rsid w:val="41994793"/>
    <w:rsid w:val="41CD78F6"/>
    <w:rsid w:val="41EF6DBB"/>
    <w:rsid w:val="429C7CE4"/>
    <w:rsid w:val="42C24D65"/>
    <w:rsid w:val="42C83582"/>
    <w:rsid w:val="432B58BF"/>
    <w:rsid w:val="432E2F98"/>
    <w:rsid w:val="436F7EA2"/>
    <w:rsid w:val="43917E43"/>
    <w:rsid w:val="43C828D7"/>
    <w:rsid w:val="43E50164"/>
    <w:rsid w:val="443230E3"/>
    <w:rsid w:val="447339C1"/>
    <w:rsid w:val="44DD6A57"/>
    <w:rsid w:val="44E14E62"/>
    <w:rsid w:val="45070D4A"/>
    <w:rsid w:val="45316955"/>
    <w:rsid w:val="45947D06"/>
    <w:rsid w:val="459B6D2C"/>
    <w:rsid w:val="45C20410"/>
    <w:rsid w:val="47504DA7"/>
    <w:rsid w:val="478D1E8A"/>
    <w:rsid w:val="479D0B21"/>
    <w:rsid w:val="47A16F94"/>
    <w:rsid w:val="47C6260A"/>
    <w:rsid w:val="487B4BF3"/>
    <w:rsid w:val="48A56114"/>
    <w:rsid w:val="48A95C04"/>
    <w:rsid w:val="48BC56F7"/>
    <w:rsid w:val="48F84495"/>
    <w:rsid w:val="48FD1AAC"/>
    <w:rsid w:val="49064E04"/>
    <w:rsid w:val="490A4B4C"/>
    <w:rsid w:val="493E5472"/>
    <w:rsid w:val="498F76F4"/>
    <w:rsid w:val="49957C45"/>
    <w:rsid w:val="4A57286A"/>
    <w:rsid w:val="4A5D727D"/>
    <w:rsid w:val="4AE92146"/>
    <w:rsid w:val="4B1126E4"/>
    <w:rsid w:val="4C384CF0"/>
    <w:rsid w:val="4C4B0D80"/>
    <w:rsid w:val="4D022CEF"/>
    <w:rsid w:val="4D491763"/>
    <w:rsid w:val="4E3221F7"/>
    <w:rsid w:val="4E942DFC"/>
    <w:rsid w:val="4ECF5C98"/>
    <w:rsid w:val="50045AFA"/>
    <w:rsid w:val="50243DC2"/>
    <w:rsid w:val="50494674"/>
    <w:rsid w:val="51354A19"/>
    <w:rsid w:val="51E66719"/>
    <w:rsid w:val="521B67F5"/>
    <w:rsid w:val="53005A6E"/>
    <w:rsid w:val="5330603D"/>
    <w:rsid w:val="53563324"/>
    <w:rsid w:val="53933738"/>
    <w:rsid w:val="53962C9E"/>
    <w:rsid w:val="53D8114B"/>
    <w:rsid w:val="540863CD"/>
    <w:rsid w:val="54A92AE8"/>
    <w:rsid w:val="54C664CE"/>
    <w:rsid w:val="55055F70"/>
    <w:rsid w:val="55147ABA"/>
    <w:rsid w:val="55200FFC"/>
    <w:rsid w:val="553F1336"/>
    <w:rsid w:val="55641CD4"/>
    <w:rsid w:val="55AC288F"/>
    <w:rsid w:val="55B20855"/>
    <w:rsid w:val="55D2437A"/>
    <w:rsid w:val="56577B55"/>
    <w:rsid w:val="56A66BBF"/>
    <w:rsid w:val="57321076"/>
    <w:rsid w:val="575974EA"/>
    <w:rsid w:val="58816255"/>
    <w:rsid w:val="5890055A"/>
    <w:rsid w:val="58AD704A"/>
    <w:rsid w:val="58EF1411"/>
    <w:rsid w:val="58F702C5"/>
    <w:rsid w:val="58FA5D68"/>
    <w:rsid w:val="5901420F"/>
    <w:rsid w:val="592927C8"/>
    <w:rsid w:val="59601C33"/>
    <w:rsid w:val="5970139A"/>
    <w:rsid w:val="599D70BF"/>
    <w:rsid w:val="599E2E37"/>
    <w:rsid w:val="59B82194"/>
    <w:rsid w:val="5A1412C3"/>
    <w:rsid w:val="5A184997"/>
    <w:rsid w:val="5A690D4F"/>
    <w:rsid w:val="5A955FE8"/>
    <w:rsid w:val="5ADC2A5C"/>
    <w:rsid w:val="5B064A10"/>
    <w:rsid w:val="5B1C2BF5"/>
    <w:rsid w:val="5B6C39BC"/>
    <w:rsid w:val="5BC00E43"/>
    <w:rsid w:val="5BC52305"/>
    <w:rsid w:val="5C451348"/>
    <w:rsid w:val="5C473312"/>
    <w:rsid w:val="5C4933C0"/>
    <w:rsid w:val="5C5F68AD"/>
    <w:rsid w:val="5C6B12CC"/>
    <w:rsid w:val="5CB87D6C"/>
    <w:rsid w:val="5CC65E23"/>
    <w:rsid w:val="5CCB4A8E"/>
    <w:rsid w:val="5CDA23D8"/>
    <w:rsid w:val="5CE047AB"/>
    <w:rsid w:val="5CF54B1C"/>
    <w:rsid w:val="5D5A0E23"/>
    <w:rsid w:val="5D8F2E94"/>
    <w:rsid w:val="5ED74E21"/>
    <w:rsid w:val="5F3A0F0C"/>
    <w:rsid w:val="5FFF5CB2"/>
    <w:rsid w:val="600E24AE"/>
    <w:rsid w:val="601D776A"/>
    <w:rsid w:val="601F1CF2"/>
    <w:rsid w:val="61001CE1"/>
    <w:rsid w:val="612C0D28"/>
    <w:rsid w:val="6142054C"/>
    <w:rsid w:val="616133ED"/>
    <w:rsid w:val="61BD5789"/>
    <w:rsid w:val="61DE64C6"/>
    <w:rsid w:val="61FA0039"/>
    <w:rsid w:val="6223212B"/>
    <w:rsid w:val="626764BC"/>
    <w:rsid w:val="627272E8"/>
    <w:rsid w:val="62E775FD"/>
    <w:rsid w:val="633313EF"/>
    <w:rsid w:val="634B4390"/>
    <w:rsid w:val="63680C03"/>
    <w:rsid w:val="637662F0"/>
    <w:rsid w:val="63894210"/>
    <w:rsid w:val="638D4142"/>
    <w:rsid w:val="63D41AD1"/>
    <w:rsid w:val="63D455FE"/>
    <w:rsid w:val="64080498"/>
    <w:rsid w:val="645B3DFE"/>
    <w:rsid w:val="64661EB3"/>
    <w:rsid w:val="648A6492"/>
    <w:rsid w:val="64C01EB3"/>
    <w:rsid w:val="65390AAF"/>
    <w:rsid w:val="65DE0486"/>
    <w:rsid w:val="66086357"/>
    <w:rsid w:val="6614022E"/>
    <w:rsid w:val="668E520C"/>
    <w:rsid w:val="66EC6F90"/>
    <w:rsid w:val="67020A40"/>
    <w:rsid w:val="6713087B"/>
    <w:rsid w:val="671E3435"/>
    <w:rsid w:val="675F3C06"/>
    <w:rsid w:val="68A266A0"/>
    <w:rsid w:val="69A1748C"/>
    <w:rsid w:val="6B284C3F"/>
    <w:rsid w:val="6B3C476A"/>
    <w:rsid w:val="6B7544E4"/>
    <w:rsid w:val="6B985E9C"/>
    <w:rsid w:val="6C733CAF"/>
    <w:rsid w:val="6C9E6C1A"/>
    <w:rsid w:val="6C9F087E"/>
    <w:rsid w:val="6CB05C1D"/>
    <w:rsid w:val="6D1C60F5"/>
    <w:rsid w:val="6D286848"/>
    <w:rsid w:val="6D2C27DC"/>
    <w:rsid w:val="6D5270A3"/>
    <w:rsid w:val="6D6F26C8"/>
    <w:rsid w:val="6D7E70E0"/>
    <w:rsid w:val="6DE53F08"/>
    <w:rsid w:val="6DFC3BBF"/>
    <w:rsid w:val="6E162B44"/>
    <w:rsid w:val="6E312157"/>
    <w:rsid w:val="6EDC3D8E"/>
    <w:rsid w:val="6EFD162B"/>
    <w:rsid w:val="6EFD5AB2"/>
    <w:rsid w:val="6F0F5F1F"/>
    <w:rsid w:val="6F991B61"/>
    <w:rsid w:val="70112D67"/>
    <w:rsid w:val="70185150"/>
    <w:rsid w:val="701A2DBF"/>
    <w:rsid w:val="70517BF6"/>
    <w:rsid w:val="705A5DB9"/>
    <w:rsid w:val="70CD0FD9"/>
    <w:rsid w:val="71C34D91"/>
    <w:rsid w:val="72694632"/>
    <w:rsid w:val="72CA4821"/>
    <w:rsid w:val="731E0B99"/>
    <w:rsid w:val="73E673FE"/>
    <w:rsid w:val="742D0BE7"/>
    <w:rsid w:val="744D4DE6"/>
    <w:rsid w:val="74692E65"/>
    <w:rsid w:val="74AE7F7A"/>
    <w:rsid w:val="74F61AF8"/>
    <w:rsid w:val="75CC4794"/>
    <w:rsid w:val="75E579CC"/>
    <w:rsid w:val="760427D7"/>
    <w:rsid w:val="77183DD1"/>
    <w:rsid w:val="772F3FE6"/>
    <w:rsid w:val="7735228D"/>
    <w:rsid w:val="77866CA0"/>
    <w:rsid w:val="77E9232C"/>
    <w:rsid w:val="7871376E"/>
    <w:rsid w:val="787D67F2"/>
    <w:rsid w:val="78957A98"/>
    <w:rsid w:val="78D15FE5"/>
    <w:rsid w:val="79333D81"/>
    <w:rsid w:val="794C17CC"/>
    <w:rsid w:val="7956743E"/>
    <w:rsid w:val="798A0AC8"/>
    <w:rsid w:val="7ABF6D39"/>
    <w:rsid w:val="7ADD5026"/>
    <w:rsid w:val="7AEA7832"/>
    <w:rsid w:val="7AF37E57"/>
    <w:rsid w:val="7B323BAB"/>
    <w:rsid w:val="7B5C2BD2"/>
    <w:rsid w:val="7B611E27"/>
    <w:rsid w:val="7B71191C"/>
    <w:rsid w:val="7B755AFC"/>
    <w:rsid w:val="7BCD6162"/>
    <w:rsid w:val="7C114730"/>
    <w:rsid w:val="7C3235C3"/>
    <w:rsid w:val="7C467E5A"/>
    <w:rsid w:val="7C8B5ABC"/>
    <w:rsid w:val="7D2232B3"/>
    <w:rsid w:val="7E1009FA"/>
    <w:rsid w:val="7E403498"/>
    <w:rsid w:val="7E67712E"/>
    <w:rsid w:val="7E6C1CCD"/>
    <w:rsid w:val="7E883C3C"/>
    <w:rsid w:val="7EEF3669"/>
    <w:rsid w:val="7F313615"/>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styleId="4">
    <w:name w:val="Normal Indent"/>
    <w:basedOn w:val="1"/>
    <w:qFormat/>
    <w:uiPriority w:val="0"/>
    <w:pPr>
      <w:ind w:firstLine="420"/>
    </w:pPr>
    <w:rPr>
      <w:szCs w:val="20"/>
    </w:rPr>
  </w:style>
  <w:style w:type="paragraph" w:styleId="7">
    <w:name w:val="annotation text"/>
    <w:basedOn w:val="1"/>
    <w:qFormat/>
    <w:uiPriority w:val="0"/>
    <w:pPr>
      <w:jc w:val="left"/>
    </w:p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Body Text First Indent"/>
    <w:basedOn w:val="8"/>
    <w:qFormat/>
    <w:uiPriority w:val="0"/>
    <w:pPr>
      <w:ind w:firstLine="420" w:firstLineChars="100"/>
    </w:pPr>
    <w:rPr>
      <w:szCs w:val="24"/>
    </w:rPr>
  </w:style>
  <w:style w:type="paragraph" w:styleId="18">
    <w:name w:val="Body Text First Indent 2"/>
    <w:basedOn w:val="9"/>
    <w:next w:val="4"/>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Table Text"/>
    <w:basedOn w:val="1"/>
    <w:semiHidden/>
    <w:qFormat/>
    <w:uiPriority w:val="0"/>
    <w:rPr>
      <w:rFonts w:ascii="宋体" w:hAnsi="宋体" w:eastAsia="宋体" w:cs="宋体"/>
      <w:sz w:val="18"/>
      <w:szCs w:val="18"/>
      <w:lang w:val="en-US" w:eastAsia="en-US" w:bidi="ar-SA"/>
    </w:rPr>
  </w:style>
  <w:style w:type="paragraph" w:customStyle="1" w:styleId="25">
    <w:name w:val="Char1"/>
    <w:basedOn w:val="1"/>
    <w:qFormat/>
    <w:uiPriority w:val="0"/>
    <w:rPr>
      <w:szCs w:val="21"/>
    </w:rPr>
  </w:style>
  <w:style w:type="paragraph" w:customStyle="1" w:styleId="26">
    <w:name w:val="样式 首行缩进:  2 字符"/>
    <w:basedOn w:val="1"/>
    <w:qFormat/>
    <w:uiPriority w:val="0"/>
    <w:pPr>
      <w:spacing w:line="400" w:lineRule="exact"/>
      <w:ind w:firstLine="200" w:firstLineChars="200"/>
    </w:pPr>
    <w:rPr>
      <w:rFonts w:cs="宋体"/>
      <w:sz w:val="24"/>
    </w:rPr>
  </w:style>
  <w:style w:type="paragraph" w:styleId="27">
    <w:name w:val="List Paragraph"/>
    <w:basedOn w:val="1"/>
    <w:qFormat/>
    <w:uiPriority w:val="0"/>
    <w:pPr>
      <w:ind w:firstLine="420" w:firstLineChars="200"/>
    </w:pPr>
    <w:rPr>
      <w:sz w:val="18"/>
      <w:szCs w:val="18"/>
    </w:rPr>
  </w:style>
  <w:style w:type="paragraph" w:customStyle="1" w:styleId="28">
    <w:name w:val="null3"/>
    <w:qFormat/>
    <w:uiPriority w:val="0"/>
    <w:rPr>
      <w:rFonts w:hint="eastAsia" w:ascii="Calibri" w:hAnsi="Calibri" w:eastAsia="宋体" w:cs="Times New Roman"/>
      <w:lang w:val="en-US" w:eastAsia="zh-Hans"/>
    </w:rPr>
  </w:style>
  <w:style w:type="paragraph" w:customStyle="1" w:styleId="29">
    <w:name w:val="Heading #2|1"/>
    <w:basedOn w:val="1"/>
    <w:qFormat/>
    <w:uiPriority w:val="0"/>
    <w:pPr>
      <w:spacing w:after="300"/>
      <w:ind w:firstLine="310"/>
      <w:jc w:val="left"/>
      <w:outlineLvl w:val="1"/>
    </w:pPr>
    <w:rPr>
      <w:rFonts w:ascii="宋体" w:hAnsi="宋体" w:cs="宋体"/>
      <w:color w:val="000000"/>
      <w:kern w:val="0"/>
      <w:sz w:val="46"/>
      <w:szCs w:val="46"/>
      <w:lang w:val="zh-TW" w:eastAsia="zh-TW" w:bidi="zh-TW"/>
    </w:rPr>
  </w:style>
  <w:style w:type="character" w:customStyle="1" w:styleId="30">
    <w:name w:val="NormalCharacter"/>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16678</Words>
  <Characters>17514</Characters>
  <TotalTime>40</TotalTime>
  <ScaleCrop>false</ScaleCrop>
  <LinksUpToDate>false</LinksUpToDate>
  <CharactersWithSpaces>17571</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2025-06-27T09:03:15Z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2052-12.1.0.21541</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