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版本号：HCZB-2025-08920250626001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碑林区职工帮扶中心和工人文化宫改造项目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HCZB-2025-089</w:t>
      </w:r>
      <w:r>
        <w:br/>
      </w:r>
      <w:r>
        <w:br/>
      </w:r>
      <w:r>
        <w:br/>
      </w:r>
    </w:p>
    <w:p>
      <w:pPr>
        <w:pStyle w:val="null3"/>
        <w:jc w:val="center"/>
        <w:outlineLvl w:val="2"/>
      </w:pPr>
      <w:r>
        <w:rPr>
          <w:rFonts w:ascii="仿宋_GB2312" w:hAnsi="仿宋_GB2312" w:cs="仿宋_GB2312" w:eastAsia="仿宋_GB2312"/>
          <w:sz w:val="28"/>
          <w:b/>
        </w:rPr>
        <w:t>西安市碑林区总工会（本级）</w:t>
      </w:r>
    </w:p>
    <w:p>
      <w:pPr>
        <w:pStyle w:val="null3"/>
        <w:jc w:val="center"/>
        <w:outlineLvl w:val="2"/>
      </w:pPr>
      <w:r>
        <w:rPr>
          <w:rFonts w:ascii="仿宋_GB2312" w:hAnsi="仿宋_GB2312" w:cs="仿宋_GB2312" w:eastAsia="仿宋_GB2312"/>
          <w:sz w:val="28"/>
          <w:b/>
        </w:rPr>
        <w:t>华春建设工程项目管理有限责任公司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2025年06月26日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华春建设工程项目管理有限责任公司</w:t>
      </w:r>
      <w:r>
        <w:rPr>
          <w:rFonts w:ascii="仿宋_GB2312" w:hAnsi="仿宋_GB2312" w:cs="仿宋_GB2312" w:eastAsia="仿宋_GB2312"/>
        </w:rPr>
        <w:t>（以下简称“代理机构”）受</w:t>
      </w:r>
      <w:r>
        <w:rPr>
          <w:rFonts w:ascii="仿宋_GB2312" w:hAnsi="仿宋_GB2312" w:cs="仿宋_GB2312" w:eastAsia="仿宋_GB2312"/>
        </w:rPr>
        <w:t>西安市碑林区总工会（本级）</w:t>
      </w:r>
      <w:r>
        <w:rPr>
          <w:rFonts w:ascii="仿宋_GB2312" w:hAnsi="仿宋_GB2312" w:cs="仿宋_GB2312" w:eastAsia="仿宋_GB2312"/>
        </w:rPr>
        <w:t>委托，拟对</w:t>
      </w:r>
      <w:r>
        <w:rPr>
          <w:rFonts w:ascii="仿宋_GB2312" w:hAnsi="仿宋_GB2312" w:cs="仿宋_GB2312" w:eastAsia="仿宋_GB2312"/>
        </w:rPr>
        <w:t>碑林区职工帮扶中心和工人文化宫改造项目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HCZB-2025-089</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碑林区职工帮扶中心和工人文化宫改造项目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碑林区职工帮扶中心和工人文化宫改造项目,建筑面积917.614 ㎡，为了满足功能需要，需要对室内进行装修改造，包含：二次结构、装修、电气、给排水、通风空调、消防工程。</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采购包1（碑林区职工帮扶中心和工人文化宫改造项目）：属于专门面向中小企业采购。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1、主体身份：法人、其他组织或自然人，并出具合法有效的营业执照等证明文件，自然人参与的提供其身份证；</w:t>
      </w:r>
    </w:p>
    <w:p>
      <w:pPr>
        <w:pStyle w:val="null3"/>
      </w:pPr>
      <w:r>
        <w:rPr>
          <w:rFonts w:ascii="仿宋_GB2312" w:hAnsi="仿宋_GB2312" w:cs="仿宋_GB2312" w:eastAsia="仿宋_GB2312"/>
        </w:rPr>
        <w:t>2、资质要求：供应商具备建筑工程施工总承包三级及以上资质或建筑装修装饰工程专业承包二级及以上资质，同时具有合格有效的安全生产许可证；</w:t>
      </w:r>
    </w:p>
    <w:p>
      <w:pPr>
        <w:pStyle w:val="null3"/>
      </w:pPr>
      <w:r>
        <w:rPr>
          <w:rFonts w:ascii="仿宋_GB2312" w:hAnsi="仿宋_GB2312" w:cs="仿宋_GB2312" w:eastAsia="仿宋_GB2312"/>
        </w:rPr>
        <w:t>3、项目经理：拟派项目经理须具有建筑工程专业二级及以上注册建造师证书和有效的安全生产考核证书（B证）在本单位注册，且无在建工程（提供无在建工程承诺书）</w:t>
      </w:r>
    </w:p>
    <w:p>
      <w:pPr>
        <w:pStyle w:val="null3"/>
      </w:pPr>
      <w:r>
        <w:rPr>
          <w:rFonts w:ascii="仿宋_GB2312" w:hAnsi="仿宋_GB2312" w:cs="仿宋_GB2312" w:eastAsia="仿宋_GB2312"/>
        </w:rPr>
        <w:t>4、提供具有履行本合同所必需的设备和专业技术能力的声明：提供具有履行本合同所必需的设备和专业技术能力的声明；</w:t>
      </w:r>
    </w:p>
    <w:p>
      <w:pPr>
        <w:pStyle w:val="null3"/>
      </w:pPr>
      <w:r>
        <w:rPr>
          <w:rFonts w:ascii="仿宋_GB2312" w:hAnsi="仿宋_GB2312" w:cs="仿宋_GB2312" w:eastAsia="仿宋_GB2312"/>
        </w:rPr>
        <w:t>5、无重大违法记录的书面声明：提供参加本次政府采购活动前3年内，在经营活动中没有重大违法记录的书面声明；</w:t>
      </w:r>
    </w:p>
    <w:p>
      <w:pPr>
        <w:pStyle w:val="null3"/>
      </w:pPr>
      <w:r>
        <w:rPr>
          <w:rFonts w:ascii="仿宋_GB2312" w:hAnsi="仿宋_GB2312" w:cs="仿宋_GB2312" w:eastAsia="仿宋_GB2312"/>
        </w:rPr>
        <w:t>6、财务状况报告：提供具有财务审计资质单位出具的2024年度的财务报告（成立时间至投标时间不足一年的可提供成立后任意时段的资产负债表）或投标前六个月内其基本账户银行出具的资信证明（附开户许可证）或政府采购信用担保机构出具的投标担保函；</w:t>
      </w:r>
    </w:p>
    <w:p>
      <w:pPr>
        <w:pStyle w:val="null3"/>
      </w:pPr>
      <w:r>
        <w:rPr>
          <w:rFonts w:ascii="仿宋_GB2312" w:hAnsi="仿宋_GB2312" w:cs="仿宋_GB2312" w:eastAsia="仿宋_GB2312"/>
        </w:rPr>
        <w:t>7、税收缴纳证明：提供自2024年6月1日至今已缴纳的至少一个月的纳税证明或完税证明，纳税证明或完税证明上应有代收机构或税务机关的公章或业务专用章，依法免税的服务商应提供相关文件证明；</w:t>
      </w:r>
    </w:p>
    <w:p>
      <w:pPr>
        <w:pStyle w:val="null3"/>
      </w:pPr>
      <w:r>
        <w:rPr>
          <w:rFonts w:ascii="仿宋_GB2312" w:hAnsi="仿宋_GB2312" w:cs="仿宋_GB2312" w:eastAsia="仿宋_GB2312"/>
        </w:rPr>
        <w:t>8、社会保障资金缴纳证明：提供供应商2024年6月1日至今已缴存的任意一个月的社会保障资金缴存单据或社保机构开具的社会保险参保缴费情况证明；依法不需要缴纳社会保障资金的应提供相关文件证明；</w:t>
      </w:r>
    </w:p>
    <w:p>
      <w:pPr>
        <w:pStyle w:val="null3"/>
      </w:pPr>
      <w:r>
        <w:rPr>
          <w:rFonts w:ascii="仿宋_GB2312" w:hAnsi="仿宋_GB2312" w:cs="仿宋_GB2312" w:eastAsia="仿宋_GB2312"/>
        </w:rPr>
        <w:t>9、法定代表人授权书：法定代表人授权书或法定代表人身份证明：法定代表人授权书（附法定代表人、被授权人身份证复印件）；法定代表人直接参加投标，须提供法定代表人身份证明；</w:t>
      </w:r>
    </w:p>
    <w:p>
      <w:pPr>
        <w:pStyle w:val="null3"/>
      </w:pPr>
      <w:r>
        <w:rPr>
          <w:rFonts w:ascii="仿宋_GB2312" w:hAnsi="仿宋_GB2312" w:cs="仿宋_GB2312" w:eastAsia="仿宋_GB2312"/>
        </w:rPr>
        <w:t>10、信用信息（供应商无须提供截图，由采购人或采购代理机构现场查询）：供应商未被“信用中国” 网站（www.creditchina.gov.cn）列入失信被执行人和重大税收违法失信主体，未被中国政府采购网（w ww.ccgp.gov.cn）列入政府采购严重违法失信行为记录名单</w:t>
      </w:r>
    </w:p>
    <w:p>
      <w:pPr>
        <w:pStyle w:val="null3"/>
      </w:pPr>
      <w:r>
        <w:rPr>
          <w:rFonts w:ascii="仿宋_GB2312" w:hAnsi="仿宋_GB2312" w:cs="仿宋_GB2312" w:eastAsia="仿宋_GB2312"/>
        </w:rPr>
        <w:t>11、控股管理关系：本项目不接受联合体投标，单位负责人为同一人或者存在直接控股、管理关系的不同供应商，不得参加同一合同项下的政府采购活动。</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西安市碑林区总工会（本级）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西安市碑林区南院门27号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彭致强</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029-87401317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华春建设工程项目管理有限责任公司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西安市南二环西段58号成长大厦8楼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冯建正、赵根女、程琤</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029-63021289/90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西安市碑林区政府采购管理股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郝天峰</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029-89625302</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采购包1：999,502.35元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代理服务费收费标准：参考国家计委《招标代理服务收费管理暂行办法》（计价格【2002】1908号文）、国家发展改革委办公厅《关于招标代理服务收费有关问题的通知》（发改办价格【2003】857号）的收费标准计取</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西安市碑林区总工会（本级）</w:t>
      </w:r>
      <w:r>
        <w:rPr>
          <w:rFonts w:ascii="仿宋_GB2312" w:hAnsi="仿宋_GB2312" w:cs="仿宋_GB2312" w:eastAsia="仿宋_GB2312"/>
        </w:rPr>
        <w:t>和</w:t>
      </w:r>
      <w:r>
        <w:rPr>
          <w:rFonts w:ascii="仿宋_GB2312" w:hAnsi="仿宋_GB2312" w:cs="仿宋_GB2312" w:eastAsia="仿宋_GB2312"/>
        </w:rPr>
        <w:t>华春建设工程项目管理有限责任公司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西安市碑林区总工会（本级）</w:t>
      </w:r>
      <w:r>
        <w:rPr>
          <w:rFonts w:ascii="仿宋_GB2312" w:hAnsi="仿宋_GB2312" w:cs="仿宋_GB2312" w:eastAsia="仿宋_GB2312"/>
        </w:rPr>
        <w:t>负责解释。除上述磋商文件内容，其他内容由</w:t>
      </w:r>
      <w:r>
        <w:rPr>
          <w:rFonts w:ascii="仿宋_GB2312" w:hAnsi="仿宋_GB2312" w:cs="仿宋_GB2312" w:eastAsia="仿宋_GB2312"/>
        </w:rPr>
        <w:t>华春建设工程项目管理有限责任公司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西安市碑林区总工会（本级）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华春建设工程项目管理有限责任公司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1.有国家标准的项目，按照以下标准质量验收: 《建筑工程施工质量验收统一标准》GB50300-2013 《建筑装饰装修工程质量验收标准》GB50210-2018 2.无国家标准的项目，参照行业标准执行。</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华春建设工程项目管理有限责任公司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华春建设工程项目管理有限责任公司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华春建设工程项目管理有限责任公司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联系人：冯建正、赵根女、程琤</w:t>
      </w:r>
    </w:p>
    <w:p>
      <w:pPr>
        <w:pStyle w:val="null3"/>
      </w:pPr>
      <w:r>
        <w:rPr>
          <w:rFonts w:ascii="仿宋_GB2312" w:hAnsi="仿宋_GB2312" w:cs="仿宋_GB2312" w:eastAsia="仿宋_GB2312"/>
        </w:rPr>
        <w:t>联系电话：029-63021289/90</w:t>
      </w:r>
    </w:p>
    <w:p>
      <w:pPr>
        <w:pStyle w:val="null3"/>
      </w:pPr>
      <w:r>
        <w:rPr>
          <w:rFonts w:ascii="仿宋_GB2312" w:hAnsi="仿宋_GB2312" w:cs="仿宋_GB2312" w:eastAsia="仿宋_GB2312"/>
        </w:rPr>
        <w:t>地址：西安市南二环西段58号成长大厦8楼</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999,502.35</w:t>
      </w:r>
    </w:p>
    <w:p>
      <w:pPr>
        <w:pStyle w:val="null3"/>
      </w:pPr>
      <w:r>
        <w:rPr>
          <w:rFonts w:ascii="仿宋_GB2312" w:hAnsi="仿宋_GB2312" w:cs="仿宋_GB2312" w:eastAsia="仿宋_GB2312"/>
        </w:rPr>
        <w:t>采购包最高限价（元）: 908,438.22</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碑林区职工帮扶中心和工人文化宫改造项目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999,502.35</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标的名称：碑林区职工帮扶中心和工人文化宫改造项目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0"/>
              </w:rPr>
              <w:t>一、工程概况</w:t>
            </w:r>
          </w:p>
          <w:p>
            <w:pPr>
              <w:pStyle w:val="null3"/>
            </w:pPr>
            <w:r>
              <w:rPr>
                <w:rFonts w:ascii="仿宋_GB2312" w:hAnsi="仿宋_GB2312" w:cs="仿宋_GB2312" w:eastAsia="仿宋_GB2312"/>
                <w:sz w:val="20"/>
              </w:rPr>
              <w:t>1.</w:t>
            </w:r>
            <w:r>
              <w:rPr>
                <w:rFonts w:ascii="仿宋_GB2312" w:hAnsi="仿宋_GB2312" w:cs="仿宋_GB2312" w:eastAsia="仿宋_GB2312"/>
                <w:sz w:val="20"/>
              </w:rPr>
              <w:t>工程名称：碑林区职工帮扶中心和工人文化宫改造项目</w:t>
            </w:r>
          </w:p>
          <w:p>
            <w:pPr>
              <w:pStyle w:val="null3"/>
              <w:jc w:val="both"/>
            </w:pPr>
            <w:r>
              <w:rPr>
                <w:rFonts w:ascii="仿宋_GB2312" w:hAnsi="仿宋_GB2312" w:cs="仿宋_GB2312" w:eastAsia="仿宋_GB2312"/>
                <w:sz w:val="20"/>
              </w:rPr>
              <w:t>2.</w:t>
            </w:r>
            <w:r>
              <w:rPr>
                <w:rFonts w:ascii="仿宋_GB2312" w:hAnsi="仿宋_GB2312" w:cs="仿宋_GB2312" w:eastAsia="仿宋_GB2312"/>
                <w:sz w:val="20"/>
              </w:rPr>
              <w:t>工程地点：西安市碑林区乐居场正街与东市路十字西北角</w:t>
            </w:r>
          </w:p>
          <w:p>
            <w:pPr>
              <w:pStyle w:val="null3"/>
            </w:pPr>
            <w:r>
              <w:rPr>
                <w:rFonts w:ascii="仿宋_GB2312" w:hAnsi="仿宋_GB2312" w:cs="仿宋_GB2312" w:eastAsia="仿宋_GB2312"/>
                <w:sz w:val="20"/>
              </w:rPr>
              <w:t>3.</w:t>
            </w:r>
            <w:r>
              <w:rPr>
                <w:rFonts w:ascii="仿宋_GB2312" w:hAnsi="仿宋_GB2312" w:cs="仿宋_GB2312" w:eastAsia="仿宋_GB2312"/>
                <w:sz w:val="20"/>
              </w:rPr>
              <w:t>工程内容：本工程主要对室内进行装修改造，包含：二次结构、装修、电气、给排水、通风空调、消防工程。具体内容详见工程量清单。</w:t>
            </w:r>
          </w:p>
          <w:p>
            <w:pPr>
              <w:pStyle w:val="null3"/>
            </w:pPr>
            <w:r>
              <w:rPr>
                <w:rFonts w:ascii="仿宋_GB2312" w:hAnsi="仿宋_GB2312" w:cs="仿宋_GB2312" w:eastAsia="仿宋_GB2312"/>
                <w:sz w:val="20"/>
              </w:rPr>
              <w:t>4.</w:t>
            </w:r>
            <w:r>
              <w:rPr>
                <w:rFonts w:ascii="仿宋_GB2312" w:hAnsi="仿宋_GB2312" w:cs="仿宋_GB2312" w:eastAsia="仿宋_GB2312"/>
                <w:sz w:val="20"/>
              </w:rPr>
              <w:t>工程质量：符合国家现行有关施工质量验收规范“合格”要求。</w:t>
            </w:r>
          </w:p>
          <w:p>
            <w:pPr>
              <w:pStyle w:val="null3"/>
            </w:pPr>
            <w:r>
              <w:rPr>
                <w:rFonts w:ascii="仿宋_GB2312" w:hAnsi="仿宋_GB2312" w:cs="仿宋_GB2312" w:eastAsia="仿宋_GB2312"/>
                <w:sz w:val="20"/>
              </w:rPr>
              <w:t>5.</w:t>
            </w:r>
            <w:r>
              <w:rPr>
                <w:rFonts w:ascii="仿宋_GB2312" w:hAnsi="仿宋_GB2312" w:cs="仿宋_GB2312" w:eastAsia="仿宋_GB2312"/>
                <w:sz w:val="20"/>
              </w:rPr>
              <w:t>工期：</w:t>
            </w:r>
            <w:r>
              <w:rPr>
                <w:rFonts w:ascii="仿宋_GB2312" w:hAnsi="仿宋_GB2312" w:cs="仿宋_GB2312" w:eastAsia="仿宋_GB2312"/>
                <w:sz w:val="20"/>
              </w:rPr>
              <w:t>90</w:t>
            </w:r>
            <w:r>
              <w:rPr>
                <w:rFonts w:ascii="仿宋_GB2312" w:hAnsi="仿宋_GB2312" w:cs="仿宋_GB2312" w:eastAsia="仿宋_GB2312"/>
                <w:sz w:val="20"/>
              </w:rPr>
              <w:t>日历天</w:t>
            </w:r>
          </w:p>
          <w:p>
            <w:pPr>
              <w:pStyle w:val="null3"/>
            </w:pPr>
            <w:r>
              <w:rPr>
                <w:rFonts w:ascii="仿宋_GB2312" w:hAnsi="仿宋_GB2312" w:cs="仿宋_GB2312" w:eastAsia="仿宋_GB2312"/>
                <w:sz w:val="21"/>
              </w:rPr>
              <w:t>6.</w:t>
            </w:r>
            <w:r>
              <w:rPr>
                <w:rFonts w:ascii="仿宋_GB2312" w:hAnsi="仿宋_GB2312" w:cs="仿宋_GB2312" w:eastAsia="仿宋_GB2312"/>
                <w:sz w:val="21"/>
              </w:rPr>
              <w:t>本项目暂列金40000.00元</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符合国家现行有关施工质量验收规范“合格”要求。</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1.各供应商所有分项报价（与最后磋商报价比例一致）同比例下浮。 2. 合同签订完成且施工人员进场后，发包人支付签约合同价 40%的预付款（含全额安全文明施工费）；工程竣工、验收合格后 15 个工作日内支付至合同价款的 85%；竣工结算审核完成后支付剩余审定金额（付款各阶段的合同价基数不含本项目暂列金，同时，承包人须向发包人提供同等金额的增值税发票）。</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1.各供应商所有分项报价（与最后磋商报价比例一致）同比例下浮。 2. 合同签订完成且施工人员进场后，发包人支付签约合同价 40%的预付款（含全额安全文明施工费）；工程竣工、验收合格后 15 个工作日内支付至合同价款的 85%；竣工结算审核完成后支付剩余审定金额（付款各阶段的合同价基数不含本项目暂列金，同时，承包人须向发包人提供同等金额的增值税发票）。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主体身份</w:t>
            </w:r>
          </w:p>
        </w:tc>
        <w:tc>
          <w:tcPr>
            <w:tcW w:type="dxa" w:w="3322"/>
          </w:tcPr>
          <w:p>
            <w:pPr>
              <w:pStyle w:val="null3"/>
            </w:pPr>
            <w:r>
              <w:rPr>
                <w:rFonts w:ascii="仿宋_GB2312" w:hAnsi="仿宋_GB2312" w:cs="仿宋_GB2312" w:eastAsia="仿宋_GB2312"/>
              </w:rPr>
              <w:t>法人、其他组织或自然人，并出具合法有效的营业执照等证明文件，自然人参与的提供其身份证；</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供应商具备建筑工程施工总承包三级及以上资质或建筑装修装饰工程专业承包二级及以上资质，同时具有合格有效的安全生产许可证；</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项目经理</w:t>
            </w:r>
          </w:p>
        </w:tc>
        <w:tc>
          <w:tcPr>
            <w:tcW w:type="dxa" w:w="3322"/>
          </w:tcPr>
          <w:p>
            <w:pPr>
              <w:pStyle w:val="null3"/>
            </w:pPr>
            <w:r>
              <w:rPr>
                <w:rFonts w:ascii="仿宋_GB2312" w:hAnsi="仿宋_GB2312" w:cs="仿宋_GB2312" w:eastAsia="仿宋_GB2312"/>
              </w:rPr>
              <w:t>拟派项目经理须具有建筑工程专业二级及以上注册建造师证书和有效的安全生产考核证书（B证）在本单位注册，且无在建工程（提供无在建工程承诺书）</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提供具有履行本合同所必需的设备和专业技术能力的声明</w:t>
            </w:r>
          </w:p>
        </w:tc>
        <w:tc>
          <w:tcPr>
            <w:tcW w:type="dxa" w:w="3322"/>
          </w:tcPr>
          <w:p>
            <w:pPr>
              <w:pStyle w:val="null3"/>
            </w:pPr>
            <w:r>
              <w:rPr>
                <w:rFonts w:ascii="仿宋_GB2312" w:hAnsi="仿宋_GB2312" w:cs="仿宋_GB2312" w:eastAsia="仿宋_GB2312"/>
              </w:rPr>
              <w:t>提供具有履行本合同所必需的设备和专业技术能力的声明；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无重大违法记录的书面声明</w:t>
            </w:r>
          </w:p>
        </w:tc>
        <w:tc>
          <w:tcPr>
            <w:tcW w:type="dxa" w:w="3322"/>
          </w:tcPr>
          <w:p>
            <w:pPr>
              <w:pStyle w:val="null3"/>
            </w:pPr>
            <w:r>
              <w:rPr>
                <w:rFonts w:ascii="仿宋_GB2312" w:hAnsi="仿宋_GB2312" w:cs="仿宋_GB2312" w:eastAsia="仿宋_GB2312"/>
              </w:rPr>
              <w:t>提供参加本次政府采购活动前3年内，在经营活动中没有重大违法记录的书面声明；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具有财务审计资质单位出具的2024年度的财务报告（成立时间至投标时间不足一年的可提供成立后任意时段的资产负债表）或投标前六个月内其基本账户银行出具的资信证明（附开户许可证）或政府采购信用担保机构出具的投标担保函；</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提供自2024年6月1日至今已缴纳的至少一个月的纳税证明或完税证明，纳税证明或完税证明上应有代收机构或税务机关的公章或业务专用章，依法免税的服务商应提供相关文件证明；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提供供应商2024年6月1日至今已缴存的任意一个月的社会保障资金缴存单据或社保机构开具的社会保险参保缴费情况证明；依法不需要缴纳社会保障资金的应提供相关文件证明；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法定代表人授权书或法定代表人身份证明：法定代表人授权书（附法定代表人、被授权人身份证复印件）；法定代表人直接参加投标，须提供法定代表人身份证明；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信用信息（供应商无须提供截图，由采购人或采购代理机构现场查询）</w:t>
            </w:r>
          </w:p>
        </w:tc>
        <w:tc>
          <w:tcPr>
            <w:tcW w:type="dxa" w:w="3322"/>
          </w:tcPr>
          <w:p>
            <w:pPr>
              <w:pStyle w:val="null3"/>
            </w:pPr>
            <w:r>
              <w:rPr>
                <w:rFonts w:ascii="仿宋_GB2312" w:hAnsi="仿宋_GB2312" w:cs="仿宋_GB2312" w:eastAsia="仿宋_GB2312"/>
              </w:rPr>
              <w:t>供应商未被“信用中国” 网站（www.creditchina.gov.cn）列入失信被执行人和重大税收违法失信主体，未被中国政府采购网（w ww.ccgp.gov.cn）列入政府采购严重违法失信行为记录名单</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本项目不接受联合体投标，单位负责人为同一人或者存在直接控股、管理关系的不同供应商，不得参加同一合同项下的政府采购活动。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与营业执照、资质证书一致</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强制优先采购产品承诺函 响应文件封面 项目管理机构组成表 报价函 标的清单 供应商类似项目业绩一览表 响应函 主要人员简历表 陕西省政府采购供应商拒绝政府采购领域商业贿赂承诺书.docx 技术标.docx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法定代表人或被授权人的签字齐全并加盖公章</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强制优先采购产品承诺函 响应文件封面 项目管理机构组成表 残疾人福利性单位声明函 报价函 标的清单 供应商类似项目业绩一览表 响应函 主要人员简历表 陕西省政府采购供应商拒绝政府采购领域商业贿赂承诺书.docx 监狱企业的证明文件 技术标.docx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磋商响应文件格式</w:t>
            </w:r>
          </w:p>
        </w:tc>
        <w:tc>
          <w:tcPr>
            <w:tcW w:type="dxa" w:w="3322"/>
          </w:tcPr>
          <w:p>
            <w:pPr>
              <w:pStyle w:val="null3"/>
            </w:pPr>
            <w:r>
              <w:rPr>
                <w:rFonts w:ascii="仿宋_GB2312" w:hAnsi="仿宋_GB2312" w:cs="仿宋_GB2312" w:eastAsia="仿宋_GB2312"/>
              </w:rPr>
              <w:t>符合“磋商响应文件格式”的规定</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强制优先采购产品承诺函 响应文件封面 项目管理机构组成表 残疾人福利性单位声明函 报价函 标的清单 供应商类似项目业绩一览表 响应函 主要人员简历表 陕西省政府采购供应商拒绝政府采购领域商业贿赂承诺书.docx 监狱企业的证明文件 技术标.docx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只能有一个有效报价，不得提交选择性报价，且报价不超过最高限价。</w:t>
            </w:r>
          </w:p>
        </w:tc>
        <w:tc>
          <w:tcPr>
            <w:tcW w:type="dxa" w:w="1661"/>
          </w:tcPr>
          <w:p>
            <w:pPr>
              <w:pStyle w:val="null3"/>
            </w:pPr>
            <w:r>
              <w:rPr>
                <w:rFonts w:ascii="仿宋_GB2312" w:hAnsi="仿宋_GB2312" w:cs="仿宋_GB2312" w:eastAsia="仿宋_GB2312"/>
              </w:rPr>
              <w:t>响应文件封面 已标价工程量清单 报价函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对竞争性磋商文件响应程度</w:t>
            </w:r>
          </w:p>
        </w:tc>
        <w:tc>
          <w:tcPr>
            <w:tcW w:type="dxa" w:w="3322"/>
          </w:tcPr>
          <w:p>
            <w:pPr>
              <w:pStyle w:val="null3"/>
            </w:pPr>
            <w:r>
              <w:rPr>
                <w:rFonts w:ascii="仿宋_GB2312" w:hAnsi="仿宋_GB2312" w:cs="仿宋_GB2312" w:eastAsia="仿宋_GB2312"/>
              </w:rPr>
              <w:t>要求实质性条款全部响应，不能有采购人不能接受的附加条件</w:t>
            </w:r>
          </w:p>
        </w:tc>
        <w:tc>
          <w:tcPr>
            <w:tcW w:type="dxa" w:w="1661"/>
          </w:tcPr>
          <w:p>
            <w:pPr>
              <w:pStyle w:val="null3"/>
            </w:pPr>
            <w:r>
              <w:rPr>
                <w:rFonts w:ascii="仿宋_GB2312" w:hAnsi="仿宋_GB2312" w:cs="仿宋_GB2312" w:eastAsia="仿宋_GB2312"/>
              </w:rPr>
              <w:t>响应文件封面 已标价工程量清单 中小企业声明函 报价函 技术服务合同条款及其他商务要求应答表 标的清单 响应函 陕西省政府采购供应商拒绝政府采购领域商业贿赂承诺书.docx 强制优先采购产品承诺函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报价函 标的清单 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报价函 标的清单 响应函</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方案非常详细并且完整可行、有针对性，完全满足项目实施的得7分；方案较详细完整、可行，较利于项目实施的得5分； 方案基本可行，基本满足项目实施需要的得3分；其他或未提供得0分。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技术标.docx</w:t>
            </w:r>
          </w:p>
        </w:tc>
      </w:tr>
      <w:tr>
        <w:tc>
          <w:tcPr>
            <w:tcW w:type="dxa" w:w="831"/>
            <w:vMerge/>
          </w:tcPr>
          <w:p/>
        </w:tc>
        <w:tc>
          <w:tcPr>
            <w:tcW w:type="dxa" w:w="1661"/>
          </w:tcPr>
          <w:p>
            <w:pPr>
              <w:pStyle w:val="null3"/>
            </w:pPr>
            <w:r>
              <w:rPr>
                <w:rFonts w:ascii="仿宋_GB2312" w:hAnsi="仿宋_GB2312" w:cs="仿宋_GB2312" w:eastAsia="仿宋_GB2312"/>
              </w:rPr>
              <w:t>施工进度计划安排</w:t>
            </w:r>
          </w:p>
        </w:tc>
        <w:tc>
          <w:tcPr>
            <w:tcW w:type="dxa" w:w="2492"/>
          </w:tcPr>
          <w:p>
            <w:pPr>
              <w:pStyle w:val="null3"/>
            </w:pPr>
            <w:r>
              <w:rPr>
                <w:rFonts w:ascii="仿宋_GB2312" w:hAnsi="仿宋_GB2312" w:cs="仿宋_GB2312" w:eastAsia="仿宋_GB2312"/>
              </w:rPr>
              <w:t>分析本项目进度目标及关键节点，同时针对关键节点、具体环节提出相应进度保障措施，并根据本项目的工期要求，提供全面的确保工程按期按质完成的进度计划安排。 整体进度安排（施工进度表或施工网络图）及各阶段进度保证措施内容合理、方案具体可行、完全符合要求得7分； 内容较合理、方案可行性一般，基本符合要求得5分； 内容不完备、方案可行性差、不能全面符合要求得3分； 未提供不计分。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技术标.docx</w:t>
            </w:r>
          </w:p>
        </w:tc>
      </w:tr>
      <w:tr>
        <w:tc>
          <w:tcPr>
            <w:tcW w:type="dxa" w:w="831"/>
            <w:vMerge/>
          </w:tcPr>
          <w:p/>
        </w:tc>
        <w:tc>
          <w:tcPr>
            <w:tcW w:type="dxa" w:w="1661"/>
          </w:tcPr>
          <w:p>
            <w:pPr>
              <w:pStyle w:val="null3"/>
            </w:pPr>
            <w:r>
              <w:rPr>
                <w:rFonts w:ascii="仿宋_GB2312" w:hAnsi="仿宋_GB2312" w:cs="仿宋_GB2312" w:eastAsia="仿宋_GB2312"/>
              </w:rPr>
              <w:t>安全文明施工措施计划</w:t>
            </w:r>
          </w:p>
        </w:tc>
        <w:tc>
          <w:tcPr>
            <w:tcW w:type="dxa" w:w="2492"/>
          </w:tcPr>
          <w:p>
            <w:pPr>
              <w:pStyle w:val="null3"/>
            </w:pPr>
            <w:r>
              <w:rPr>
                <w:rFonts w:ascii="仿宋_GB2312" w:hAnsi="仿宋_GB2312" w:cs="仿宋_GB2312" w:eastAsia="仿宋_GB2312"/>
              </w:rPr>
              <w:t>结合工程环境、特点分析安全隐患，给出有针对性的安全生产、文明施工、环保施工、防尘降噪等保证措施。 安全文明、环保保证体系组织措施和控制点设置合理，内容合理、方案具体可行、完全符合要求得6分； 内容较合理、方案可行性一般，基本符合要求得4分； 内容不完备、方案可行性差、不能全面符合要求得2分； 未提供不计分。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技术标.docx</w:t>
            </w:r>
          </w:p>
        </w:tc>
      </w:tr>
      <w:tr>
        <w:tc>
          <w:tcPr>
            <w:tcW w:type="dxa" w:w="831"/>
            <w:vMerge/>
          </w:tcPr>
          <w:p/>
        </w:tc>
        <w:tc>
          <w:tcPr>
            <w:tcW w:type="dxa" w:w="1661"/>
          </w:tcPr>
          <w:p>
            <w:pPr>
              <w:pStyle w:val="null3"/>
            </w:pPr>
            <w:r>
              <w:rPr>
                <w:rFonts w:ascii="仿宋_GB2312" w:hAnsi="仿宋_GB2312" w:cs="仿宋_GB2312" w:eastAsia="仿宋_GB2312"/>
              </w:rPr>
              <w:t>技术组织措施</w:t>
            </w:r>
          </w:p>
        </w:tc>
        <w:tc>
          <w:tcPr>
            <w:tcW w:type="dxa" w:w="2492"/>
          </w:tcPr>
          <w:p>
            <w:pPr>
              <w:pStyle w:val="null3"/>
            </w:pPr>
            <w:r>
              <w:rPr>
                <w:rFonts w:ascii="仿宋_GB2312" w:hAnsi="仿宋_GB2312" w:cs="仿宋_GB2312" w:eastAsia="仿宋_GB2312"/>
              </w:rPr>
              <w:t>根据供应商制定的确保工程质量及工期的技术组织措施进行综合评审。 措施计划齐全、合理且切实可行，完全满足采购人需求得7分；措施计划齐全、合理、基本可行，基本满足采购人需求得5分；措施计划基本完备齐全、合理性、可行性较差，得3分； 其他或未提供得0分。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技术标.docx</w:t>
            </w:r>
          </w:p>
        </w:tc>
      </w:tr>
      <w:tr>
        <w:tc>
          <w:tcPr>
            <w:tcW w:type="dxa" w:w="831"/>
            <w:vMerge/>
          </w:tcPr>
          <w:p/>
        </w:tc>
        <w:tc>
          <w:tcPr>
            <w:tcW w:type="dxa" w:w="1661"/>
          </w:tcPr>
          <w:p>
            <w:pPr>
              <w:pStyle w:val="null3"/>
            </w:pPr>
            <w:r>
              <w:rPr>
                <w:rFonts w:ascii="仿宋_GB2312" w:hAnsi="仿宋_GB2312" w:cs="仿宋_GB2312" w:eastAsia="仿宋_GB2312"/>
              </w:rPr>
              <w:t>项目管理机构</w:t>
            </w:r>
          </w:p>
        </w:tc>
        <w:tc>
          <w:tcPr>
            <w:tcW w:type="dxa" w:w="2492"/>
          </w:tcPr>
          <w:p>
            <w:pPr>
              <w:pStyle w:val="null3"/>
            </w:pPr>
            <w:r>
              <w:rPr>
                <w:rFonts w:ascii="仿宋_GB2312" w:hAnsi="仿宋_GB2312" w:cs="仿宋_GB2312" w:eastAsia="仿宋_GB2312"/>
              </w:rPr>
              <w:t>项目管理机构人员岗位完整，专业种类齐全，搭配合理，职位分明、有相应的技术能力。 人员配备合理、科学可行、完全符合要求得7分； 人员配备较合理、可行性一般，基本符合要求得5分； 人员配备不完备、可行性差、不能全面符合要求得3分；未提供不计分。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技术标.docx</w:t>
            </w:r>
          </w:p>
        </w:tc>
      </w:tr>
      <w:tr>
        <w:tc>
          <w:tcPr>
            <w:tcW w:type="dxa" w:w="831"/>
            <w:vMerge/>
          </w:tcPr>
          <w:p/>
        </w:tc>
        <w:tc>
          <w:tcPr>
            <w:tcW w:type="dxa" w:w="1661"/>
          </w:tcPr>
          <w:p>
            <w:pPr>
              <w:pStyle w:val="null3"/>
            </w:pPr>
            <w:r>
              <w:rPr>
                <w:rFonts w:ascii="仿宋_GB2312" w:hAnsi="仿宋_GB2312" w:cs="仿宋_GB2312" w:eastAsia="仿宋_GB2312"/>
              </w:rPr>
              <w:t>设备和材料投入计划</w:t>
            </w:r>
          </w:p>
        </w:tc>
        <w:tc>
          <w:tcPr>
            <w:tcW w:type="dxa" w:w="2492"/>
          </w:tcPr>
          <w:p>
            <w:pPr>
              <w:pStyle w:val="null3"/>
            </w:pPr>
            <w:r>
              <w:rPr>
                <w:rFonts w:ascii="仿宋_GB2312" w:hAnsi="仿宋_GB2312" w:cs="仿宋_GB2312" w:eastAsia="仿宋_GB2312"/>
              </w:rPr>
              <w:t>根据供应商投入的设备和材料投入计划等进行评审。设备投入合理并提供来源证明材料，投入材料环保性达到国际标准得7分； 设备投入基本合理，材料环保性较好，得5分；设备和材料投入计划有欠缺，得3分；其他或未提供得0分。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技术标.docx</w:t>
            </w:r>
          </w:p>
        </w:tc>
      </w:tr>
      <w:tr>
        <w:tc>
          <w:tcPr>
            <w:tcW w:type="dxa" w:w="831"/>
            <w:vMerge/>
          </w:tcPr>
          <w:p/>
        </w:tc>
        <w:tc>
          <w:tcPr>
            <w:tcW w:type="dxa" w:w="1661"/>
          </w:tcPr>
          <w:p>
            <w:pPr>
              <w:pStyle w:val="null3"/>
            </w:pPr>
            <w:r>
              <w:rPr>
                <w:rFonts w:ascii="仿宋_GB2312" w:hAnsi="仿宋_GB2312" w:cs="仿宋_GB2312" w:eastAsia="仿宋_GB2312"/>
              </w:rPr>
              <w:t>工程质量保证措施</w:t>
            </w:r>
          </w:p>
        </w:tc>
        <w:tc>
          <w:tcPr>
            <w:tcW w:type="dxa" w:w="2492"/>
          </w:tcPr>
          <w:p>
            <w:pPr>
              <w:pStyle w:val="null3"/>
            </w:pPr>
            <w:r>
              <w:rPr>
                <w:rFonts w:ascii="仿宋_GB2312" w:hAnsi="仿宋_GB2312" w:cs="仿宋_GB2312" w:eastAsia="仿宋_GB2312"/>
              </w:rPr>
              <w:t>针对本项目制定切实可行的总体质量控制目标，且对质量控制目标进行合理分解、规划，确保本项目质量标准符合相关标准。 内容合理、方案具体可行、完全符合要求得7分； 内容较合理、方案可行性一般，基本符合要求得5分； 内容不完备、方案可行性差、不能全面符合要求得3分；未提供不计分。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技术标.docx</w:t>
            </w:r>
          </w:p>
        </w:tc>
      </w:tr>
      <w:tr>
        <w:tc>
          <w:tcPr>
            <w:tcW w:type="dxa" w:w="831"/>
            <w:vMerge/>
          </w:tcPr>
          <w:p/>
        </w:tc>
        <w:tc>
          <w:tcPr>
            <w:tcW w:type="dxa" w:w="1661"/>
          </w:tcPr>
          <w:p>
            <w:pPr>
              <w:pStyle w:val="null3"/>
            </w:pPr>
            <w:r>
              <w:rPr>
                <w:rFonts w:ascii="仿宋_GB2312" w:hAnsi="仿宋_GB2312" w:cs="仿宋_GB2312" w:eastAsia="仿宋_GB2312"/>
              </w:rPr>
              <w:t>施工应急预案</w:t>
            </w:r>
          </w:p>
        </w:tc>
        <w:tc>
          <w:tcPr>
            <w:tcW w:type="dxa" w:w="2492"/>
          </w:tcPr>
          <w:p>
            <w:pPr>
              <w:pStyle w:val="null3"/>
            </w:pPr>
            <w:r>
              <w:rPr>
                <w:rFonts w:ascii="仿宋_GB2312" w:hAnsi="仿宋_GB2312" w:cs="仿宋_GB2312" w:eastAsia="仿宋_GB2312"/>
              </w:rPr>
              <w:t>针对本项目制定切实可行的人工、材料、设备的组织方案、给出有针对性的施工应急预案。 内容合理、方案具体可行、完全符合要求得5分； 内容较合理、方案可行性一般，基本符合要求得3分； 内容不完备、方案可行性差、不能全面符合要求得1分；未提供不计分。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技术标.docx</w:t>
            </w:r>
          </w:p>
        </w:tc>
      </w:tr>
      <w:tr>
        <w:tc>
          <w:tcPr>
            <w:tcW w:type="dxa" w:w="831"/>
            <w:vMerge/>
          </w:tcPr>
          <w:p/>
        </w:tc>
        <w:tc>
          <w:tcPr>
            <w:tcW w:type="dxa" w:w="1661"/>
          </w:tcPr>
          <w:p>
            <w:pPr>
              <w:pStyle w:val="null3"/>
            </w:pPr>
            <w:r>
              <w:rPr>
                <w:rFonts w:ascii="仿宋_GB2312" w:hAnsi="仿宋_GB2312" w:cs="仿宋_GB2312" w:eastAsia="仿宋_GB2312"/>
              </w:rPr>
              <w:t>现场施工扬尘环境治 理管理措施</w:t>
            </w:r>
          </w:p>
        </w:tc>
        <w:tc>
          <w:tcPr>
            <w:tcW w:type="dxa" w:w="2492"/>
          </w:tcPr>
          <w:p>
            <w:pPr>
              <w:pStyle w:val="null3"/>
            </w:pPr>
            <w:r>
              <w:rPr>
                <w:rFonts w:ascii="仿宋_GB2312" w:hAnsi="仿宋_GB2312" w:cs="仿宋_GB2312" w:eastAsia="仿宋_GB2312"/>
              </w:rPr>
              <w:t>供应商针对本项目提供符合本项目实际要求的现场施工扬尘环境治理管理措施。 现场扬尘管理措施合理、有详尽的扬尘控制措施并可达到国家控制的标准得7分；现场扬尘管理措施较为合理得5分；现场扬尘管理措施一般得3分； 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技术标.docx</w:t>
            </w:r>
          </w:p>
        </w:tc>
      </w:tr>
      <w:tr>
        <w:tc>
          <w:tcPr>
            <w:tcW w:type="dxa" w:w="831"/>
            <w:vMerge/>
          </w:tcP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供应商2022年6月至截标时间前类似项目业绩；每提供1份计2分，最高得10分。业绩证明（时间以合同签订时间为准，须在响应文件中附合同协议书扫描件并加盖单位公章，证明材料不符合要求或未提供的均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1、经初审合格的响应文件，其最终报价为有效报价。 2、有效最低报价为基准价得30分。 按（磋商基准价/有效最终磋商报价）×30的公式计算报价得分。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详见附件：技术标.docx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