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版本号：ZHZB-2025-7020250627001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校舍改造维修项目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ZHZB-2025-70</w:t>
      </w:r>
      <w:r>
        <w:br/>
      </w:r>
      <w:r>
        <w:br/>
      </w:r>
      <w:r>
        <w:br/>
      </w:r>
    </w:p>
    <w:p>
      <w:pPr>
        <w:pStyle w:val="null3"/>
        <w:jc w:val="center"/>
        <w:outlineLvl w:val="2"/>
      </w:pPr>
      <w:r>
        <w:rPr>
          <w:rFonts w:ascii="仿宋_GB2312" w:hAnsi="仿宋_GB2312" w:cs="仿宋_GB2312" w:eastAsia="仿宋_GB2312"/>
          <w:sz w:val="28"/>
          <w:b/>
        </w:rPr>
        <w:t>西安市铁五二小</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西安市铁五二小</w:t>
      </w:r>
      <w:r>
        <w:rPr>
          <w:rFonts w:ascii="仿宋_GB2312" w:hAnsi="仿宋_GB2312" w:cs="仿宋_GB2312" w:eastAsia="仿宋_GB2312"/>
        </w:rPr>
        <w:t>委托，拟对</w:t>
      </w:r>
      <w:r>
        <w:rPr>
          <w:rFonts w:ascii="仿宋_GB2312" w:hAnsi="仿宋_GB2312" w:cs="仿宋_GB2312" w:eastAsia="仿宋_GB2312"/>
        </w:rPr>
        <w:t>校舍改造维修项目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校舍改造维修项目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包含办公楼室内拆除及装饰装修改造工程；厨房室拆除及装饰装修改造工程；校园东侧大门2-3F走廊拆除及装饰装修改造工程；室外总体及外立面工程拆除及装饰装修改造工程；电气设备安装改造工程；给排水、采暖、燃气改造工程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采购包1（校舍改造维修项目）：属于专门面向中小企业采购。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委托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8、企业资质要求：具备建设行政主管部门颁发的建筑工程施工总承包三级及以上资质或建筑装修装饰工程专业承包二级及以上资质，具有有效的安全生产许可证。</w:t>
      </w:r>
    </w:p>
    <w:p>
      <w:pPr>
        <w:pStyle w:val="null3"/>
      </w:pPr>
      <w:r>
        <w:rPr>
          <w:rFonts w:ascii="仿宋_GB2312" w:hAnsi="仿宋_GB2312" w:cs="仿宋_GB2312" w:eastAsia="仿宋_GB2312"/>
        </w:rPr>
        <w:t>9、拟派项目负责人资质要求：拟派项目经理须具有建筑工程专业二级及以上注册建造师证书和有效的安全生产考核证书（B证）,在本单位注册且无不良记录，无在建工程（提供无不良记录，无在建工程承诺书）。</w:t>
      </w:r>
    </w:p>
    <w:p>
      <w:pPr>
        <w:pStyle w:val="null3"/>
      </w:pPr>
      <w:r>
        <w:rPr>
          <w:rFonts w:ascii="仿宋_GB2312" w:hAnsi="仿宋_GB2312" w:cs="仿宋_GB2312" w:eastAsia="仿宋_GB2312"/>
        </w:rPr>
        <w:t>10、基本信息查询：供应商及项目经理的基本信息在“陕西省住房和城乡建设厅 (http://js.shaanxi.gov.cn/)”或“全国建筑市场监管公共服务平台(https://jzsc.mohurd.gov.cn/)”可查询。</w:t>
      </w:r>
    </w:p>
    <w:p>
      <w:pPr>
        <w:pStyle w:val="null3"/>
      </w:pPr>
      <w:r>
        <w:rPr>
          <w:rFonts w:ascii="仿宋_GB2312" w:hAnsi="仿宋_GB2312" w:cs="仿宋_GB2312" w:eastAsia="仿宋_GB2312"/>
        </w:rPr>
        <w:t>11、信用查询：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西安市铁五二小</w:t>
      </w:r>
    </w:p>
    <w:p>
      <w:pPr>
        <w:pStyle w:val="null3"/>
      </w:pPr>
      <w:r>
        <w:rPr>
          <w:rFonts w:ascii="仿宋_GB2312" w:hAnsi="仿宋_GB2312" w:cs="仿宋_GB2312" w:eastAsia="仿宋_GB2312"/>
        </w:rPr>
        <w:t xml:space="preserve"> 地址： </w:t>
      </w:r>
      <w:r>
        <w:rPr>
          <w:rFonts w:ascii="仿宋_GB2312" w:hAnsi="仿宋_GB2312" w:cs="仿宋_GB2312" w:eastAsia="仿宋_GB2312"/>
        </w:rPr>
        <w:t>碑林区铁安一街5号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郭华峰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029-82211620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陕西省西安市莲湖区丰登南路3号PM中心三楼306室（丰庆公园北门往西200米）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张盼、王臻、赵偲偲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参照国家发展计划委员会计价格【2002】1980号文件及国家发展和改革委员会办公厅颁发的《关于降低部分建设项目收费标准规范收费行为等有关问题的通知》（发改价格[2011]534号）的规定标准收取。2、代理服务费缴纳账户信息： 银行户名：众合国际项目管理有限公司 开户银行：西安银行股份有限公司高新四路支行 账 号：611011580000085834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西安市铁五二小</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西安市铁五二小</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西安市铁五二小</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（1）符合国家及行业质量验收“合格”标准；（2）符合《安全生产管理条例》的标准；符合工程相关规范要求。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联系人：张盼、王臻、赵偲偲</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地址：陕西省西安市莲湖区丰登南路3号PM中心三楼306室（丰庆公园北门往西200米）</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1,753,085.76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校舍改造维修项目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标的名称：校舍改造维修项目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0"/>
              <w:jc w:val="both"/>
            </w:pPr>
            <w:r>
              <w:rPr>
                <w:rFonts w:ascii="仿宋_GB2312" w:hAnsi="仿宋_GB2312" w:cs="仿宋_GB2312" w:eastAsia="仿宋_GB2312"/>
                <w:sz w:val="18"/>
              </w:rPr>
              <w:t>一</w:t>
            </w:r>
            <w:r>
              <w:rPr>
                <w:rFonts w:ascii="仿宋_GB2312" w:hAnsi="仿宋_GB2312" w:cs="仿宋_GB2312" w:eastAsia="仿宋_GB2312"/>
                <w:sz w:val="18"/>
              </w:rPr>
              <w:t>、工程内容和</w:t>
            </w:r>
            <w:r>
              <w:rPr>
                <w:rFonts w:ascii="仿宋_GB2312" w:hAnsi="仿宋_GB2312" w:cs="仿宋_GB2312" w:eastAsia="仿宋_GB2312"/>
                <w:sz w:val="18"/>
              </w:rPr>
              <w:t>工程</w:t>
            </w:r>
            <w:r>
              <w:rPr>
                <w:rFonts w:ascii="仿宋_GB2312" w:hAnsi="仿宋_GB2312" w:cs="仿宋_GB2312" w:eastAsia="仿宋_GB2312"/>
                <w:sz w:val="18"/>
              </w:rPr>
              <w:t>地点、</w:t>
            </w:r>
            <w:r>
              <w:rPr>
                <w:rFonts w:ascii="仿宋_GB2312" w:hAnsi="仿宋_GB2312" w:cs="仿宋_GB2312" w:eastAsia="仿宋_GB2312"/>
                <w:sz w:val="18"/>
              </w:rPr>
              <w:t>计划工期</w:t>
            </w:r>
            <w:r>
              <w:rPr>
                <w:rFonts w:ascii="仿宋_GB2312" w:hAnsi="仿宋_GB2312" w:cs="仿宋_GB2312" w:eastAsia="仿宋_GB2312"/>
                <w:sz w:val="18"/>
              </w:rPr>
              <w:t>、缺陷责任期、</w:t>
            </w:r>
            <w:r>
              <w:rPr>
                <w:rFonts w:ascii="仿宋_GB2312" w:hAnsi="仿宋_GB2312" w:cs="仿宋_GB2312" w:eastAsia="仿宋_GB2312"/>
                <w:sz w:val="18"/>
              </w:rPr>
              <w:t>工程质保期、质量要求</w:t>
            </w:r>
          </w:p>
          <w:p>
            <w:pPr>
              <w:pStyle w:val="null3"/>
              <w:ind w:firstLine="480"/>
            </w:pPr>
            <w:r>
              <w:rPr>
                <w:rFonts w:ascii="仿宋_GB2312" w:hAnsi="仿宋_GB2312" w:cs="仿宋_GB2312" w:eastAsia="仿宋_GB2312"/>
                <w:sz w:val="18"/>
              </w:rPr>
              <w:t>1.工程内容：</w:t>
            </w:r>
            <w:r>
              <w:rPr>
                <w:rFonts w:ascii="仿宋_GB2312" w:hAnsi="仿宋_GB2312" w:cs="仿宋_GB2312" w:eastAsia="仿宋_GB2312"/>
                <w:sz w:val="18"/>
              </w:rPr>
              <w:t>本工程包含办公楼室内拆除及装饰装修改造工程；厨房室拆除及装饰装修改造工程；校园东侧大门</w:t>
            </w:r>
            <w:r>
              <w:rPr>
                <w:rFonts w:ascii="仿宋_GB2312" w:hAnsi="仿宋_GB2312" w:cs="仿宋_GB2312" w:eastAsia="仿宋_GB2312"/>
                <w:sz w:val="18"/>
              </w:rPr>
              <w:t>2-3F走廊拆除及装饰装修改造工程；室外总体及外立面工程拆除及装饰装修改造工程；电气设备安装改造工程；给排水、采暖、燃气改造工程等具体内容详见工程量清单</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2.工程地点：</w:t>
            </w:r>
            <w:r>
              <w:rPr>
                <w:rFonts w:ascii="仿宋_GB2312" w:hAnsi="仿宋_GB2312" w:cs="仿宋_GB2312" w:eastAsia="仿宋_GB2312"/>
                <w:sz w:val="18"/>
              </w:rPr>
              <w:t>西安市碑林区铁五第二小学</w:t>
            </w:r>
            <w:r>
              <w:rPr>
                <w:rFonts w:ascii="仿宋_GB2312" w:hAnsi="仿宋_GB2312" w:cs="仿宋_GB2312" w:eastAsia="仿宋_GB2312"/>
              </w:rPr>
              <w:t xml:space="preserve"> </w:t>
            </w:r>
          </w:p>
          <w:p>
            <w:pPr>
              <w:pStyle w:val="null3"/>
              <w:ind w:firstLine="360"/>
              <w:jc w:val="both"/>
            </w:pPr>
            <w:r>
              <w:rPr>
                <w:rFonts w:ascii="仿宋_GB2312" w:hAnsi="仿宋_GB2312" w:cs="仿宋_GB2312" w:eastAsia="仿宋_GB2312"/>
                <w:sz w:val="18"/>
              </w:rPr>
              <w:t>3.</w:t>
            </w:r>
            <w:r>
              <w:rPr>
                <w:rFonts w:ascii="仿宋_GB2312" w:hAnsi="仿宋_GB2312" w:cs="仿宋_GB2312" w:eastAsia="仿宋_GB2312"/>
                <w:sz w:val="18"/>
              </w:rPr>
              <w:t>计划工期</w:t>
            </w:r>
            <w:r>
              <w:rPr>
                <w:rFonts w:ascii="仿宋_GB2312" w:hAnsi="仿宋_GB2312" w:cs="仿宋_GB2312" w:eastAsia="仿宋_GB2312"/>
                <w:sz w:val="18"/>
              </w:rPr>
              <w:t>：</w:t>
            </w:r>
            <w:r>
              <w:rPr>
                <w:rFonts w:ascii="仿宋_GB2312" w:hAnsi="仿宋_GB2312" w:cs="仿宋_GB2312" w:eastAsia="仿宋_GB2312"/>
                <w:sz w:val="18"/>
              </w:rPr>
              <w:t>自合同签订之日起</w:t>
            </w:r>
            <w:r>
              <w:rPr>
                <w:rFonts w:ascii="仿宋_GB2312" w:hAnsi="仿宋_GB2312" w:cs="仿宋_GB2312" w:eastAsia="仿宋_GB2312"/>
                <w:sz w:val="18"/>
              </w:rPr>
              <w:t>26</w:t>
            </w:r>
            <w:r>
              <w:rPr>
                <w:rFonts w:ascii="仿宋_GB2312" w:hAnsi="仿宋_GB2312" w:cs="仿宋_GB2312" w:eastAsia="仿宋_GB2312"/>
                <w:sz w:val="18"/>
              </w:rPr>
              <w:t>日历天</w:t>
            </w:r>
          </w:p>
          <w:p>
            <w:pPr>
              <w:pStyle w:val="null3"/>
              <w:ind w:firstLine="360"/>
              <w:jc w:val="both"/>
            </w:pPr>
            <w:r>
              <w:rPr>
                <w:rFonts w:ascii="仿宋_GB2312" w:hAnsi="仿宋_GB2312" w:cs="仿宋_GB2312" w:eastAsia="仿宋_GB2312"/>
                <w:sz w:val="18"/>
              </w:rPr>
              <w:t>4.缺陷责任期：</w:t>
            </w:r>
            <w:r>
              <w:rPr>
                <w:rFonts w:ascii="仿宋_GB2312" w:hAnsi="仿宋_GB2312" w:cs="仿宋_GB2312" w:eastAsia="仿宋_GB2312"/>
                <w:sz w:val="18"/>
              </w:rPr>
              <w:t>2年</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工程质保期</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年</w:t>
            </w:r>
          </w:p>
          <w:p>
            <w:pPr>
              <w:pStyle w:val="null3"/>
              <w:ind w:firstLine="360"/>
              <w:jc w:val="both"/>
            </w:pPr>
            <w:r>
              <w:rPr>
                <w:rFonts w:ascii="仿宋_GB2312" w:hAnsi="仿宋_GB2312" w:cs="仿宋_GB2312" w:eastAsia="仿宋_GB2312"/>
                <w:sz w:val="18"/>
              </w:rPr>
              <w:t>6.质量要求：按国家有关验收规范标准，工程质量达到合格标准。</w:t>
            </w:r>
          </w:p>
          <w:p>
            <w:pPr>
              <w:pStyle w:val="null3"/>
              <w:ind w:firstLine="360"/>
              <w:jc w:val="both"/>
            </w:pPr>
            <w:r>
              <w:rPr>
                <w:rFonts w:ascii="仿宋_GB2312" w:hAnsi="仿宋_GB2312" w:cs="仿宋_GB2312" w:eastAsia="仿宋_GB2312"/>
                <w:sz w:val="18"/>
              </w:rPr>
              <w:t>二</w:t>
            </w:r>
            <w:r>
              <w:rPr>
                <w:rFonts w:ascii="仿宋_GB2312" w:hAnsi="仿宋_GB2312" w:cs="仿宋_GB2312" w:eastAsia="仿宋_GB2312"/>
                <w:sz w:val="18"/>
              </w:rPr>
              <w:t>、工程量清单</w:t>
            </w:r>
            <w:r>
              <w:rPr>
                <w:rFonts w:ascii="仿宋_GB2312" w:hAnsi="仿宋_GB2312" w:cs="仿宋_GB2312" w:eastAsia="仿宋_GB2312"/>
                <w:sz w:val="18"/>
              </w:rPr>
              <w:t>编制依据</w:t>
            </w:r>
          </w:p>
          <w:p>
            <w:pPr>
              <w:pStyle w:val="null3"/>
              <w:jc w:val="left"/>
            </w:pPr>
            <w:r>
              <w:rPr>
                <w:rFonts w:ascii="仿宋_GB2312" w:hAnsi="仿宋_GB2312" w:cs="仿宋_GB2312" w:eastAsia="仿宋_GB2312"/>
                <w:sz w:val="18"/>
              </w:rPr>
              <w:t>1．2009年《陕西省建设工程工程量清单计价规则》、2004《陕西省建筑、装饰、安装、市政消耗量定额》及勘误表（2009）、《陕西省建设工程消耗量定额（2004）补充定额》、2009《陕西省建筑、装饰、安装、市政工程价目表》、《全统修缮定额土建、安装工程陕西省价目表》（2001）、2002《陕西省室内装修工程定额》、《陕西省建设工程量清单计价费率》；</w:t>
            </w:r>
          </w:p>
          <w:p>
            <w:pPr>
              <w:pStyle w:val="null3"/>
              <w:jc w:val="left"/>
            </w:pPr>
            <w:r>
              <w:rPr>
                <w:rFonts w:ascii="仿宋_GB2312" w:hAnsi="仿宋_GB2312" w:cs="仿宋_GB2312" w:eastAsia="仿宋_GB2312"/>
                <w:sz w:val="18"/>
              </w:rPr>
              <w:t>2．《西安市碑林区铁五第二小学校舍改造维修项目》施工图纸；</w:t>
            </w:r>
          </w:p>
          <w:p>
            <w:pPr>
              <w:pStyle w:val="null3"/>
              <w:jc w:val="left"/>
            </w:pPr>
            <w:r>
              <w:rPr>
                <w:rFonts w:ascii="仿宋_GB2312" w:hAnsi="仿宋_GB2312" w:cs="仿宋_GB2312" w:eastAsia="仿宋_GB2312"/>
                <w:sz w:val="18"/>
              </w:rPr>
              <w:t>3．陕建发【2019】45号文件关于调整我省建设工程计价依据的通知；</w:t>
            </w:r>
          </w:p>
          <w:p>
            <w:pPr>
              <w:pStyle w:val="null3"/>
              <w:jc w:val="left"/>
            </w:pPr>
            <w:r>
              <w:rPr>
                <w:rFonts w:ascii="仿宋_GB2312" w:hAnsi="仿宋_GB2312" w:cs="仿宋_GB2312" w:eastAsia="仿宋_GB2312"/>
                <w:sz w:val="18"/>
              </w:rPr>
              <w:t>4．陕建发【2019】1246号文件关于陕西省住房和城乡建设厅关于发布我省落实建筑工人实名制管理计价依据的通知；</w:t>
            </w:r>
          </w:p>
          <w:p>
            <w:pPr>
              <w:pStyle w:val="null3"/>
              <w:jc w:val="left"/>
            </w:pPr>
            <w:r>
              <w:rPr>
                <w:rFonts w:ascii="仿宋_GB2312" w:hAnsi="仿宋_GB2312" w:cs="仿宋_GB2312" w:eastAsia="仿宋_GB2312"/>
                <w:sz w:val="18"/>
              </w:rPr>
              <w:t>5．陕建发【2020】1097号文关于建筑施工安全生产责任保险费用计价的通知；</w:t>
            </w:r>
          </w:p>
          <w:p>
            <w:pPr>
              <w:pStyle w:val="null3"/>
              <w:jc w:val="left"/>
            </w:pPr>
            <w:r>
              <w:rPr>
                <w:rFonts w:ascii="仿宋_GB2312" w:hAnsi="仿宋_GB2312" w:cs="仿宋_GB2312" w:eastAsia="仿宋_GB2312"/>
                <w:sz w:val="18"/>
              </w:rPr>
              <w:t>6．陕建发【2021】1021号建筑业劳保费用执行陕西省住房和城乡建设厅《关于全省统一停止收缴建筑业劳保费用的通知》；</w:t>
            </w:r>
          </w:p>
          <w:p>
            <w:pPr>
              <w:pStyle w:val="null3"/>
              <w:jc w:val="left"/>
            </w:pPr>
            <w:r>
              <w:rPr>
                <w:rFonts w:ascii="仿宋_GB2312" w:hAnsi="仿宋_GB2312" w:cs="仿宋_GB2312" w:eastAsia="仿宋_GB2312"/>
                <w:sz w:val="18"/>
              </w:rPr>
              <w:t>7．人工费调整执行关于调整房屋建筑和市政基础设施工程工程量清单计价综合人工单价的通知陕建发【2021】1097号文；</w:t>
            </w:r>
          </w:p>
          <w:p>
            <w:pPr>
              <w:pStyle w:val="null3"/>
              <w:jc w:val="left"/>
            </w:pPr>
            <w:r>
              <w:rPr>
                <w:rFonts w:ascii="仿宋_GB2312" w:hAnsi="仿宋_GB2312" w:cs="仿宋_GB2312" w:eastAsia="仿宋_GB2312"/>
                <w:sz w:val="18"/>
              </w:rPr>
              <w:t>8．清单编制按照正常的施工组织设计及施工方法；</w:t>
            </w:r>
          </w:p>
          <w:p>
            <w:pPr>
              <w:pStyle w:val="null3"/>
              <w:jc w:val="left"/>
            </w:pPr>
            <w:r>
              <w:rPr>
                <w:rFonts w:ascii="仿宋_GB2312" w:hAnsi="仿宋_GB2312" w:cs="仿宋_GB2312" w:eastAsia="仿宋_GB2312"/>
                <w:sz w:val="18"/>
              </w:rPr>
              <w:t>9．与建设工程项目有关的标准、规范、图集、技术资料；</w:t>
            </w:r>
          </w:p>
          <w:p>
            <w:pPr>
              <w:pStyle w:val="null3"/>
              <w:jc w:val="left"/>
            </w:pPr>
            <w:r>
              <w:rPr>
                <w:rFonts w:ascii="仿宋_GB2312" w:hAnsi="仿宋_GB2312" w:cs="仿宋_GB2312" w:eastAsia="仿宋_GB2312"/>
                <w:sz w:val="18"/>
              </w:rPr>
              <w:t>10．设计图采用的相关标准图集、施工规范及验收规范；</w:t>
            </w:r>
          </w:p>
          <w:p>
            <w:pPr>
              <w:pStyle w:val="null3"/>
              <w:jc w:val="left"/>
            </w:pPr>
            <w:r>
              <w:rPr>
                <w:rFonts w:ascii="仿宋_GB2312" w:hAnsi="仿宋_GB2312" w:cs="仿宋_GB2312" w:eastAsia="仿宋_GB2312"/>
                <w:sz w:val="18"/>
              </w:rPr>
              <w:t>11、编制软件采用广联达GCCP6.0（版本号6.4100.23.122）。</w:t>
            </w:r>
          </w:p>
          <w:p>
            <w:pPr>
              <w:pStyle w:val="null3"/>
              <w:ind w:firstLine="360"/>
              <w:jc w:val="left"/>
            </w:pPr>
            <w:r>
              <w:rPr>
                <w:rFonts w:ascii="仿宋_GB2312" w:hAnsi="仿宋_GB2312" w:cs="仿宋_GB2312" w:eastAsia="仿宋_GB2312"/>
                <w:sz w:val="18"/>
              </w:rPr>
              <w:t>三、其他说明</w:t>
            </w:r>
          </w:p>
          <w:p>
            <w:pPr>
              <w:pStyle w:val="null3"/>
              <w:ind w:firstLine="360"/>
              <w:jc w:val="left"/>
            </w:pPr>
            <w:r>
              <w:rPr>
                <w:rFonts w:ascii="仿宋_GB2312" w:hAnsi="仿宋_GB2312" w:cs="仿宋_GB2312" w:eastAsia="仿宋_GB2312"/>
                <w:sz w:val="18"/>
              </w:rPr>
              <w:t>1.暂列金额：</w:t>
            </w:r>
          </w:p>
          <w:p>
            <w:pPr>
              <w:pStyle w:val="null3"/>
              <w:jc w:val="left"/>
            </w:pPr>
            <w:r>
              <w:rPr>
                <w:rFonts w:ascii="仿宋_GB2312" w:hAnsi="仿宋_GB2312" w:cs="仿宋_GB2312" w:eastAsia="仿宋_GB2312"/>
                <w:sz w:val="18"/>
              </w:rPr>
              <w:t>本项目暂列金额为</w:t>
            </w:r>
            <w:r>
              <w:rPr>
                <w:rFonts w:ascii="仿宋_GB2312" w:hAnsi="仿宋_GB2312" w:cs="仿宋_GB2312" w:eastAsia="仿宋_GB2312"/>
                <w:sz w:val="18"/>
              </w:rPr>
              <w:t>80000元，计入办公室工程其他项目费中</w:t>
            </w:r>
            <w:r>
              <w:rPr>
                <w:rFonts w:ascii="仿宋_GB2312" w:hAnsi="仿宋_GB2312" w:cs="仿宋_GB2312" w:eastAsia="仿宋_GB2312"/>
                <w:sz w:val="18"/>
              </w:rPr>
              <w:t>。</w:t>
            </w:r>
          </w:p>
          <w:p>
            <w:pPr>
              <w:pStyle w:val="null3"/>
              <w:ind w:firstLine="360"/>
              <w:jc w:val="left"/>
            </w:pPr>
            <w:r>
              <w:rPr>
                <w:rFonts w:ascii="仿宋_GB2312" w:hAnsi="仿宋_GB2312" w:cs="仿宋_GB2312" w:eastAsia="仿宋_GB2312"/>
                <w:sz w:val="18"/>
              </w:rPr>
              <w:t>四、施工要求</w:t>
            </w:r>
          </w:p>
          <w:p>
            <w:pPr>
              <w:pStyle w:val="null3"/>
              <w:jc w:val="left"/>
            </w:pPr>
            <w:r>
              <w:rPr>
                <w:rFonts w:ascii="仿宋_GB2312" w:hAnsi="仿宋_GB2312" w:cs="仿宋_GB2312" w:eastAsia="仿宋_GB2312"/>
                <w:sz w:val="18"/>
              </w:rPr>
              <w:t>在施工期间，中标供应商必须注意院内人员安全，加强安全措施，并对施工人员进行安全教育。施工人员必须持证上岗。因采购人工作的特殊性，要求中标供应商在施工中做到封闭性施工。</w:t>
            </w:r>
          </w:p>
          <w:p>
            <w:pPr>
              <w:pStyle w:val="null3"/>
              <w:ind w:firstLine="360"/>
              <w:jc w:val="left"/>
            </w:pPr>
            <w:r>
              <w:rPr>
                <w:rFonts w:ascii="仿宋_GB2312" w:hAnsi="仿宋_GB2312" w:cs="仿宋_GB2312" w:eastAsia="仿宋_GB2312"/>
                <w:sz w:val="18"/>
              </w:rPr>
              <w:t>五、商务要求</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预付款（扣除暂列金额）于合同签订后，达到付款条件后</w:t>
            </w:r>
            <w:r>
              <w:rPr>
                <w:rFonts w:ascii="仿宋_GB2312" w:hAnsi="仿宋_GB2312" w:cs="仿宋_GB2312" w:eastAsia="仿宋_GB2312"/>
                <w:sz w:val="18"/>
              </w:rPr>
              <w:t>7天内，</w:t>
            </w:r>
            <w:r>
              <w:rPr>
                <w:rFonts w:ascii="仿宋_GB2312" w:hAnsi="仿宋_GB2312" w:cs="仿宋_GB2312" w:eastAsia="仿宋_GB2312"/>
                <w:sz w:val="18"/>
              </w:rPr>
              <w:t>支付合同总价</w:t>
            </w:r>
            <w:r>
              <w:rPr>
                <w:rFonts w:ascii="仿宋_GB2312" w:hAnsi="仿宋_GB2312" w:cs="仿宋_GB2312" w:eastAsia="仿宋_GB2312"/>
                <w:sz w:val="18"/>
              </w:rPr>
              <w:t>40%</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2）工程完工验收合格后，达到付款条件后7天内，</w:t>
            </w:r>
            <w:r>
              <w:rPr>
                <w:rFonts w:ascii="仿宋_GB2312" w:hAnsi="仿宋_GB2312" w:cs="仿宋_GB2312" w:eastAsia="仿宋_GB2312"/>
                <w:sz w:val="18"/>
              </w:rPr>
              <w:t>支付合同总价</w:t>
            </w:r>
            <w:r>
              <w:rPr>
                <w:rFonts w:ascii="仿宋_GB2312" w:hAnsi="仿宋_GB2312" w:cs="仿宋_GB2312" w:eastAsia="仿宋_GB2312"/>
                <w:sz w:val="18"/>
              </w:rPr>
              <w:t>40</w:t>
            </w:r>
            <w:r>
              <w:rPr>
                <w:rFonts w:ascii="仿宋_GB2312" w:hAnsi="仿宋_GB2312" w:cs="仿宋_GB2312" w:eastAsia="仿宋_GB2312"/>
                <w:sz w:val="18"/>
              </w:rPr>
              <w:t>%</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3）工程结算审计后，达到付款条件后7天内，支付到工程审定额的100%。</w:t>
            </w:r>
          </w:p>
          <w:p>
            <w:pPr>
              <w:pStyle w:val="null3"/>
              <w:ind w:firstLine="360"/>
              <w:jc w:val="both"/>
            </w:pPr>
            <w:r>
              <w:rPr>
                <w:rFonts w:ascii="仿宋_GB2312" w:hAnsi="仿宋_GB2312" w:cs="仿宋_GB2312" w:eastAsia="仿宋_GB2312"/>
                <w:sz w:val="18"/>
              </w:rPr>
              <w:t>六、其他</w:t>
            </w:r>
          </w:p>
          <w:p>
            <w:pPr>
              <w:pStyle w:val="null3"/>
              <w:ind w:firstLine="360"/>
              <w:jc w:val="both"/>
            </w:pPr>
            <w:r>
              <w:rPr>
                <w:rFonts w:ascii="仿宋_GB2312" w:hAnsi="仿宋_GB2312" w:cs="仿宋_GB2312" w:eastAsia="仿宋_GB2312"/>
                <w:sz w:val="18"/>
              </w:rPr>
              <w:t>1.质量验收标准或规范</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符合国家及行业质量验收</w:t>
            </w:r>
            <w:r>
              <w:rPr>
                <w:rFonts w:ascii="仿宋_GB2312" w:hAnsi="仿宋_GB2312" w:cs="仿宋_GB2312" w:eastAsia="仿宋_GB2312"/>
                <w:sz w:val="18"/>
              </w:rPr>
              <w:t>“合格”标准</w:t>
            </w:r>
            <w:r>
              <w:rPr>
                <w:rFonts w:ascii="仿宋_GB2312" w:hAnsi="仿宋_GB2312" w:cs="仿宋_GB2312" w:eastAsia="仿宋_GB2312"/>
                <w:sz w:val="18"/>
              </w:rPr>
              <w:t>；（</w:t>
            </w:r>
            <w:r>
              <w:rPr>
                <w:rFonts w:ascii="仿宋_GB2312" w:hAnsi="仿宋_GB2312" w:cs="仿宋_GB2312" w:eastAsia="仿宋_GB2312"/>
                <w:sz w:val="18"/>
              </w:rPr>
              <w:t>2）符合《安全生产管理条例》的标准；符合工程相关规范要求。</w:t>
            </w:r>
          </w:p>
          <w:p>
            <w:pPr>
              <w:pStyle w:val="null3"/>
              <w:ind w:firstLine="360"/>
              <w:jc w:val="both"/>
            </w:pPr>
            <w:r>
              <w:rPr>
                <w:rFonts w:ascii="仿宋_GB2312" w:hAnsi="仿宋_GB2312" w:cs="仿宋_GB2312" w:eastAsia="仿宋_GB2312"/>
                <w:sz w:val="18"/>
              </w:rPr>
              <w:t>2.违约责任</w:t>
            </w:r>
          </w:p>
          <w:p>
            <w:pPr>
              <w:pStyle w:val="null3"/>
              <w:jc w:val="both"/>
            </w:pPr>
            <w:r>
              <w:rPr>
                <w:rFonts w:ascii="仿宋_GB2312" w:hAnsi="仿宋_GB2312" w:cs="仿宋_GB2312" w:eastAsia="仿宋_GB2312"/>
                <w:sz w:val="18"/>
              </w:rPr>
              <w:t>(1)按《中华人民共和国民法典》中的相关条款执行。(2)供应商未按合同要求施工或施工质量不能满足合同要求的，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政府《采购法》及相关法律法规对供应商的违法行为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（1）符合国家及行业质量验收“合格”标准；（2）符合《安全生产管理条例》的标准；符合工程相关规范要求。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的磋商报价包括施工设备费、人工费、管理费、材料与设备费、安装费、保险费、税金、利润、政策性规费、风险、责任等所有费用，并符合建设工程计价规则。已标价工程量清单应当按照采购文件中规定的暂列金额进行报价，否则将按无效响应处理。 2、本项目采购标的所属行业为：建筑业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 工程量清单及图纸：另附电子版。 4、成交供应商在中标后，须向采购代理机构提供纸质版响应文件2套，且提供的响应文件必须与在陕西省政府采购综合管理平台的项目电子化交易系统中递交的电子响应文件内容一致，纸质版响应文件必须装订成册签字盖章。 5、如磋商文件中融资相关内容与新政策要求有出入，按照最新要求执行。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拟派项目经理须具有建筑工程专业二级及以上注册建造师证书和有效的安全生产考核证书（B证）,在本单位注册且无不良记录，无在建工程（提供无不良记录，无在建工程承诺书）。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基本信息查询</w:t>
            </w:r>
          </w:p>
        </w:tc>
        <w:tc>
          <w:tcPr>
            <w:tcW w:type="dxa" w:w="3322"/>
          </w:tcPr>
          <w:p>
            <w:pPr>
              <w:pStyle w:val="null3"/>
            </w:pPr>
            <w:r>
              <w:rPr>
                <w:rFonts w:ascii="仿宋_GB2312" w:hAnsi="仿宋_GB2312" w:cs="仿宋_GB2312" w:eastAsia="仿宋_GB2312"/>
              </w:rPr>
              <w:t>供应商及项目经理的基本信息在“陕西省住房和城乡建设厅 (http://js.shaanxi.gov.cn/)”或“全国建筑市场监管公共服务平台(https://jzsc.mohurd.gov.cn/)”可查询。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w:t>
            </w:r>
          </w:p>
        </w:tc>
        <w:tc>
          <w:tcPr>
            <w:tcW w:type="dxa" w:w="3322"/>
          </w:tcPr>
          <w:p>
            <w:pPr>
              <w:pStyle w:val="null3"/>
            </w:pPr>
            <w:r>
              <w:rPr>
                <w:rFonts w:ascii="仿宋_GB2312" w:hAnsi="仿宋_GB2312" w:cs="仿宋_GB2312" w:eastAsia="仿宋_GB2312"/>
              </w:rPr>
              <w:t>磋商响应文件中项目名称、项目编号与本项目一致</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供应商承诺书.docx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技术部分方案.docx 供应商承诺书.docx 强制优先采购产品承诺函 响应文件封面 供应商应提交的相关资格证明材料.docx 项目管理机构组成表 残疾人福利性单位声明函 报价函 标的清单 供应商类似项目业绩一览表 响应函 主要人员简历表 供应商需要补充的其他内容.docx 监狱企业的证明文件 享受政府采购政策的证明材料.docx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磋商报价未超出采购最高限价</w:t>
            </w:r>
          </w:p>
        </w:tc>
        <w:tc>
          <w:tcPr>
            <w:tcW w:type="dxa" w:w="3322"/>
          </w:tcPr>
          <w:p>
            <w:pPr>
              <w:pStyle w:val="null3"/>
            </w:pPr>
            <w:r>
              <w:rPr>
                <w:rFonts w:ascii="仿宋_GB2312" w:hAnsi="仿宋_GB2312" w:cs="仿宋_GB2312" w:eastAsia="仿宋_GB2312"/>
              </w:rPr>
              <w:t>磋商报价未超出采购最高限价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暂列金额</w:t>
            </w:r>
          </w:p>
        </w:tc>
        <w:tc>
          <w:tcPr>
            <w:tcW w:type="dxa" w:w="3322"/>
          </w:tcPr>
          <w:p>
            <w:pPr>
              <w:pStyle w:val="null3"/>
            </w:pPr>
            <w:r>
              <w:rPr>
                <w:rFonts w:ascii="仿宋_GB2312" w:hAnsi="仿宋_GB2312" w:cs="仿宋_GB2312" w:eastAsia="仿宋_GB2312"/>
              </w:rPr>
              <w:t>按磋商文件规定计取</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总体施工组织布置及规划科学、合理、可行，根据响应情况7-10分； 总体施工组织布置及规划较科学、较合理、较可行，根据响应情况得 4-7分； 总体施工组织布置及规划不科学、不合理、可行性差，未能完全满足工作要求,根据响应情况得0-4分。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供应商有完善的安全、文明施工措施及环境保护措施，措施编制完整合理、可操作性强，根据响应情况得7-10分； 供应商的安全、文明施工措施及环境保护措 施基本合理、操作性一般，根据响应情况得4-7分； 供应商提供的安全、文明施工措施及环境保 护措施不尽完善、操作性不强、不能完全满足工作要求，根据响应情况得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供应商有完善的施工质量及施工进度保证措施、明确的项目职责与分工，能有效地保证服务质量，确保按时按量完成服务工作，根据响应情况得 7-10分； 供应商的施工质量及施工进度保证措施完善、程序措施较为规范合理，根据响应情况得4-7分； 供应商的施工质量及施工进度保证措施不尽完善、不能完全满足工作要求，根据响应情况得0-4分。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项目部人员配备情况； 人员配备合理、工种和证件齐备、岗位分工明确得7-10分； 人员配备较为合理得得4-7分； 人员配备一般得0-4分。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提供的项目施工方案详细、合理、全面，根据响应情况得 7-10分； 提供的项目施工方案较详细、基本合理，根据响应情况得 4-7分； 提供的项目施工方案有缺陷或不尽合理，前后矛盾，根据响应情况得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劳动力安排及施工机械配备投入计划</w:t>
            </w:r>
          </w:p>
        </w:tc>
        <w:tc>
          <w:tcPr>
            <w:tcW w:type="dxa" w:w="2492"/>
          </w:tcPr>
          <w:p>
            <w:pPr>
              <w:pStyle w:val="null3"/>
            </w:pPr>
            <w:r>
              <w:rPr>
                <w:rFonts w:ascii="仿宋_GB2312" w:hAnsi="仿宋_GB2312" w:cs="仿宋_GB2312" w:eastAsia="仿宋_GB2312"/>
              </w:rPr>
              <w:t>供应商所制定的劳动力安排及施工机械配备投入计划可操作性强，机械工具配置齐全、情况良好。根据响应情况得7-9分； 供应商所制定的劳动力安排及施工机械配备 投入计划可操作性一般，基本满足工作要求，根据响应情况得4-7分； 供应商所制定的劳动力安排及施工机械配备投入计划方案较差、不合理、有缺漏，根据响应情况得0-4分。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根据供应商提供的服务承诺（包括但不限于工期、工程质量、安全方面）的情况自主赋分。 描述详尽、具体、可行性强得2-4分； 描述较详尽、较具体、可行性一般得0-2分。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享受政府采购政策的证明材料.docx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 类似项目业绩，每提供一个计1分，满分5分（以施工合同为准，时间以合同签订时间为准 ，提供复印件加盖供应商公章）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详见附件：技术部分方案.docx</w:t>
      </w:r>
    </w:p>
    <w:p>
      <w:pPr>
        <w:pStyle w:val="null3"/>
        <w:ind w:firstLine="960"/>
      </w:pPr>
      <w:r>
        <w:rPr>
          <w:rFonts w:ascii="仿宋_GB2312" w:hAnsi="仿宋_GB2312" w:cs="仿宋_GB2312" w:eastAsia="仿宋_GB2312"/>
        </w:rPr>
        <w:t>详见附件：享受政府采购政策的证明材料.docx</w:t>
      </w:r>
    </w:p>
    <w:p>
      <w:pPr>
        <w:pStyle w:val="null3"/>
        <w:ind w:firstLine="960"/>
      </w:pPr>
      <w:r>
        <w:rPr>
          <w:rFonts w:ascii="仿宋_GB2312" w:hAnsi="仿宋_GB2312" w:cs="仿宋_GB2312" w:eastAsia="仿宋_GB2312"/>
        </w:rPr>
        <w:t>详见附件：供应商需要补充的其他内容.docx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