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版本号：XBZB-2025-07720250627001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臭氧激光雷达监测服务项目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XBZB-2025-077</w:t>
      </w:r>
      <w:r>
        <w:br/>
      </w:r>
      <w:r>
        <w:br/>
      </w:r>
      <w:r>
        <w:br/>
      </w:r>
    </w:p>
    <w:p>
      <w:pPr>
        <w:pStyle w:val="null3"/>
        <w:jc w:val="center"/>
        <w:outlineLvl w:val="2"/>
      </w:pPr>
      <w:r>
        <w:rPr>
          <w:rFonts w:ascii="仿宋_GB2312" w:hAnsi="仿宋_GB2312" w:cs="仿宋_GB2312" w:eastAsia="仿宋_GB2312"/>
          <w:sz w:val="28"/>
          <w:b/>
        </w:rPr>
        <w:t>西安市碑林区生态环境保护委员会办公室</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西安市碑林区生态环境保护委员会办公室</w:t>
      </w:r>
      <w:r>
        <w:rPr>
          <w:rFonts w:ascii="仿宋_GB2312" w:hAnsi="仿宋_GB2312" w:cs="仿宋_GB2312" w:eastAsia="仿宋_GB2312"/>
        </w:rPr>
        <w:t>委托，拟对</w:t>
      </w:r>
      <w:r>
        <w:rPr>
          <w:rFonts w:ascii="仿宋_GB2312" w:hAnsi="仿宋_GB2312" w:cs="仿宋_GB2312" w:eastAsia="仿宋_GB2312"/>
        </w:rPr>
        <w:t>臭氧激光雷达监测服务项目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XBZB-2025-077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臭氧激光雷达监测服务项目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在辖区臭氧数据较高的地区进行激光雷达监测，至少持续监测一个月，确定臭氧空间分布特征及产生和传输过程。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采购包1（臭氧激光雷达监测服务项目）：属于专门面向中小企业采购。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1、法定代表人授权书/法定代表人身份证明：法定代表人授权书须附法定代表人、被授权人身份证复印件；法定代表人直接参加磋商，须提供法定代表人身份证明。</w:t>
      </w:r>
    </w:p>
    <w:p>
      <w:pPr>
        <w:pStyle w:val="null3"/>
      </w:pPr>
      <w:r>
        <w:rPr>
          <w:rFonts w:ascii="仿宋_GB2312" w:hAnsi="仿宋_GB2312" w:cs="仿宋_GB2312" w:eastAsia="仿宋_GB2312"/>
        </w:rPr>
        <w:t>2、信用记录：供应商未被“信用中国”网站列入失信被执行人和重大税收违法失信主体，未被中国政府采购网列入政府采购严重违法失信行为记录名单（以现场信用记录查询结果为准）。</w:t>
      </w:r>
    </w:p>
    <w:p>
      <w:pPr>
        <w:pStyle w:val="null3"/>
      </w:pPr>
      <w:r>
        <w:rPr>
          <w:rFonts w:ascii="仿宋_GB2312" w:hAnsi="仿宋_GB2312" w:cs="仿宋_GB2312" w:eastAsia="仿宋_GB2312"/>
        </w:rPr>
        <w:t>3、非联合体磋商：本项目不接受联合体磋商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西安市碑林区生态环境保护委员会办公室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西安市碑林区咸宁西路89号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029-89625796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西安市碑林区南关正街长安国际F座17层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王富敏、张戈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029-85221302/13572926183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代理服务费收费标准：1.参照国家计委2002年颁发的《招标代理服务收费管理暂行办法》(计价格〔2002〕1980号)文件的规定，以预算金额为基数计算。 2.支付方式：成交供应商应在领取成交通知书前，一次性支付本项目采购代理服务费。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西安市碑林区生态环境保护委员会办公室</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西安市碑林区生态环境保护委员会办公室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西安市碑林区生态环境保护委员会办公室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联系人：王富敏、张戈</w:t>
      </w:r>
    </w:p>
    <w:p>
      <w:pPr>
        <w:pStyle w:val="null3"/>
      </w:pPr>
      <w:r>
        <w:rPr>
          <w:rFonts w:ascii="仿宋_GB2312" w:hAnsi="仿宋_GB2312" w:cs="仿宋_GB2312" w:eastAsia="仿宋_GB2312"/>
        </w:rPr>
        <w:t>联系电话：029-85221302/13572926183</w:t>
      </w:r>
    </w:p>
    <w:p>
      <w:pPr>
        <w:pStyle w:val="null3"/>
      </w:pPr>
      <w:r>
        <w:rPr>
          <w:rFonts w:ascii="仿宋_GB2312" w:hAnsi="仿宋_GB2312" w:cs="仿宋_GB2312" w:eastAsia="仿宋_GB2312"/>
        </w:rPr>
        <w:t>地址：西安市碑林区南关正街长安国际F座17层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在辖区臭氧数据较高的地区进行激光雷达监测，至少持续监测一个月，确定臭氧空间分布特征及产生和传输过程。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臭氧激光雷达监测服务项目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标的名称：臭氧激光雷达监测服务项目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在臭氧污染严重时段7-8月，选择合适点位布设臭氧激光雷达，通过30天对臭氧空间分布的持续观测，确定区域臭氧空间分布特征及产生和传输过程；掌握区域臭氧现状和污染成因，准确预测臭氧未来变化趋势，保障近地面站点数据，实现对臭氧污染来源解析和去向追踪，科学制定防治措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臭氧激光雷达技术要求</w:t>
            </w:r>
          </w:p>
          <w:p>
            <w:pPr>
              <w:pStyle w:val="null3"/>
              <w:ind w:firstLine="420"/>
              <w:jc w:val="both"/>
            </w:pPr>
            <w:r>
              <w:rPr>
                <w:rFonts w:ascii="仿宋_GB2312" w:hAnsi="仿宋_GB2312" w:cs="仿宋_GB2312" w:eastAsia="仿宋_GB2312"/>
                <w:sz w:val="21"/>
              </w:rPr>
              <w:t>监测臭氧污染空间分布信息，实现污染溯源工作，有力支撑臭氧大气污染防治工作。</w:t>
            </w:r>
          </w:p>
          <w:p>
            <w:pPr>
              <w:pStyle w:val="null3"/>
              <w:numPr>
                <w:ilvl w:val="0"/>
                <w:numId w:val="1"/>
              </w:numPr>
              <w:jc w:val="both"/>
            </w:pPr>
            <w:r>
              <w:rPr>
                <w:rFonts w:ascii="仿宋_GB2312" w:hAnsi="仿宋_GB2312" w:cs="仿宋_GB2312" w:eastAsia="仿宋_GB2312"/>
                <w:sz w:val="21"/>
              </w:rPr>
              <w:t>时间分辨率：1</w:t>
            </w:r>
            <w:r>
              <w:rPr>
                <w:rFonts w:ascii="仿宋_GB2312" w:hAnsi="仿宋_GB2312" w:cs="仿宋_GB2312" w:eastAsia="仿宋_GB2312"/>
                <w:sz w:val="21"/>
              </w:rPr>
              <w:t>s</w:t>
            </w:r>
            <w:r>
              <w:rPr>
                <w:rFonts w:ascii="仿宋_GB2312" w:hAnsi="仿宋_GB2312" w:cs="仿宋_GB2312" w:eastAsia="仿宋_GB2312"/>
                <w:sz w:val="21"/>
              </w:rPr>
              <w:t>及其倍数可调。</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空间分辨率：3m及其倍数可调。</w:t>
            </w:r>
          </w:p>
          <w:p>
            <w:pPr>
              <w:pStyle w:val="null3"/>
              <w:ind w:firstLine="420"/>
              <w:jc w:val="both"/>
            </w:pPr>
            <w:r>
              <w:rPr>
                <w:rFonts w:ascii="仿宋_GB2312" w:hAnsi="仿宋_GB2312" w:cs="仿宋_GB2312" w:eastAsia="仿宋_GB2312"/>
                <w:sz w:val="21"/>
              </w:rPr>
              <w:t>（3）探测距离：≥5km。</w:t>
            </w:r>
          </w:p>
          <w:p>
            <w:pPr>
              <w:pStyle w:val="null3"/>
              <w:ind w:firstLine="420"/>
              <w:jc w:val="both"/>
            </w:pPr>
            <w:r>
              <w:rPr>
                <w:rFonts w:ascii="仿宋_GB2312" w:hAnsi="仿宋_GB2312" w:cs="仿宋_GB2312" w:eastAsia="仿宋_GB2312"/>
                <w:sz w:val="21"/>
              </w:rPr>
              <w:t>（4）光源重复频率：2kHz-7kHz可调</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（5）空间模式：TEM00，M</w:t>
            </w:r>
            <w:r>
              <w:rPr>
                <w:rFonts w:ascii="仿宋_GB2312" w:hAnsi="仿宋_GB2312" w:cs="仿宋_GB2312" w:eastAsia="仿宋_GB2312"/>
                <w:sz w:val="21"/>
                <w:vertAlign w:val="superscript"/>
              </w:rPr>
              <w:t>2</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（6）光斑直径：</w:t>
            </w:r>
            <w:r>
              <w:rPr>
                <w:rFonts w:ascii="仿宋_GB2312" w:hAnsi="仿宋_GB2312" w:cs="仿宋_GB2312" w:eastAsia="仿宋_GB2312"/>
                <w:sz w:val="21"/>
              </w:rPr>
              <w:t>≥10mm。</w:t>
            </w:r>
          </w:p>
          <w:p>
            <w:pPr>
              <w:pStyle w:val="null3"/>
              <w:ind w:firstLine="420"/>
              <w:jc w:val="both"/>
            </w:pPr>
            <w:r>
              <w:rPr>
                <w:rFonts w:ascii="仿宋_GB2312" w:hAnsi="仿宋_GB2312" w:cs="仿宋_GB2312" w:eastAsia="仿宋_GB2312"/>
                <w:sz w:val="21"/>
              </w:rPr>
              <w:t>（7）发散角</w:t>
            </w:r>
            <w:r>
              <w:rPr>
                <w:rFonts w:ascii="仿宋_GB2312" w:hAnsi="仿宋_GB2312" w:cs="仿宋_GB2312" w:eastAsia="仿宋_GB2312"/>
                <w:sz w:val="21"/>
              </w:rPr>
              <w:t>：</w:t>
            </w:r>
            <w:r>
              <w:rPr>
                <w:rFonts w:ascii="仿宋_GB2312" w:hAnsi="仿宋_GB2312" w:cs="仿宋_GB2312" w:eastAsia="仿宋_GB2312"/>
                <w:sz w:val="21"/>
              </w:rPr>
              <w:t>≤0.2mrad。</w:t>
            </w:r>
          </w:p>
          <w:p>
            <w:pPr>
              <w:pStyle w:val="null3"/>
              <w:ind w:firstLine="420"/>
              <w:jc w:val="both"/>
            </w:pPr>
            <w:r>
              <w:rPr>
                <w:rFonts w:ascii="仿宋_GB2312" w:hAnsi="仿宋_GB2312" w:cs="仿宋_GB2312" w:eastAsia="仿宋_GB2312"/>
                <w:sz w:val="21"/>
              </w:rPr>
              <w:t>（8）脉冲宽度：</w:t>
            </w: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ns。</w:t>
            </w:r>
          </w:p>
          <w:p>
            <w:pPr>
              <w:pStyle w:val="null3"/>
              <w:ind w:firstLine="420"/>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光</w:t>
            </w:r>
            <w:r>
              <w:rPr>
                <w:rFonts w:ascii="仿宋_GB2312" w:hAnsi="仿宋_GB2312" w:cs="仿宋_GB2312" w:eastAsia="仿宋_GB2312"/>
                <w:sz w:val="21"/>
              </w:rPr>
              <w:t>束</w:t>
            </w:r>
            <w:r>
              <w:rPr>
                <w:rFonts w:ascii="仿宋_GB2312" w:hAnsi="仿宋_GB2312" w:cs="仿宋_GB2312" w:eastAsia="仿宋_GB2312"/>
                <w:sz w:val="21"/>
              </w:rPr>
              <w:t>指向性：≤50μrad。</w:t>
            </w:r>
          </w:p>
          <w:p>
            <w:pPr>
              <w:pStyle w:val="null3"/>
              <w:ind w:firstLine="420"/>
              <w:jc w:val="both"/>
            </w:pPr>
            <w:r>
              <w:rPr>
                <w:rFonts w:ascii="仿宋_GB2312" w:hAnsi="仿宋_GB2312" w:cs="仿宋_GB2312" w:eastAsia="仿宋_GB2312"/>
                <w:sz w:val="21"/>
              </w:rPr>
              <w:t>（10）重频率稳定性：＜</w:t>
            </w:r>
            <w:r>
              <w:rPr>
                <w:rFonts w:ascii="仿宋_GB2312" w:hAnsi="仿宋_GB2312" w:cs="仿宋_GB2312" w:eastAsia="仿宋_GB2312"/>
                <w:sz w:val="21"/>
              </w:rPr>
              <w:t>4</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（11）功率稳定性：RMS≤</w:t>
            </w:r>
            <w:r>
              <w:rPr>
                <w:rFonts w:ascii="仿宋_GB2312" w:hAnsi="仿宋_GB2312" w:cs="仿宋_GB2312" w:eastAsia="仿宋_GB2312"/>
                <w:sz w:val="21"/>
              </w:rPr>
              <w:t>2</w:t>
            </w:r>
            <w:r>
              <w:rPr>
                <w:rFonts w:ascii="仿宋_GB2312" w:hAnsi="仿宋_GB2312" w:cs="仿宋_GB2312" w:eastAsia="仿宋_GB2312"/>
                <w:sz w:val="21"/>
              </w:rPr>
              <w:t>%@8h。</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）光</w:t>
            </w:r>
            <w:r>
              <w:rPr>
                <w:rFonts w:ascii="仿宋_GB2312" w:hAnsi="仿宋_GB2312" w:cs="仿宋_GB2312" w:eastAsia="仿宋_GB2312"/>
                <w:sz w:val="21"/>
              </w:rPr>
              <w:t>束</w:t>
            </w:r>
            <w:r>
              <w:rPr>
                <w:rFonts w:ascii="仿宋_GB2312" w:hAnsi="仿宋_GB2312" w:cs="仿宋_GB2312" w:eastAsia="仿宋_GB2312"/>
                <w:sz w:val="21"/>
              </w:rPr>
              <w:t>指向垂直度：＜1mrad。</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扫描周期：臭氧雷达具备扫描功能，扫描一周在采集360条数据且每条数据不少于5000个脉冲的情况下，时间是6min。即获取清晰有效扫描圆形热力图），期间采集360条数据，每条数据不少于5000个脉冲。</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摄像功能：雷达具备摄像功能，摄像功能系统与雷达主机一体化设计。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5</w:t>
            </w:r>
            <w:r>
              <w:rPr>
                <w:rFonts w:ascii="仿宋_GB2312" w:hAnsi="仿宋_GB2312" w:cs="仿宋_GB2312" w:eastAsia="仿宋_GB2312"/>
                <w:sz w:val="21"/>
              </w:rPr>
              <w:t>）防护等级：为了适用多场景的观测，雷达具备</w:t>
            </w:r>
            <w:r>
              <w:rPr>
                <w:rFonts w:ascii="仿宋_GB2312" w:hAnsi="仿宋_GB2312" w:cs="仿宋_GB2312" w:eastAsia="仿宋_GB2312"/>
                <w:sz w:val="21"/>
                <w:color w:val="000000"/>
              </w:rPr>
              <w:t>IP55的防护等级。</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）电快速瞬变脉冲群抗扰度：雷达能在供电电源端口，保护接地（PE)施加重复频率5kHz抗扰度电压峰值2kV的电压信号下正常运行。</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）浪涌（冲击）抗扰度：雷达能开路试验电压2kV下正常运行</w:t>
            </w:r>
            <w:r>
              <w:rPr>
                <w:rFonts w:ascii="仿宋_GB2312" w:hAnsi="仿宋_GB2312" w:cs="仿宋_GB2312" w:eastAsia="仿宋_GB2312"/>
                <w:sz w:val="21"/>
              </w:rPr>
              <w:t>；</w:t>
            </w:r>
            <w:r>
              <w:rPr>
                <w:rFonts w:ascii="仿宋_GB2312" w:hAnsi="仿宋_GB2312" w:cs="仿宋_GB2312" w:eastAsia="仿宋_GB2312"/>
                <w:sz w:val="21"/>
              </w:rPr>
              <w:t>静电放电抗扰度：雷达能在接触放电，试验电压抗扰度6kV，空气放电，试验电压8kV下正常运行。</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）电压暂降、短时中断和电压变化</w:t>
            </w:r>
            <w:r>
              <w:rPr>
                <w:rFonts w:ascii="仿宋_GB2312" w:hAnsi="仿宋_GB2312" w:cs="仿宋_GB2312" w:eastAsia="仿宋_GB2312"/>
                <w:sz w:val="21"/>
              </w:rPr>
              <w:t>：</w:t>
            </w:r>
            <w:r>
              <w:rPr>
                <w:rFonts w:ascii="仿宋_GB2312" w:hAnsi="仿宋_GB2312" w:cs="仿宋_GB2312" w:eastAsia="仿宋_GB2312"/>
                <w:sz w:val="21"/>
              </w:rPr>
              <w:t>电压暂降试验试验等级为40%持续时间为10周期,性能正常；短时中断试验等级为0%持续时间为250周期，性能正常。</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19</w:t>
            </w:r>
            <w:r>
              <w:rPr>
                <w:rFonts w:ascii="仿宋_GB2312" w:hAnsi="仿宋_GB2312" w:cs="仿宋_GB2312" w:eastAsia="仿宋_GB2312"/>
                <w:sz w:val="21"/>
              </w:rPr>
              <w:t>）绝缘电阻：激光雷达输入端与机壳金属部分间的绝缘电阻不小于20MΩ</w:t>
            </w:r>
            <w:r>
              <w:rPr>
                <w:rFonts w:ascii="仿宋_GB2312" w:hAnsi="仿宋_GB2312" w:cs="仿宋_GB2312" w:eastAsia="仿宋_GB2312"/>
                <w:sz w:val="21"/>
              </w:rPr>
              <w:t>；</w:t>
            </w:r>
            <w:r>
              <w:rPr>
                <w:rFonts w:ascii="仿宋_GB2312" w:hAnsi="仿宋_GB2312" w:cs="仿宋_GB2312" w:eastAsia="仿宋_GB2312"/>
                <w:sz w:val="21"/>
              </w:rPr>
              <w:t>绝缘强度：激光雷达电源插头与壳体之间施加50Hz、1500V正弦波交流电压,持续1min试验,应无击穿或闪络现象。</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臭氧雷达具备走航功能。</w:t>
            </w:r>
          </w:p>
          <w:p>
            <w:pPr>
              <w:pStyle w:val="null3"/>
              <w:jc w:val="both"/>
            </w:pPr>
            <w:r>
              <w:rPr>
                <w:rFonts w:ascii="仿宋_GB2312" w:hAnsi="仿宋_GB2312" w:cs="仿宋_GB2312" w:eastAsia="仿宋_GB2312"/>
                <w:sz w:val="21"/>
              </w:rPr>
              <w:t>（21）工作温度：-20℃-50℃。</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numPr>
                <w:ilvl w:val="0"/>
                <w:numId w:val="2"/>
              </w:numPr>
              <w:jc w:val="both"/>
            </w:pPr>
            <w:r>
              <w:rPr>
                <w:rFonts w:ascii="仿宋_GB2312" w:hAnsi="仿宋_GB2312" w:cs="仿宋_GB2312" w:eastAsia="仿宋_GB2312"/>
                <w:sz w:val="21"/>
              </w:rPr>
              <w:t>商务要求</w:t>
            </w:r>
          </w:p>
          <w:p>
            <w:pPr>
              <w:pStyle w:val="null3"/>
              <w:jc w:val="both"/>
            </w:pPr>
            <w:r>
              <w:rPr>
                <w:rFonts w:ascii="仿宋_GB2312" w:hAnsi="仿宋_GB2312" w:cs="仿宋_GB2312" w:eastAsia="仿宋_GB2312"/>
                <w:sz w:val="21"/>
              </w:rPr>
              <w:t>1.服务期限和地点：</w:t>
            </w:r>
          </w:p>
          <w:p>
            <w:pPr>
              <w:pStyle w:val="null3"/>
              <w:jc w:val="both"/>
            </w:pPr>
            <w:r>
              <w:rPr>
                <w:rFonts w:ascii="仿宋_GB2312" w:hAnsi="仿宋_GB2312" w:cs="仿宋_GB2312" w:eastAsia="仿宋_GB2312"/>
                <w:sz w:val="21"/>
              </w:rPr>
              <w:t>服务期限：自合同签订之日起30日历天</w:t>
            </w:r>
          </w:p>
          <w:p>
            <w:pPr>
              <w:pStyle w:val="null3"/>
              <w:jc w:val="both"/>
            </w:pPr>
            <w:r>
              <w:rPr>
                <w:rFonts w:ascii="仿宋_GB2312" w:hAnsi="仿宋_GB2312" w:cs="仿宋_GB2312" w:eastAsia="仿宋_GB2312"/>
                <w:sz w:val="21"/>
              </w:rPr>
              <w:t>服务地点：采购人指定地点</w:t>
            </w:r>
          </w:p>
          <w:p>
            <w:pPr>
              <w:pStyle w:val="null3"/>
              <w:jc w:val="both"/>
            </w:pPr>
            <w:r>
              <w:rPr>
                <w:rFonts w:ascii="仿宋_GB2312" w:hAnsi="仿宋_GB2312" w:cs="仿宋_GB2312" w:eastAsia="仿宋_GB2312"/>
                <w:sz w:val="21"/>
              </w:rPr>
              <w:t>2.款项结算</w:t>
            </w:r>
          </w:p>
          <w:p>
            <w:pPr>
              <w:pStyle w:val="null3"/>
              <w:jc w:val="both"/>
            </w:pPr>
            <w:r>
              <w:rPr>
                <w:rFonts w:ascii="仿宋_GB2312" w:hAnsi="仿宋_GB2312" w:cs="仿宋_GB2312" w:eastAsia="仿宋_GB2312"/>
                <w:sz w:val="21"/>
              </w:rPr>
              <w:t>a.合同款的支付：合同签订后30日内支付总价款的60%，服务期满且通过验收30日内支付合同总价款的40%。</w:t>
            </w:r>
          </w:p>
          <w:p>
            <w:pPr>
              <w:pStyle w:val="null3"/>
              <w:jc w:val="both"/>
            </w:pPr>
            <w:r>
              <w:rPr>
                <w:rFonts w:ascii="仿宋_GB2312" w:hAnsi="仿宋_GB2312" w:cs="仿宋_GB2312" w:eastAsia="仿宋_GB2312"/>
                <w:sz w:val="21"/>
              </w:rPr>
              <w:t>b.结算方式：银行转账。</w:t>
            </w:r>
          </w:p>
          <w:p>
            <w:pPr>
              <w:pStyle w:val="null3"/>
              <w:jc w:val="both"/>
            </w:pPr>
            <w:r>
              <w:rPr>
                <w:rFonts w:ascii="仿宋_GB2312" w:hAnsi="仿宋_GB2312" w:cs="仿宋_GB2312" w:eastAsia="仿宋_GB2312"/>
                <w:sz w:val="21"/>
              </w:rPr>
              <w:t>c.支付方式：由甲方负责结算，甲方付款前，乙方应向甲方开具正式等额发票，否则甲方有权延迟履行付款义务。</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其他</w:t>
            </w:r>
          </w:p>
          <w:p>
            <w:pPr>
              <w:pStyle w:val="null3"/>
              <w:jc w:val="both"/>
            </w:pPr>
            <w:r>
              <w:rPr>
                <w:rFonts w:ascii="仿宋_GB2312" w:hAnsi="仿宋_GB2312" w:cs="仿宋_GB2312" w:eastAsia="仿宋_GB2312"/>
                <w:sz w:val="21"/>
              </w:rPr>
              <w:t>质量标准：符合国家有关现行规范、标准的要求。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提供能满足本项目服务要求的相关设施设备。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符合国家有关现行规范、标准的要求。 由供应商向采购人提出书面验收申请，经甲方确认后，组织乙方进行验收。验收合格后，填写验收单作为对本次服务的最终认可。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服务期满且通过验收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①违约责任：（一）按《中华人民共和国民法典》中的相关条款执行。（二）未按合同或采购文件要求执行，或质量不能满足甲方要求的，甲方有权终止合同，甚至对乙方违约行为进行追究。 ②本合同在履行过程中发生的争议，由甲、乙双方当事人协商解决，协商不成的依法向甲方所在地法院起诉。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结果公告发布后5日内，成交供应商须向代理机构提供纸质版响应文件3份（文件必须与电子化交易平台上传的文件一致），纸质响应文件须胶装并在文件首页盖鲜章；电子响应文件3份（U盘）。递交地址：陕西省西安市碑林区南关正街长安国际F座17层，联系人及电话见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关于财务会计制度的证明材料：①可提供2023年度经审计的财务报告（包含审计报告和审计报告中所涉及的财务报表和报表附注）；②可提供2023年度供应商完整的全套财务报表（应当包括资产负债表、利润表、现金流量表、所有者权益变动表）；③可提供响应文件递交截止日前一年内的资信证明；④供应商注册时间至响应文件递交截止日不足一年的，也可提供在工商管理部门备案的公司章程。</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法定代表人授权书须附法定代表人、被授权人身份证复印件；法定代表人直接参加磋商，须提供法定代表人身份证明。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供应商未被“信用中国”网站列入失信被执行人和重大税收违法失信主体，未被中国政府采购网列入政府采购严重违法失信行为记录名单（以现场信用记录查询结果为准）。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采购文件及格式要求处签字及盖章齐全。</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其它资料.docx 磋商方案说明书.docx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服务期限（合同履行期限）</w:t>
            </w:r>
          </w:p>
        </w:tc>
        <w:tc>
          <w:tcPr>
            <w:tcW w:type="dxa" w:w="3322"/>
          </w:tcPr>
          <w:p>
            <w:pPr>
              <w:pStyle w:val="null3"/>
            </w:pPr>
            <w:r>
              <w:rPr>
                <w:rFonts w:ascii="仿宋_GB2312" w:hAnsi="仿宋_GB2312" w:cs="仿宋_GB2312" w:eastAsia="仿宋_GB2312"/>
              </w:rPr>
              <w:t>应满足磋商文件中要求的服务期限（合同履行期限）</w:t>
            </w:r>
          </w:p>
        </w:tc>
        <w:tc>
          <w:tcPr>
            <w:tcW w:type="dxa" w:w="1661"/>
          </w:tcPr>
          <w:p>
            <w:pPr>
              <w:pStyle w:val="null3"/>
            </w:pPr>
            <w:r>
              <w:rPr>
                <w:rFonts w:ascii="仿宋_GB2312" w:hAnsi="仿宋_GB2312" w:cs="仿宋_GB2312" w:eastAsia="仿宋_GB2312"/>
              </w:rPr>
              <w:t>磋商报价表.docx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应满足磋商文件要求的服务地点</w:t>
            </w:r>
          </w:p>
        </w:tc>
        <w:tc>
          <w:tcPr>
            <w:tcW w:type="dxa" w:w="1661"/>
          </w:tcPr>
          <w:p>
            <w:pPr>
              <w:pStyle w:val="null3"/>
            </w:pPr>
            <w:r>
              <w:rPr>
                <w:rFonts w:ascii="仿宋_GB2312" w:hAnsi="仿宋_GB2312" w:cs="仿宋_GB2312" w:eastAsia="仿宋_GB2312"/>
              </w:rPr>
              <w:t>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 评审内容：①对本项目服务需求的理解②观测点位布设方案③数据监测方案④数据分析⑤成果交付。 评审标准：方案各部分内容全面详细、阐述条理清晰详尽、符合本项目采购需求得15分；评审内容每缺一项扣3分；评审内容有缺陷的扣1-2.5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项目重点难点分析及解决方案</w:t>
            </w:r>
          </w:p>
        </w:tc>
        <w:tc>
          <w:tcPr>
            <w:tcW w:type="dxa" w:w="2492"/>
          </w:tcPr>
          <w:p>
            <w:pPr>
              <w:pStyle w:val="null3"/>
            </w:pPr>
            <w:r>
              <w:rPr>
                <w:rFonts w:ascii="仿宋_GB2312" w:hAnsi="仿宋_GB2312" w:cs="仿宋_GB2312" w:eastAsia="仿宋_GB2312"/>
              </w:rPr>
              <w:t>项目重点难点分析及解决方案： 评审内容：①对本项目实施面临的重点、难点进行分析②针对本项目重点、难点提出解决方案。 评审标准：方案各部分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扣1-2.5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设备管理方案</w:t>
            </w:r>
          </w:p>
        </w:tc>
        <w:tc>
          <w:tcPr>
            <w:tcW w:type="dxa" w:w="2492"/>
          </w:tcPr>
          <w:p>
            <w:pPr>
              <w:pStyle w:val="null3"/>
            </w:pPr>
            <w:r>
              <w:rPr>
                <w:rFonts w:ascii="仿宋_GB2312" w:hAnsi="仿宋_GB2312" w:cs="仿宋_GB2312" w:eastAsia="仿宋_GB2312"/>
              </w:rPr>
              <w:t>设备管理方案： 评审内容：①拟投入本项目的臭氧激光雷达及相关设备配置②设备维护保障方案。 评审标准：方案各部分内容全面详细、阐述条理清晰详尽、针对本项目提供相应的设备、仪器等。手续齐全、质量可靠、按类型提供佐证材料（如购置（租赁）发票、合同、清单、图片等），符合本项目采购需求得6分；评审内容每缺一项扣3分；评审内容有缺陷的扣1-2.5分（缺陷是指：内容粗略、逻辑混乱、描述过于简单、手续不全、佐证材料短缺、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臭氧激光雷达参数评审</w:t>
            </w:r>
          </w:p>
        </w:tc>
        <w:tc>
          <w:tcPr>
            <w:tcW w:type="dxa" w:w="2492"/>
          </w:tcPr>
          <w:p>
            <w:pPr>
              <w:pStyle w:val="null3"/>
            </w:pPr>
            <w:r>
              <w:rPr>
                <w:rFonts w:ascii="仿宋_GB2312" w:hAnsi="仿宋_GB2312" w:cs="仿宋_GB2312" w:eastAsia="仿宋_GB2312"/>
              </w:rPr>
              <w:t>对臭氧激光雷达参数进行评审（详见第三章3.2.2服务要求三、技术要求，共计21项参数） ，提供相关参数证明材料（证明材料不限于：出厂检测报告或产品彩页或产品说明书等）。“▲”参数每项1分，其他参数每项0.5分，共计13分，扣完为止。</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保障措施： 评审内容：①工作进度安排②工作进度保障③工作质量保障。 评审标准：方案各部分内容全面详细、阐述条理清晰详尽、符合本项目采购需求得9分；评审内容每缺一项扣3分；评审内容有缺陷（缺陷是指：内容粗略、逻辑混乱、描述过于简单、与项目特点不匹配、凭空编造、逻辑漏洞、出现常识性错误、存在不适用项目实际情况的情形或只有标题没有实质性内容等）的扣1-2.5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具有完整的工作内部管理制度： 评审内容：①内控制度②员工日常管理办法③奖惩措施。 评审标准：方案各部分内容全面详细、阐述条理清晰详尽、符合本项目采购需求得6分；评审内容每缺一项扣2分；评审内容有缺陷的扣1-1.5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团队人员： ①组织机构设置方案②团队的职能分工及职责划分方案③拟投入人员配置、数量、经验及专业能力。 评审标准： 1、针对本项目配备人员中每提供具有相关专业中级职称得1分、高级职称得2分，最多得4分； 2、机构设置合理、团队人员职责划分明确、团队配置满足项目情况及需要，人员专业能力能有效保障项目服务质量，内容描述详细，架构清晰的得9分。 评审内容任意一项缺项扣3分； 评审内容有一项内容缺陷扣1-2.5分（缺陷是指：内容粗略、组织结构设置不合理、人员配置不合理、职责划分不明确、人员经验不足、与项目特点不匹配、或只有标题没有实质性内容等）。</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服务方案和承诺</w:t>
            </w:r>
          </w:p>
        </w:tc>
        <w:tc>
          <w:tcPr>
            <w:tcW w:type="dxa" w:w="2492"/>
          </w:tcPr>
          <w:p>
            <w:pPr>
              <w:pStyle w:val="null3"/>
            </w:pPr>
            <w:r>
              <w:rPr>
                <w:rFonts w:ascii="仿宋_GB2312" w:hAnsi="仿宋_GB2312" w:cs="仿宋_GB2312" w:eastAsia="仿宋_GB2312"/>
              </w:rPr>
              <w:t>针对本项目提出的服务方案和承诺： 评审内容：①服务标准②服务流程③服务内容。 评审标准：方案各部分内容全面详细、阐述条理清晰详尽、符合本项目采购需求得12分；评审内容每缺一项扣4分；评审内容有缺陷的扣1-3.5分（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针对本项目提供实施过程中的合理化建议。 建议内容针对性、合理性、可行性强，得6分； 建议内容有一定针对性、合理性、可行性，得4分； 建议内容简单笼统，缺乏针对性，得2分。未提供不得分。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供应商提供自2022年1月1日至截标时间前类似项目业绩（以合同签订日期为准），每提供1个得2分，满分4分。 备注：业绩证明（以合同为准，须在响应文件中附合同扫描件加盖单位公章）弄虚作假者，取消其中标资格。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