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版本号：HYTF-20250604720250701001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中考招生宣传项目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HYTF-202506047</w:t>
      </w:r>
      <w:r>
        <w:br/>
      </w:r>
      <w:r>
        <w:br/>
      </w:r>
      <w:r>
        <w:br/>
      </w:r>
    </w:p>
    <w:p>
      <w:pPr>
        <w:pStyle w:val="null3"/>
        <w:jc w:val="center"/>
        <w:outlineLvl w:val="2"/>
      </w:pPr>
      <w:r>
        <w:rPr>
          <w:rFonts w:ascii="仿宋_GB2312" w:hAnsi="仿宋_GB2312" w:cs="仿宋_GB2312" w:eastAsia="仿宋_GB2312"/>
          <w:sz w:val="28"/>
          <w:b/>
        </w:rPr>
        <w:t>西安市第三中学</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西安市第三中学</w:t>
      </w:r>
      <w:r>
        <w:rPr>
          <w:rFonts w:ascii="仿宋_GB2312" w:hAnsi="仿宋_GB2312" w:cs="仿宋_GB2312" w:eastAsia="仿宋_GB2312"/>
        </w:rPr>
        <w:t>委托，拟对</w:t>
      </w:r>
      <w:r>
        <w:rPr>
          <w:rFonts w:ascii="仿宋_GB2312" w:hAnsi="仿宋_GB2312" w:cs="仿宋_GB2312" w:eastAsia="仿宋_GB2312"/>
        </w:rPr>
        <w:t>中考招生宣传项目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HYTF-202506047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中考招生宣传项目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中考招生宣传项目，1项。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采购包1（中考招生宣传项目）：属于专门面向中小企业采购。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西安市碑林区长乐坊77号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17719593776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王维、李亚容、赵维、马国宇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西安市第三中学</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中考招生宣传项目，1项。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为进一步提升西安市第三中学的美誉度，扩大社会影响力，吸引更多优秀生源。学校计划在相关主流媒体发布中招宣传广告，具体内容如下：</w:t>
            </w:r>
          </w:p>
          <w:p>
            <w:pPr>
              <w:pStyle w:val="null3"/>
              <w:ind w:firstLine="640"/>
              <w:jc w:val="both"/>
            </w:pPr>
            <w:r>
              <w:rPr>
                <w:rFonts w:ascii="仿宋_GB2312" w:hAnsi="仿宋_GB2312" w:cs="仿宋_GB2312" w:eastAsia="仿宋_GB2312"/>
                <w:sz w:val="24"/>
                <w:b/>
              </w:rPr>
              <w:t>一、宣传形式：</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1）线上线下结合：包括中考招生广告宣传、中招咨询会（场地展位、特刊制作）、学校宣传版面、海报、横幅、宣传册、数字媒体推广等。</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2）媒体渠道：主流纸媒（如西安晚报、华商报等）、新媒体平台（社交媒体、教育类APP）、校园宣传物料（印刷品、视频制作）等。</w:t>
            </w:r>
          </w:p>
          <w:p>
            <w:pPr>
              <w:pStyle w:val="null3"/>
              <w:ind w:firstLine="640"/>
              <w:jc w:val="both"/>
            </w:pPr>
            <w:r>
              <w:rPr>
                <w:rFonts w:ascii="仿宋_GB2312" w:hAnsi="仿宋_GB2312" w:cs="仿宋_GB2312" w:eastAsia="仿宋_GB2312"/>
                <w:sz w:val="24"/>
                <w:b/>
              </w:rPr>
              <w:t>二、实施目标：</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1）提升学校知名度与社会影响力；</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2）强化办学特色与招生政策宣传；</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3）吸引目标考生及家长报考。</w:t>
            </w:r>
          </w:p>
          <w:p>
            <w:pPr>
              <w:pStyle w:val="null3"/>
              <w:ind w:firstLine="640"/>
              <w:jc w:val="both"/>
            </w:pPr>
            <w:r>
              <w:rPr>
                <w:rFonts w:ascii="仿宋_GB2312" w:hAnsi="仿宋_GB2312" w:cs="仿宋_GB2312" w:eastAsia="仿宋_GB2312"/>
                <w:sz w:val="24"/>
                <w:b/>
              </w:rPr>
              <w:t>三、服务要求：</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1）制定详细的宣传方案（含设计、制作、发布计划）；</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2）确保宣传内容的合规性（符合教育政策、广告法规）；</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3）提供数据支持（如宣传覆盖范围、受众反馈统计）。</w:t>
            </w:r>
          </w:p>
          <w:p>
            <w:pPr>
              <w:pStyle w:val="null3"/>
              <w:ind w:firstLine="640"/>
              <w:jc w:val="both"/>
            </w:pPr>
            <w:r>
              <w:rPr>
                <w:rFonts w:ascii="仿宋_GB2312" w:hAnsi="仿宋_GB2312" w:cs="仿宋_GB2312" w:eastAsia="仿宋_GB2312"/>
                <w:sz w:val="24"/>
                <w:b/>
              </w:rPr>
              <w:t>四、服务内容</w:t>
            </w:r>
          </w:p>
          <w:p>
            <w:pPr>
              <w:pStyle w:val="null3"/>
              <w:ind w:firstLine="640"/>
              <w:jc w:val="both"/>
            </w:pPr>
            <w:r>
              <w:rPr>
                <w:rFonts w:ascii="仿宋_GB2312" w:hAnsi="仿宋_GB2312" w:cs="仿宋_GB2312" w:eastAsia="仿宋_GB2312"/>
                <w:sz w:val="24"/>
                <w:b/>
              </w:rPr>
              <w:t>（一）、《西安教育电视台》</w:t>
            </w:r>
          </w:p>
          <w:p>
            <w:pPr>
              <w:pStyle w:val="null3"/>
              <w:ind w:firstLine="640"/>
              <w:jc w:val="both"/>
            </w:pPr>
            <w:r>
              <w:rPr>
                <w:rFonts w:ascii="仿宋_GB2312" w:hAnsi="仿宋_GB2312" w:cs="仿宋_GB2312" w:eastAsia="仿宋_GB2312"/>
                <w:sz w:val="24"/>
              </w:rPr>
              <w:t>1、特展设计搭建；</w:t>
            </w:r>
          </w:p>
          <w:p>
            <w:pPr>
              <w:pStyle w:val="null3"/>
              <w:ind w:firstLine="640"/>
              <w:jc w:val="both"/>
            </w:pPr>
            <w:r>
              <w:rPr>
                <w:rFonts w:ascii="仿宋_GB2312" w:hAnsi="仿宋_GB2312" w:cs="仿宋_GB2312" w:eastAsia="仿宋_GB2312"/>
                <w:sz w:val="24"/>
              </w:rPr>
              <w:t>2、咨询会会刊半页；</w:t>
            </w:r>
          </w:p>
          <w:p>
            <w:pPr>
              <w:pStyle w:val="null3"/>
              <w:ind w:firstLine="640"/>
              <w:jc w:val="both"/>
            </w:pPr>
            <w:r>
              <w:rPr>
                <w:rFonts w:ascii="仿宋_GB2312" w:hAnsi="仿宋_GB2312" w:cs="仿宋_GB2312" w:eastAsia="仿宋_GB2312"/>
                <w:sz w:val="24"/>
              </w:rPr>
              <w:t>3、5分钟现场招生校长论坛；</w:t>
            </w:r>
          </w:p>
          <w:p>
            <w:pPr>
              <w:pStyle w:val="null3"/>
              <w:ind w:firstLine="640"/>
              <w:jc w:val="both"/>
            </w:pPr>
            <w:r>
              <w:rPr>
                <w:rFonts w:ascii="仿宋_GB2312" w:hAnsi="仿宋_GB2312" w:cs="仿宋_GB2312" w:eastAsia="仿宋_GB2312"/>
                <w:sz w:val="24"/>
              </w:rPr>
              <w:t>4、现场LED大屏1分钟宣传片播放不少于20次；</w:t>
            </w:r>
          </w:p>
          <w:p>
            <w:pPr>
              <w:pStyle w:val="null3"/>
              <w:ind w:firstLine="640"/>
              <w:jc w:val="both"/>
            </w:pPr>
            <w:r>
              <w:rPr>
                <w:rFonts w:ascii="仿宋_GB2312" w:hAnsi="仿宋_GB2312" w:cs="仿宋_GB2312" w:eastAsia="仿宋_GB2312"/>
                <w:sz w:val="24"/>
              </w:rPr>
              <w:t>5、电视广告1分钟每天播不少于1次，共10天；</w:t>
            </w:r>
          </w:p>
          <w:p>
            <w:pPr>
              <w:pStyle w:val="null3"/>
              <w:ind w:firstLine="640"/>
              <w:jc w:val="both"/>
            </w:pPr>
            <w:r>
              <w:rPr>
                <w:rFonts w:ascii="仿宋_GB2312" w:hAnsi="仿宋_GB2312" w:cs="仿宋_GB2312" w:eastAsia="仿宋_GB2312"/>
                <w:sz w:val="24"/>
              </w:rPr>
              <w:t>6、</w:t>
            </w:r>
            <w:r>
              <w:rPr>
                <w:rFonts w:ascii="仿宋_GB2312" w:hAnsi="仿宋_GB2312" w:cs="仿宋_GB2312" w:eastAsia="仿宋_GB2312"/>
                <w:sz w:val="24"/>
              </w:rPr>
              <w:t>场馆入口</w:t>
            </w:r>
            <w:r>
              <w:rPr>
                <w:rFonts w:ascii="仿宋_GB2312" w:hAnsi="仿宋_GB2312" w:cs="仿宋_GB2312" w:eastAsia="仿宋_GB2312"/>
                <w:sz w:val="24"/>
              </w:rPr>
              <w:t>桁架广告</w:t>
            </w:r>
            <w:r>
              <w:rPr>
                <w:rFonts w:ascii="仿宋_GB2312" w:hAnsi="仿宋_GB2312" w:cs="仿宋_GB2312" w:eastAsia="仿宋_GB2312"/>
                <w:sz w:val="24"/>
              </w:rPr>
              <w:t>1个，黑白布≥6m×4m；</w:t>
            </w:r>
          </w:p>
          <w:p>
            <w:pPr>
              <w:pStyle w:val="null3"/>
              <w:ind w:firstLine="640"/>
              <w:jc w:val="both"/>
            </w:pPr>
            <w:r>
              <w:rPr>
                <w:rFonts w:ascii="仿宋_GB2312" w:hAnsi="仿宋_GB2312" w:cs="仿宋_GB2312" w:eastAsia="仿宋_GB2312"/>
                <w:sz w:val="24"/>
              </w:rPr>
              <w:t>7、2025年中考招生系列直播活动，在学校直播一场。</w:t>
            </w:r>
          </w:p>
          <w:p>
            <w:pPr>
              <w:pStyle w:val="null3"/>
              <w:ind w:firstLine="640"/>
              <w:jc w:val="both"/>
            </w:pPr>
            <w:r>
              <w:rPr>
                <w:rFonts w:ascii="仿宋_GB2312" w:hAnsi="仿宋_GB2312" w:cs="仿宋_GB2312" w:eastAsia="仿宋_GB2312"/>
                <w:sz w:val="24"/>
                <w:b/>
              </w:rPr>
              <w:t>（二）、《华商报》报纸版面（整版）</w:t>
            </w:r>
            <w:r>
              <w:rPr>
                <w:rFonts w:ascii="仿宋_GB2312" w:hAnsi="仿宋_GB2312" w:cs="仿宋_GB2312" w:eastAsia="仿宋_GB2312"/>
                <w:sz w:val="24"/>
                <w:b/>
              </w:rPr>
              <w:t>+中招展会</w:t>
            </w:r>
          </w:p>
          <w:p>
            <w:pPr>
              <w:pStyle w:val="null3"/>
              <w:ind w:firstLine="640"/>
              <w:jc w:val="both"/>
            </w:pPr>
            <w:r>
              <w:rPr>
                <w:rFonts w:ascii="仿宋_GB2312" w:hAnsi="仿宋_GB2312" w:cs="仿宋_GB2312" w:eastAsia="仿宋_GB2312"/>
                <w:sz w:val="24"/>
              </w:rPr>
              <w:t>1.报纸版面：彩版整版</w:t>
            </w:r>
            <w:r>
              <w:rPr>
                <w:rFonts w:ascii="仿宋_GB2312" w:hAnsi="仿宋_GB2312" w:cs="仿宋_GB2312" w:eastAsia="仿宋_GB2312"/>
                <w:sz w:val="24"/>
              </w:rPr>
              <w:t>（</w:t>
            </w:r>
            <w:r>
              <w:rPr>
                <w:rFonts w:ascii="仿宋_GB2312" w:hAnsi="仿宋_GB2312" w:cs="仿宋_GB2312" w:eastAsia="仿宋_GB2312"/>
                <w:sz w:val="24"/>
              </w:rPr>
              <w:t>29cm×43cm</w:t>
            </w:r>
            <w:r>
              <w:rPr>
                <w:rFonts w:ascii="仿宋_GB2312" w:hAnsi="仿宋_GB2312" w:cs="仿宋_GB2312" w:eastAsia="仿宋_GB2312"/>
                <w:sz w:val="24"/>
              </w:rPr>
              <w:t>），</w:t>
            </w:r>
            <w:r>
              <w:rPr>
                <w:rFonts w:ascii="仿宋_GB2312" w:hAnsi="仿宋_GB2312" w:cs="仿宋_GB2312" w:eastAsia="仿宋_GB2312"/>
                <w:sz w:val="24"/>
              </w:rPr>
              <w:t>一次；</w:t>
            </w:r>
          </w:p>
          <w:p>
            <w:pPr>
              <w:pStyle w:val="null3"/>
              <w:ind w:firstLine="640"/>
              <w:jc w:val="both"/>
            </w:pPr>
            <w:r>
              <w:rPr>
                <w:rFonts w:ascii="仿宋_GB2312" w:hAnsi="仿宋_GB2312" w:cs="仿宋_GB2312" w:eastAsia="仿宋_GB2312"/>
                <w:sz w:val="24"/>
              </w:rPr>
              <w:t>2.中招会展位：3x3米/个</w:t>
            </w:r>
          </w:p>
          <w:p>
            <w:pPr>
              <w:pStyle w:val="null3"/>
              <w:ind w:firstLine="640"/>
              <w:jc w:val="both"/>
            </w:pPr>
            <w:r>
              <w:rPr>
                <w:rFonts w:ascii="仿宋_GB2312" w:hAnsi="仿宋_GB2312" w:cs="仿宋_GB2312" w:eastAsia="仿宋_GB2312"/>
                <w:sz w:val="24"/>
                <w:b/>
              </w:rPr>
              <w:t>（三）、《西安报业集团》（西安日报</w:t>
            </w:r>
            <w:r>
              <w:rPr>
                <w:rFonts w:ascii="仿宋_GB2312" w:hAnsi="仿宋_GB2312" w:cs="仿宋_GB2312" w:eastAsia="仿宋_GB2312"/>
                <w:sz w:val="24"/>
                <w:b/>
              </w:rPr>
              <w:t>/西安晚报/西安发布）</w:t>
            </w:r>
          </w:p>
          <w:p>
            <w:pPr>
              <w:pStyle w:val="null3"/>
              <w:ind w:firstLine="640"/>
              <w:jc w:val="both"/>
            </w:pPr>
            <w:r>
              <w:rPr>
                <w:rFonts w:ascii="仿宋_GB2312" w:hAnsi="仿宋_GB2312" w:cs="仿宋_GB2312" w:eastAsia="仿宋_GB2312"/>
                <w:sz w:val="24"/>
                <w:b/>
              </w:rPr>
              <w:t>报纸版面</w:t>
            </w:r>
            <w:r>
              <w:rPr>
                <w:rFonts w:ascii="仿宋_GB2312" w:hAnsi="仿宋_GB2312" w:cs="仿宋_GB2312" w:eastAsia="仿宋_GB2312"/>
                <w:sz w:val="24"/>
                <w:b/>
              </w:rPr>
              <w:t>+中招展会</w:t>
            </w:r>
          </w:p>
          <w:p>
            <w:pPr>
              <w:pStyle w:val="null3"/>
              <w:ind w:firstLine="640"/>
              <w:jc w:val="both"/>
            </w:pPr>
            <w:r>
              <w:rPr>
                <w:rFonts w:ascii="仿宋_GB2312" w:hAnsi="仿宋_GB2312" w:cs="仿宋_GB2312" w:eastAsia="仿宋_GB2312"/>
                <w:sz w:val="24"/>
              </w:rPr>
              <w:t>1.报纸版面：整版彩色，版面尺寸：整版30.5x50厘米</w:t>
            </w:r>
            <w:r>
              <w:rPr>
                <w:rFonts w:ascii="仿宋_GB2312" w:hAnsi="仿宋_GB2312" w:cs="仿宋_GB2312" w:eastAsia="仿宋_GB2312"/>
                <w:sz w:val="24"/>
              </w:rPr>
              <w:t>，</w:t>
            </w:r>
            <w:r>
              <w:rPr>
                <w:rFonts w:ascii="仿宋_GB2312" w:hAnsi="仿宋_GB2312" w:cs="仿宋_GB2312" w:eastAsia="仿宋_GB2312"/>
                <w:sz w:val="24"/>
              </w:rPr>
              <w:t>一次</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西安发布</w:t>
            </w:r>
            <w:r>
              <w:rPr>
                <w:rFonts w:ascii="仿宋_GB2312" w:hAnsi="仿宋_GB2312" w:cs="仿宋_GB2312" w:eastAsia="仿宋_GB2312"/>
                <w:sz w:val="24"/>
              </w:rPr>
              <w:t>APP、西安新闻网、西安晚报头条号、西安教育头条号等同步推送。</w:t>
            </w:r>
          </w:p>
          <w:p>
            <w:pPr>
              <w:pStyle w:val="null3"/>
              <w:ind w:firstLine="640"/>
              <w:jc w:val="both"/>
            </w:pPr>
            <w:r>
              <w:rPr>
                <w:rFonts w:ascii="仿宋_GB2312" w:hAnsi="仿宋_GB2312" w:cs="仿宋_GB2312" w:eastAsia="仿宋_GB2312"/>
                <w:sz w:val="24"/>
              </w:rPr>
              <w:t>2.中招会展位：3x3米/个</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b/>
              </w:rPr>
              <w:t>（四）、《三秦都市报》</w:t>
            </w:r>
          </w:p>
          <w:p>
            <w:pPr>
              <w:pStyle w:val="null3"/>
              <w:ind w:firstLine="640"/>
              <w:jc w:val="both"/>
            </w:pPr>
            <w:r>
              <w:rPr>
                <w:rFonts w:ascii="仿宋_GB2312" w:hAnsi="仿宋_GB2312" w:cs="仿宋_GB2312" w:eastAsia="仿宋_GB2312"/>
                <w:sz w:val="24"/>
              </w:rPr>
              <w:t>报纸版面：整版彩色，</w:t>
            </w:r>
            <w:r>
              <w:rPr>
                <w:rFonts w:ascii="仿宋_GB2312" w:hAnsi="仿宋_GB2312" w:cs="仿宋_GB2312" w:eastAsia="仿宋_GB2312"/>
                <w:sz w:val="24"/>
              </w:rPr>
              <w:t>24cm×23cm</w:t>
            </w:r>
            <w:r>
              <w:rPr>
                <w:rFonts w:ascii="仿宋_GB2312" w:hAnsi="仿宋_GB2312" w:cs="仿宋_GB2312" w:eastAsia="仿宋_GB2312"/>
                <w:sz w:val="24"/>
              </w:rPr>
              <w:t>，</w:t>
            </w:r>
            <w:r>
              <w:rPr>
                <w:rFonts w:ascii="仿宋_GB2312" w:hAnsi="仿宋_GB2312" w:cs="仿宋_GB2312" w:eastAsia="仿宋_GB2312"/>
                <w:sz w:val="24"/>
              </w:rPr>
              <w:t>一次；</w:t>
            </w:r>
          </w:p>
          <w:p>
            <w:pPr>
              <w:pStyle w:val="null3"/>
              <w:ind w:firstLine="640"/>
              <w:jc w:val="both"/>
            </w:pPr>
            <w:r>
              <w:rPr>
                <w:rFonts w:ascii="仿宋_GB2312" w:hAnsi="仿宋_GB2312" w:cs="仿宋_GB2312" w:eastAsia="仿宋_GB2312"/>
                <w:sz w:val="24"/>
                <w:b/>
              </w:rPr>
              <w:t>（五）、《阳光报》</w:t>
            </w:r>
          </w:p>
          <w:p>
            <w:pPr>
              <w:pStyle w:val="null3"/>
              <w:ind w:firstLine="640"/>
              <w:jc w:val="both"/>
            </w:pPr>
            <w:r>
              <w:rPr>
                <w:rFonts w:ascii="仿宋_GB2312" w:hAnsi="仿宋_GB2312" w:cs="仿宋_GB2312" w:eastAsia="仿宋_GB2312"/>
                <w:sz w:val="24"/>
              </w:rPr>
              <w:t>报纸版面：整版彩印，</w:t>
            </w:r>
            <w:r>
              <w:rPr>
                <w:rFonts w:ascii="仿宋_GB2312" w:hAnsi="仿宋_GB2312" w:cs="仿宋_GB2312" w:eastAsia="仿宋_GB2312"/>
                <w:sz w:val="24"/>
              </w:rPr>
              <w:t>23.5cm×34cm</w:t>
            </w:r>
            <w:r>
              <w:rPr>
                <w:rFonts w:ascii="仿宋_GB2312" w:hAnsi="仿宋_GB2312" w:cs="仿宋_GB2312" w:eastAsia="仿宋_GB2312"/>
                <w:sz w:val="24"/>
              </w:rPr>
              <w:t>，</w:t>
            </w:r>
            <w:r>
              <w:rPr>
                <w:rFonts w:ascii="仿宋_GB2312" w:hAnsi="仿宋_GB2312" w:cs="仿宋_GB2312" w:eastAsia="仿宋_GB2312"/>
                <w:sz w:val="24"/>
              </w:rPr>
              <w:t>一次；</w:t>
            </w:r>
          </w:p>
          <w:p>
            <w:pPr>
              <w:pStyle w:val="null3"/>
              <w:ind w:firstLine="640"/>
              <w:jc w:val="both"/>
            </w:pPr>
            <w:r>
              <w:rPr>
                <w:rFonts w:ascii="仿宋_GB2312" w:hAnsi="仿宋_GB2312" w:cs="仿宋_GB2312" w:eastAsia="仿宋_GB2312"/>
                <w:sz w:val="24"/>
                <w:b/>
              </w:rPr>
              <w:t>（六）、陕西网</w:t>
            </w:r>
            <w:r>
              <w:rPr>
                <w:rFonts w:ascii="仿宋_GB2312" w:hAnsi="仿宋_GB2312" w:cs="仿宋_GB2312" w:eastAsia="仿宋_GB2312"/>
                <w:sz w:val="24"/>
                <w:b/>
              </w:rPr>
              <w:t>/中招网</w:t>
            </w:r>
          </w:p>
          <w:p>
            <w:pPr>
              <w:pStyle w:val="null3"/>
              <w:ind w:firstLine="640"/>
              <w:jc w:val="both"/>
            </w:pPr>
            <w:r>
              <w:rPr>
                <w:rFonts w:ascii="仿宋_GB2312" w:hAnsi="仿宋_GB2312" w:cs="仿宋_GB2312" w:eastAsia="仿宋_GB2312"/>
                <w:sz w:val="24"/>
              </w:rPr>
              <w:t>综合宣传：学校大型活动发布、线上直播、展会、监控服务等</w:t>
            </w:r>
            <w:r>
              <w:rPr>
                <w:rFonts w:ascii="仿宋_GB2312" w:hAnsi="仿宋_GB2312" w:cs="仿宋_GB2312" w:eastAsia="仿宋_GB2312"/>
                <w:sz w:val="24"/>
              </w:rPr>
              <w:t>，</w:t>
            </w:r>
            <w:r>
              <w:rPr>
                <w:rFonts w:ascii="仿宋_GB2312" w:hAnsi="仿宋_GB2312" w:cs="仿宋_GB2312" w:eastAsia="仿宋_GB2312"/>
                <w:sz w:val="24"/>
              </w:rPr>
              <w:t>服务至服务期限结束</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b/>
              </w:rPr>
              <w:t>（七）、其他资料印制</w:t>
            </w:r>
            <w:r>
              <w:rPr>
                <w:rFonts w:ascii="仿宋_GB2312" w:hAnsi="仿宋_GB2312" w:cs="仿宋_GB2312" w:eastAsia="仿宋_GB2312"/>
                <w:sz w:val="24"/>
              </w:rPr>
              <w:t>（</w:t>
            </w:r>
            <w:r>
              <w:rPr>
                <w:rFonts w:ascii="仿宋_GB2312" w:hAnsi="仿宋_GB2312" w:cs="仿宋_GB2312" w:eastAsia="仿宋_GB2312"/>
                <w:sz w:val="24"/>
              </w:rPr>
              <w:t>服务至服务期限结束</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1.招生画册：（8页/册）</w:t>
            </w:r>
            <w:r>
              <w:rPr>
                <w:rFonts w:ascii="仿宋_GB2312" w:hAnsi="仿宋_GB2312" w:cs="仿宋_GB2312" w:eastAsia="仿宋_GB2312"/>
                <w:sz w:val="24"/>
              </w:rPr>
              <w:t>，</w:t>
            </w:r>
            <w:r>
              <w:rPr>
                <w:rFonts w:ascii="仿宋_GB2312" w:hAnsi="仿宋_GB2312" w:cs="仿宋_GB2312" w:eastAsia="仿宋_GB2312"/>
                <w:sz w:val="24"/>
              </w:rPr>
              <w:t>印</w:t>
            </w:r>
            <w:r>
              <w:rPr>
                <w:rFonts w:ascii="仿宋_GB2312" w:hAnsi="仿宋_GB2312" w:cs="仿宋_GB2312" w:eastAsia="仿宋_GB2312"/>
                <w:sz w:val="24"/>
              </w:rPr>
              <w:t>12000册</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2.宣传展板</w:t>
            </w:r>
            <w:r>
              <w:rPr>
                <w:rFonts w:ascii="仿宋_GB2312" w:hAnsi="仿宋_GB2312" w:cs="仿宋_GB2312" w:eastAsia="仿宋_GB2312"/>
                <w:sz w:val="24"/>
              </w:rPr>
              <w:t>、</w:t>
            </w:r>
            <w:r>
              <w:rPr>
                <w:rFonts w:ascii="仿宋_GB2312" w:hAnsi="仿宋_GB2312" w:cs="仿宋_GB2312" w:eastAsia="仿宋_GB2312"/>
                <w:sz w:val="24"/>
              </w:rPr>
              <w:t>学校宣传版面、海报、横幅等物料</w:t>
            </w:r>
            <w:r>
              <w:rPr>
                <w:rFonts w:ascii="仿宋_GB2312" w:hAnsi="仿宋_GB2312" w:cs="仿宋_GB2312" w:eastAsia="仿宋_GB2312"/>
                <w:sz w:val="24"/>
              </w:rPr>
              <w:t>制作</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b/>
              </w:rPr>
              <w:t>本项目涉及的展会以及报纸等发出时间由采购人通知为准。</w:t>
            </w:r>
          </w:p>
          <w:p>
            <w:pPr>
              <w:pStyle w:val="null3"/>
              <w:ind w:firstLine="482"/>
              <w:jc w:val="both"/>
            </w:pPr>
            <w:r>
              <w:rPr>
                <w:rFonts w:ascii="仿宋_GB2312" w:hAnsi="仿宋_GB2312" w:cs="仿宋_GB2312" w:eastAsia="仿宋_GB2312"/>
                <w:sz w:val="24"/>
                <w:b/>
              </w:rPr>
              <w:t>五、其他</w:t>
            </w:r>
          </w:p>
          <w:p>
            <w:pPr>
              <w:pStyle w:val="null3"/>
              <w:ind w:firstLine="640"/>
              <w:jc w:val="both"/>
            </w:pPr>
            <w:r>
              <w:rPr>
                <w:rFonts w:ascii="仿宋_GB2312" w:hAnsi="仿宋_GB2312" w:cs="仿宋_GB2312" w:eastAsia="仿宋_GB2312"/>
                <w:sz w:val="24"/>
              </w:rPr>
              <w:t>本细则具体实施参照西安市教育局中考招生工作安排，具体实施以西安市教育局</w:t>
            </w:r>
            <w:r>
              <w:rPr>
                <w:rFonts w:ascii="仿宋_GB2312" w:hAnsi="仿宋_GB2312" w:cs="仿宋_GB2312" w:eastAsia="仿宋_GB2312"/>
                <w:sz w:val="24"/>
              </w:rPr>
              <w:t>2025年中招咨询会安排和社会各大主流媒体2025年中招宣传广告发布方案进行适当调整，本方案解释权归西安市第三中学。</w:t>
            </w:r>
          </w:p>
          <w:p>
            <w:pPr>
              <w:pStyle w:val="null3"/>
              <w:ind w:firstLine="482"/>
              <w:jc w:val="both"/>
            </w:pPr>
            <w:r>
              <w:rPr>
                <w:rFonts w:ascii="仿宋_GB2312" w:hAnsi="仿宋_GB2312" w:cs="仿宋_GB2312" w:eastAsia="仿宋_GB2312"/>
                <w:sz w:val="24"/>
                <w:b/>
              </w:rPr>
              <w:t>六、商务要求</w:t>
            </w:r>
          </w:p>
          <w:p>
            <w:pPr>
              <w:pStyle w:val="null3"/>
              <w:ind w:firstLine="480"/>
              <w:jc w:val="left"/>
            </w:pPr>
            <w:r>
              <w:rPr>
                <w:rFonts w:ascii="仿宋_GB2312" w:hAnsi="仿宋_GB2312" w:cs="仿宋_GB2312" w:eastAsia="仿宋_GB2312"/>
                <w:sz w:val="24"/>
              </w:rPr>
              <w:t>1、服务期限：</w:t>
            </w:r>
            <w:r>
              <w:rPr>
                <w:rFonts w:ascii="仿宋_GB2312" w:hAnsi="仿宋_GB2312" w:cs="仿宋_GB2312" w:eastAsia="仿宋_GB2312"/>
                <w:sz w:val="24"/>
              </w:rPr>
              <w:t>自合同签订之日起至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5</w:t>
            </w:r>
            <w:r>
              <w:rPr>
                <w:rFonts w:ascii="仿宋_GB2312" w:hAnsi="仿宋_GB2312" w:cs="仿宋_GB2312" w:eastAsia="仿宋_GB2312"/>
                <w:sz w:val="24"/>
              </w:rPr>
              <w:t>月底。</w:t>
            </w:r>
          </w:p>
          <w:p>
            <w:pPr>
              <w:pStyle w:val="null3"/>
              <w:ind w:firstLine="480"/>
              <w:jc w:val="left"/>
            </w:pPr>
            <w:r>
              <w:rPr>
                <w:rFonts w:ascii="仿宋_GB2312" w:hAnsi="仿宋_GB2312" w:cs="仿宋_GB2312" w:eastAsia="仿宋_GB2312"/>
                <w:sz w:val="24"/>
              </w:rPr>
              <w:t>2、地点：</w:t>
            </w:r>
            <w:r>
              <w:rPr>
                <w:rFonts w:ascii="仿宋_GB2312" w:hAnsi="仿宋_GB2312" w:cs="仿宋_GB2312" w:eastAsia="仿宋_GB2312"/>
                <w:sz w:val="24"/>
              </w:rPr>
              <w:t>按照采购人要求。</w:t>
            </w:r>
          </w:p>
          <w:p>
            <w:pPr>
              <w:pStyle w:val="null3"/>
              <w:ind w:firstLine="480"/>
              <w:jc w:val="left"/>
            </w:pPr>
            <w:r>
              <w:rPr>
                <w:rFonts w:ascii="仿宋_GB2312" w:hAnsi="仿宋_GB2312" w:cs="仿宋_GB2312" w:eastAsia="仿宋_GB2312"/>
                <w:sz w:val="24"/>
              </w:rPr>
              <w:t>3、方式：</w:t>
            </w:r>
            <w:r>
              <w:rPr>
                <w:rFonts w:ascii="仿宋_GB2312" w:hAnsi="仿宋_GB2312" w:cs="仿宋_GB2312" w:eastAsia="仿宋_GB2312"/>
                <w:sz w:val="24"/>
              </w:rPr>
              <w:t>按照采购人要求。</w:t>
            </w:r>
          </w:p>
          <w:p>
            <w:pPr>
              <w:pStyle w:val="null3"/>
              <w:jc w:val="both"/>
            </w:pPr>
            <w:r>
              <w:rPr>
                <w:rFonts w:ascii="仿宋_GB2312" w:hAnsi="仿宋_GB2312" w:cs="仿宋_GB2312" w:eastAsia="仿宋_GB2312"/>
                <w:sz w:val="24"/>
              </w:rPr>
              <w:t xml:space="preserve">    4、款项结算：服务</w:t>
            </w:r>
            <w:r>
              <w:rPr>
                <w:rFonts w:ascii="仿宋_GB2312" w:hAnsi="仿宋_GB2312" w:cs="仿宋_GB2312" w:eastAsia="仿宋_GB2312"/>
                <w:sz w:val="24"/>
              </w:rPr>
              <w:t>期限</w:t>
            </w:r>
            <w:r>
              <w:rPr>
                <w:rFonts w:ascii="仿宋_GB2312" w:hAnsi="仿宋_GB2312" w:cs="仿宋_GB2312" w:eastAsia="仿宋_GB2312"/>
                <w:sz w:val="24"/>
              </w:rPr>
              <w:t>结束经采购人验收合格后一次性支付所有合同价款。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服务期限结束经采购人验收合格后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中考招生宣传项目”对应的中小企业划分标准所属行业为：租赁和商务服务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资格证明材料.docx 响应函 服务方案及其他资料.docx 偏差表.docx 供应商承诺书.docx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宣传设计制作方案</w:t>
            </w:r>
          </w:p>
        </w:tc>
        <w:tc>
          <w:tcPr>
            <w:tcW w:type="dxa" w:w="2492"/>
          </w:tcPr>
          <w:p>
            <w:pPr>
              <w:pStyle w:val="null3"/>
            </w:pPr>
            <w:r>
              <w:rPr>
                <w:rFonts w:ascii="仿宋_GB2312" w:hAnsi="仿宋_GB2312" w:cs="仿宋_GB2312" w:eastAsia="仿宋_GB2312"/>
              </w:rPr>
              <w:t>一、评审内容 供应商提供对本项目的宣传设计制作方案，包括①展位、物料设计②宣传视频制作③宣传版面、宣传册制作等。 二、评审标准：方案各部分内容全面详细、阐述条理清晰详尽、科学合理、切实可行、符合本项目采购需求得12分；评审内容每缺一项扣4分；评审内容有缺陷的每项扣0.1-3.9分。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一、评审内容 供应商的宣传推广方案，包括①宣传推广策略②宣传数据反馈③宣传效果保证及降低成本措施。 二、评审标准：方案各部分内容全面详细、阐述条理清晰详尽、科学合理、切实可行、符合本项目采购需求得9分；评审内容每缺一项扣3分；评审内容有缺陷的每项扣0.1-2.9分。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一、评审内容 供应商针对本项目项目理解及分析，包括①对西安市招生教育政策熟悉程度②对项目实施过程中存在的难点、重点分析。 二、评审标准：方案各部分内容全面详细、阐述条理清晰详尽、科学合理、切实可行、符合本项目采购需求得8分；评审内容每缺一项扣4分；评审内容有缺陷的每项扣0.1-3.9分。 （注：瑕疵指内容粗略、逻辑混乱、描述过于简单、与项目特点不匹配、凭空编造、逻辑漏洞、出现常识性错误、套用其他项目方案、存在不可能实现的夸大情形或存在不适用项目实际情况的情形等。）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供应商提供服务团队，包括①团队组织人员配置明细②团队人员管理制度、岗位职责及经验。 二、评审标准：团队架构合理、人员配置齐全，职责清晰、工作经验丰富计10分；评审内容每缺一项扣5分；评审内容有缺陷的每项扣0.1-4.9分。 （注：瑕疵指团队配置不合理、人员无相关经验、职责分工不明确等。）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补救措施及应急预案</w:t>
            </w:r>
          </w:p>
        </w:tc>
        <w:tc>
          <w:tcPr>
            <w:tcW w:type="dxa" w:w="2492"/>
          </w:tcPr>
          <w:p>
            <w:pPr>
              <w:pStyle w:val="null3"/>
            </w:pPr>
            <w:r>
              <w:rPr>
                <w:rFonts w:ascii="仿宋_GB2312" w:hAnsi="仿宋_GB2312" w:cs="仿宋_GB2312" w:eastAsia="仿宋_GB2312"/>
              </w:rPr>
              <w:t>一、评审内容 供应商针对本项目补救措施及应急预案，包括①应急管理机制②若未能达到预期效果的解决措施及相应处理方案。 二、评审标准： 各部分内容全面详细、阐述条理清晰详尽、科学合理、切实可行、符合本项目采购需求得8分；评审内容每缺一项扣4分；评审内容有缺陷的每项扣0.1-3.9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项目执行进度安排</w:t>
            </w:r>
          </w:p>
        </w:tc>
        <w:tc>
          <w:tcPr>
            <w:tcW w:type="dxa" w:w="2492"/>
          </w:tcPr>
          <w:p>
            <w:pPr>
              <w:pStyle w:val="null3"/>
            </w:pPr>
            <w:r>
              <w:rPr>
                <w:rFonts w:ascii="仿宋_GB2312" w:hAnsi="仿宋_GB2312" w:cs="仿宋_GB2312" w:eastAsia="仿宋_GB2312"/>
              </w:rPr>
              <w:t>一、评审内容 供应商对本项目执行进度安排，包括①时间节点安排②项目进度保障。 二、评审标准 各部分内容全面详细、阐述条理清晰详尽、科学合理、切实可行、符合本项目采购需求得8分；评审内容每缺一项扣4分；评审内容有缺陷的每项扣0.1-3.9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项目服务质量保证</w:t>
            </w:r>
          </w:p>
        </w:tc>
        <w:tc>
          <w:tcPr>
            <w:tcW w:type="dxa" w:w="2492"/>
          </w:tcPr>
          <w:p>
            <w:pPr>
              <w:pStyle w:val="null3"/>
            </w:pPr>
            <w:r>
              <w:rPr>
                <w:rFonts w:ascii="仿宋_GB2312" w:hAnsi="仿宋_GB2312" w:cs="仿宋_GB2312" w:eastAsia="仿宋_GB2312"/>
              </w:rPr>
              <w:t>一、评审内容 供应商的项目服务质量保证，包括①服务质量目标控制②服务质量保障方案等。 二、评审标准： 各部分内容全面详细、阐述条理清晰详尽、科学合理、切实可行、符合本项目采购需求得8分；评审内容每缺一项扣4分；评审内容有缺陷的每项扣0.1-3.9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供应商须确保项目能按时按质完成，提供相应服务承诺，包含①服务期内过程资料整理、移交②服务期限内人员及宣传保障。 二、评审标准： 各部分内容全面详细、阐述条理清晰详尽、科学合理、切实可行、符合本项目采购需求得6分；评审内容每缺一项扣3分；评审内容有缺陷的每项扣0.1-2.9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与采购人配合服务</w:t>
            </w:r>
          </w:p>
        </w:tc>
        <w:tc>
          <w:tcPr>
            <w:tcW w:type="dxa" w:w="2492"/>
          </w:tcPr>
          <w:p>
            <w:pPr>
              <w:pStyle w:val="null3"/>
            </w:pPr>
            <w:r>
              <w:rPr>
                <w:rFonts w:ascii="仿宋_GB2312" w:hAnsi="仿宋_GB2312" w:cs="仿宋_GB2312" w:eastAsia="仿宋_GB2312"/>
              </w:rPr>
              <w:t>一、评审内容 供应商提供与采购人配合服务方案，包括①能积极与采购人沟通②针对采购人的意见提出整改。 二、评审标准 各部分服务内容全面详细、阐述条理清晰详尽、科学合理、切实可行、符合本项目采购需求得6分；评审内容每缺一项扣3分；评审内容有缺陷的每项扣0.1-2.9分。（注：瑕疵指内容粗略、逻辑混乱、描述过于简单、与项目特点不匹配、凭空编造、逻辑漏洞、出现常识性错误、套用其他项目方案、存在不可能实现的夸大情形或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供应商针对本项目提供合理化建议，建议具有实施性，对项目有提升的计5分；建议合理性一般，具有可实施性计3分；建议不合理，可实施性差计1分。未提供不计分。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2022年1月1日至今类似业绩合同 (以合同签订日期为准)，每提供1个得2分，满分10分，未提供不计分。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