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版本号：WXGL-ZB-202507820250731003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西铁第二幼儿园室内改造项目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WXGL-ZB-2025078</w:t>
      </w:r>
      <w:r>
        <w:br/>
      </w:r>
      <w:r>
        <w:br/>
      </w:r>
      <w:r>
        <w:br/>
      </w:r>
    </w:p>
    <w:p>
      <w:pPr>
        <w:pStyle w:val="null3"/>
        <w:jc w:val="center"/>
        <w:outlineLvl w:val="2"/>
      </w:pPr>
      <w:r>
        <w:rPr>
          <w:rFonts w:ascii="仿宋_GB2312" w:hAnsi="仿宋_GB2312" w:cs="仿宋_GB2312" w:eastAsia="仿宋_GB2312"/>
          <w:sz w:val="28"/>
          <w:b/>
        </w:rPr>
        <w:t>西安市碑林区西铁第二幼儿园</w:t>
      </w:r>
    </w:p>
    <w:p>
      <w:pPr>
        <w:pStyle w:val="null3"/>
        <w:jc w:val="center"/>
        <w:outlineLvl w:val="2"/>
      </w:pPr>
      <w:r>
        <w:rPr>
          <w:rFonts w:ascii="仿宋_GB2312" w:hAnsi="仿宋_GB2312" w:cs="仿宋_GB2312" w:eastAsia="仿宋_GB2312"/>
          <w:sz w:val="28"/>
          <w:b/>
        </w:rPr>
        <w:t>陕西万信项目管理有限公司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西安市碑林区西铁第二幼儿园</w:t>
      </w:r>
      <w:r>
        <w:rPr>
          <w:rFonts w:ascii="仿宋_GB2312" w:hAnsi="仿宋_GB2312" w:cs="仿宋_GB2312" w:eastAsia="仿宋_GB2312"/>
        </w:rPr>
        <w:t>委托，拟对</w:t>
      </w:r>
      <w:r>
        <w:rPr>
          <w:rFonts w:ascii="仿宋_GB2312" w:hAnsi="仿宋_GB2312" w:cs="仿宋_GB2312" w:eastAsia="仿宋_GB2312"/>
        </w:rPr>
        <w:t>西铁第二幼儿园室内改造项目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WXGL-ZB-2025078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西铁第二幼儿园室内改造项目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西铁第二幼儿园室内改造，主要内容为对室内局部消防、托育教室、卫生间及木地板等进行改造，具体施工内容详见分部分项工程量清单。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采购包1（西铁第二幼儿园室内改造项目）：属于专门面向中小企业采购。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身份证复印件或法定代表人授权书及被授权人身份证复印件：供应商应授权合法的人员参加磋商全过程，其中法定代表人直接参加磋商的，须出具法人身份证复印件，并与营业执照上信息一致。法定代表人授权他人参加磋商的，须出具法定代表人授权书及被授权人身份证复印件；</w:t>
      </w:r>
    </w:p>
    <w:p>
      <w:pPr>
        <w:pStyle w:val="null3"/>
      </w:pPr>
      <w:r>
        <w:rPr>
          <w:rFonts w:ascii="仿宋_GB2312" w:hAnsi="仿宋_GB2312" w:cs="仿宋_GB2312" w:eastAsia="仿宋_GB2312"/>
        </w:rPr>
        <w:t>2、营业执照、事业单位法人证书、自然人身份证明 ：供应商为具有独立承担民事责任能力的法人或其他组织或自然人，并提供法人或者其他组织合法有效的营业执照等证明文件，事业单位应提供事业单位法人证书，自然人应提供身份证明文件；</w:t>
      </w:r>
    </w:p>
    <w:p>
      <w:pPr>
        <w:pStyle w:val="null3"/>
      </w:pPr>
      <w:r>
        <w:rPr>
          <w:rFonts w:ascii="仿宋_GB2312" w:hAnsi="仿宋_GB2312" w:cs="仿宋_GB2312" w:eastAsia="仿宋_GB2312"/>
        </w:rPr>
        <w:t>3、企业资质：供应商应具有建筑装修装饰工程专业承包二级及以上资质和钢结构工程专业承包三级及以上资质，且具有建设行政主管部门颁发的安全生产许可证，并在人员、设备、资金等方面具备相应的施工能力；</w:t>
      </w:r>
    </w:p>
    <w:p>
      <w:pPr>
        <w:pStyle w:val="null3"/>
      </w:pPr>
      <w:r>
        <w:rPr>
          <w:rFonts w:ascii="仿宋_GB2312" w:hAnsi="仿宋_GB2312" w:cs="仿宋_GB2312" w:eastAsia="仿宋_GB2312"/>
        </w:rPr>
        <w:t>4、项目经理：拟派项目经理需具备建筑工程专业二级及以上建造师注册证书，具备有效的安全生产考核合格B证，在本单位注册且无在建项目；</w:t>
      </w:r>
    </w:p>
    <w:p>
      <w:pPr>
        <w:pStyle w:val="null3"/>
      </w:pPr>
      <w:r>
        <w:rPr>
          <w:rFonts w:ascii="仿宋_GB2312" w:hAnsi="仿宋_GB2312" w:cs="仿宋_GB2312" w:eastAsia="仿宋_GB2312"/>
        </w:rPr>
        <w:t>5、财务会计制度的证明材料：关于财务会计制度的证明材料｛注：1.2024年度完整的财务报表审计报告（包括但不限于审计报告、资产负债表、利润表、现金流量表、所有者权益变动表及财务报表附注等内容，成立时间至提交响应文件截止时间不足一年的可提供成立后任意时段的资产负债表）；2.提交响应文件截止时间前 三个月内其基本账户开户银行出具的资信证明（附基本存款账户信息）。｝以上两种方式供应商任 选其一进行提供，供应商需在项目电子化交易系统中按要求上传相应证明文件并进行电子签章。</w:t>
      </w:r>
    </w:p>
    <w:p>
      <w:pPr>
        <w:pStyle w:val="null3"/>
      </w:pPr>
      <w:r>
        <w:rPr>
          <w:rFonts w:ascii="仿宋_GB2312" w:hAnsi="仿宋_GB2312" w:cs="仿宋_GB2312" w:eastAsia="仿宋_GB2312"/>
        </w:rPr>
        <w:t>6、税收缴纳证明：提供2025年1月至今任意时段已缴纳完税凭证或税务机关开具的完税证明（任意税种）；依法免税的应提供相关文件证明；</w:t>
      </w:r>
    </w:p>
    <w:p>
      <w:pPr>
        <w:pStyle w:val="null3"/>
      </w:pPr>
      <w:r>
        <w:rPr>
          <w:rFonts w:ascii="仿宋_GB2312" w:hAnsi="仿宋_GB2312" w:cs="仿宋_GB2312" w:eastAsia="仿宋_GB2312"/>
        </w:rPr>
        <w:t>7、社保缴纳证明：提供2025年1月至今任意时段已缴纳的社会保障资金缴存单据或社保机构开具的社会保险参保缴费情况证明；依法不需要缴纳社会保障资金的应提供相关文件证明；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8、具备履行合同所必需的设备和专业技术能力 ：具备履行合同所必需的设备和专业技术能力；</w:t>
      </w:r>
    </w:p>
    <w:p>
      <w:pPr>
        <w:pStyle w:val="null3"/>
      </w:pPr>
      <w:r>
        <w:rPr>
          <w:rFonts w:ascii="仿宋_GB2312" w:hAnsi="仿宋_GB2312" w:cs="仿宋_GB2312" w:eastAsia="仿宋_GB2312"/>
        </w:rPr>
        <w:t>9、参加政府采购活动前3年内，在经营活动中没有重大违法记录：参加政府采购活动前3年内，在经营活动中没有重大违法记录；</w:t>
      </w:r>
    </w:p>
    <w:p>
      <w:pPr>
        <w:pStyle w:val="null3"/>
      </w:pPr>
      <w:r>
        <w:rPr>
          <w:rFonts w:ascii="仿宋_GB2312" w:hAnsi="仿宋_GB2312" w:cs="仿宋_GB2312" w:eastAsia="仿宋_GB2312"/>
        </w:rPr>
        <w:t>10、供应商信用：采购人或代理机构根据《关于在政府采购活动中查询及使用信用记录有关问题的通知》（财库 〔2016〕125号）的要求，通过“信用中国”网站（www.creditchina.gov.cn）、“中国政府采购网”网站（www.ccgp.gov.cn）等渠道，查询供应商在响应文件提交截止时间前的信用记录并保存信用记录结果网页截图，拒绝列入失信被执行人名单、重大税收违法失信主体、政府采购严重违法失信行为记录名单中的供应商参加本项目的采购活动；</w:t>
      </w:r>
    </w:p>
    <w:p>
      <w:pPr>
        <w:pStyle w:val="null3"/>
      </w:pPr>
      <w:r>
        <w:rPr>
          <w:rFonts w:ascii="仿宋_GB2312" w:hAnsi="仿宋_GB2312" w:cs="仿宋_GB2312" w:eastAsia="仿宋_GB2312"/>
        </w:rPr>
        <w:t>11、本项目不接受联合体投标：供应商应提供《非联合体投标声明》，视为独立投标。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西安市碑林区西铁第二幼儿园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西安市碑林区南二环东段铁路新村内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15339082064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陕西省西安市雁塔区陕西省西安市高新区科技七路15号宝天大厦1401室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曾梅枝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029-81115217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采购包1：1,177,500.00元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参照国家计委颁发的《招标代理服务收费管理暂行办法》（计价格[2002]1980号）和国家发展改革委员会办公厅颁发的《关于招标代理服务收费有关问题的通知》（发改办价格[2003]857号）文规定的“工程”收费标准。请将采购代理服务费汇至下列指定账户，开户名称：陕西万信项目管理有限公司开户银行：中国民生银行股份有限公司西安太白路支行银行账户：634985228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西安市碑林区西铁第二幼儿园</w:t>
      </w:r>
      <w:r>
        <w:rPr>
          <w:rFonts w:ascii="仿宋_GB2312" w:hAnsi="仿宋_GB2312" w:cs="仿宋_GB2312" w:eastAsia="仿宋_GB2312"/>
        </w:rPr>
        <w:t>和</w:t>
      </w:r>
      <w:r>
        <w:rPr>
          <w:rFonts w:ascii="仿宋_GB2312" w:hAnsi="仿宋_GB2312" w:cs="仿宋_GB2312" w:eastAsia="仿宋_GB2312"/>
        </w:rPr>
        <w:t>陕西万信项目管理有限公司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西安市碑林区西铁第二幼儿园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西安市碑林区西铁第二幼儿园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本工程按国家和陕西省西安市现行质量评定标准和施工技术验收规范执行，在工程施工期间颁布新规范或新版本适用本工程的需遵照执行。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陕西万信项目管理有限公司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陕西万信项目管理有限公司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陕西万信项目管理有限公司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联系人：曾梅枝</w:t>
      </w:r>
    </w:p>
    <w:p>
      <w:pPr>
        <w:pStyle w:val="null3"/>
      </w:pPr>
      <w:r>
        <w:rPr>
          <w:rFonts w:ascii="仿宋_GB2312" w:hAnsi="仿宋_GB2312" w:cs="仿宋_GB2312" w:eastAsia="仿宋_GB2312"/>
        </w:rPr>
        <w:t>联系电话：029-81115217</w:t>
      </w:r>
    </w:p>
    <w:p>
      <w:pPr>
        <w:pStyle w:val="null3"/>
      </w:pPr>
      <w:r>
        <w:rPr>
          <w:rFonts w:ascii="仿宋_GB2312" w:hAnsi="仿宋_GB2312" w:cs="仿宋_GB2312" w:eastAsia="仿宋_GB2312"/>
        </w:rPr>
        <w:t>地址： 陕西省西安市雁塔区陕西省西安市高新区科技七路15号宝天大厦1401室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1,177,500.00</w:t>
      </w:r>
    </w:p>
    <w:p>
      <w:pPr>
        <w:pStyle w:val="null3"/>
      </w:pPr>
      <w:r>
        <w:rPr>
          <w:rFonts w:ascii="仿宋_GB2312" w:hAnsi="仿宋_GB2312" w:cs="仿宋_GB2312" w:eastAsia="仿宋_GB2312"/>
        </w:rPr>
        <w:t>采购包最高限价（元）: 1,121,073.72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室内改造项目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1,177,500.00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标的名称：室内改造项目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600"/>
            </w:pPr>
            <w:r>
              <w:rPr>
                <w:rFonts w:ascii="仿宋_GB2312" w:hAnsi="仿宋_GB2312" w:cs="仿宋_GB2312" w:eastAsia="仿宋_GB2312"/>
                <w:sz w:val="18"/>
              </w:rPr>
              <w:t>1.项目地点：陕西省西安市碑林区西铁第二幼儿园；</w:t>
            </w:r>
          </w:p>
          <w:p>
            <w:pPr>
              <w:pStyle w:val="null3"/>
              <w:ind w:left="600"/>
            </w:pPr>
            <w:r>
              <w:rPr>
                <w:rFonts w:ascii="仿宋_GB2312" w:hAnsi="仿宋_GB2312" w:cs="仿宋_GB2312" w:eastAsia="仿宋_GB2312"/>
                <w:sz w:val="18"/>
              </w:rPr>
              <w:t>2.工期： 自进场之日起20个日历日内竣工。</w:t>
            </w:r>
            <w:r>
              <w:br/>
            </w:r>
            <w:r>
              <w:rPr>
                <w:rFonts w:ascii="仿宋_GB2312" w:hAnsi="仿宋_GB2312" w:cs="仿宋_GB2312" w:eastAsia="仿宋_GB2312"/>
                <w:sz w:val="18"/>
              </w:rPr>
              <w:t xml:space="preserve"> 3.项目概况：西铁第二幼儿园室内改造，主要内容为对室内局部消防、托育教室、卫生间及木地板等进行改造，具体施工内容详见分部分项工程量清单</w:t>
            </w:r>
            <w:r>
              <w:rPr>
                <w:rFonts w:ascii="仿宋_GB2312" w:hAnsi="仿宋_GB2312" w:cs="仿宋_GB2312" w:eastAsia="仿宋_GB2312"/>
                <w:sz w:val="18"/>
              </w:rPr>
              <w:t>。</w:t>
            </w:r>
            <w:r>
              <w:br/>
            </w:r>
            <w:r>
              <w:rPr>
                <w:rFonts w:ascii="仿宋_GB2312" w:hAnsi="仿宋_GB2312" w:cs="仿宋_GB2312" w:eastAsia="仿宋_GB2312"/>
                <w:sz w:val="18"/>
              </w:rPr>
              <w:t xml:space="preserve"> 4.</w:t>
            </w:r>
            <w:r>
              <w:rPr>
                <w:rFonts w:ascii="仿宋_GB2312" w:hAnsi="仿宋_GB2312" w:cs="仿宋_GB2312" w:eastAsia="仿宋_GB2312"/>
                <w:sz w:val="18"/>
              </w:rPr>
              <w:t>本项目暂列金为</w:t>
            </w:r>
            <w:r>
              <w:rPr>
                <w:rFonts w:ascii="仿宋_GB2312" w:hAnsi="仿宋_GB2312" w:cs="仿宋_GB2312" w:eastAsia="仿宋_GB2312"/>
                <w:sz w:val="18"/>
              </w:rPr>
              <w:t>90000.00</w:t>
            </w:r>
            <w:r>
              <w:rPr>
                <w:rFonts w:ascii="仿宋_GB2312" w:hAnsi="仿宋_GB2312" w:cs="仿宋_GB2312" w:eastAsia="仿宋_GB2312"/>
                <w:sz w:val="18"/>
              </w:rPr>
              <w:t>元计入西铁第二幼儿园室内修缮改造工程的单独装饰工程中的其他项目；</w:t>
            </w:r>
            <w:r>
              <w:br/>
            </w:r>
            <w:r>
              <w:rPr>
                <w:rFonts w:ascii="仿宋_GB2312" w:hAnsi="仿宋_GB2312" w:cs="仿宋_GB2312" w:eastAsia="仿宋_GB2312"/>
                <w:sz w:val="18"/>
              </w:rPr>
              <w:t xml:space="preserve"> 5.</w:t>
            </w:r>
            <w:r>
              <w:rPr>
                <w:rFonts w:ascii="仿宋_GB2312" w:hAnsi="仿宋_GB2312" w:cs="仿宋_GB2312" w:eastAsia="仿宋_GB2312"/>
                <w:sz w:val="18"/>
              </w:rPr>
              <w:t>计价软件及取费程序执行广联达云计价平台</w:t>
            </w:r>
            <w:r>
              <w:rPr>
                <w:rFonts w:ascii="仿宋_GB2312" w:hAnsi="仿宋_GB2312" w:cs="仿宋_GB2312" w:eastAsia="仿宋_GB2312"/>
                <w:sz w:val="18"/>
              </w:rPr>
              <w:t>GCCP7.0</w:t>
            </w:r>
            <w:r>
              <w:rPr>
                <w:rFonts w:ascii="仿宋_GB2312" w:hAnsi="仿宋_GB2312" w:cs="仿宋_GB2312" w:eastAsia="仿宋_GB2312"/>
                <w:sz w:val="18"/>
              </w:rPr>
              <w:t>中的清单计价模式，软件版本为</w:t>
            </w:r>
            <w:r>
              <w:rPr>
                <w:rFonts w:ascii="仿宋_GB2312" w:hAnsi="仿宋_GB2312" w:cs="仿宋_GB2312" w:eastAsia="仿宋_GB2312"/>
                <w:sz w:val="18"/>
              </w:rPr>
              <w:t>GCCP7.5000.23.1</w:t>
            </w:r>
            <w:r>
              <w:rPr>
                <w:rFonts w:ascii="仿宋_GB2312" w:hAnsi="仿宋_GB2312" w:cs="仿宋_GB2312" w:eastAsia="仿宋_GB2312"/>
                <w:sz w:val="18"/>
              </w:rPr>
              <w:t>。</w:t>
            </w:r>
          </w:p>
          <w:p>
            <w:pPr>
              <w:pStyle w:val="null3"/>
              <w:ind w:firstLine="560"/>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本工程按国家和陕西省西安市现行质量评定标准和施工技术验收规范执行，在工程施工期间颁布新规范或新版本适用本工程的需遵照执行。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1.本项目产品有特殊要求的详见分部分项工程量清单。 2.供应商报价不允许超过最高限价。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1.2024年度完整的财务报表审计报告（包括但不限于审计报告、资产负债表、利润表、现金流量表、所有者权益变动表及财务报表附注等内容，成立时间至提交响应文件截止时间不足一年的可提供成立后任意时段的资产负债表）；2.提交响应文件截止时间前三个月内其基本账户开户银行出具的资信证明（附基本存款账户信息）。｝以上两种方式供应商任选其一进行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参与的供应商（联合体）工程的施工单位全部为符合政策要求的中小企业或微型企业或监狱企业或残疾人福利性单位。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法人身份证复印件或法定代表人授权书及被授权人身份证复印件</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他人参加磋商的，须出具法定代表人授权书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营业执照、事业单位法人证书、自然人身份证明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供应商为具有独立承担民事责任能力的法人或其他组织或自然人，并提供法人或者其他组织合法有效的营业执照等证明文件，事业单位应提供事业单位法人证书，自然人应提供身份证明文件；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供应商应具有建筑装修装饰工程专业承包二级及以上资质和钢结构工程专业承包三级及以上资质，且具有建设行政主管部门颁发的安全生产许可证，并在人员、设备、资金等方面具备相应的施工能力；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拟派项目经理需具备建筑工程专业二级及以上建造师注册证书，具备有效的安全生产考核合格B证，在本单位注册且无在建项目；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财务会计制度的证明材料</w:t>
            </w:r>
          </w:p>
        </w:tc>
        <w:tc>
          <w:tcPr>
            <w:tcW w:type="dxa" w:w="3322"/>
          </w:tcPr>
          <w:p>
            <w:pPr>
              <w:pStyle w:val="null3"/>
            </w:pPr>
            <w:r>
              <w:rPr>
                <w:rFonts w:ascii="仿宋_GB2312" w:hAnsi="仿宋_GB2312" w:cs="仿宋_GB2312" w:eastAsia="仿宋_GB2312"/>
              </w:rPr>
              <w:t>关于财务会计制度的证明材料｛注：1.2024年度完整的财务报表审计报告（包括但不限于审计报告、资产负债表、利润表、现金流量表、所有者权益变动表及财务报表附注等内容，成立时间至提交响应文件截止时间不足一年的可提供成立后任意时段的资产负债表）；2.提交响应文件截止时间前 三个月内其基本账户开户银行出具的资信证明（附基本存款账户信息）。｝以上两种方式供应商任 选其一进行提供，供应商需在项目电子化交易系统中按要求上传相应证明文件并进行电子签章。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提供2025年1月至今任意时段已缴纳完税凭证或税务机关开具的完税证明（任意税种）；依法免税的应提供相关文件证明；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提供2025年1月至今任意时段已缴纳的社会保障资金缴存单据或社保机构开具的社会保险参保缴费情况证明；依法不需要缴纳社会保障资金的应提供相关文件证明；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采购人或代理机构根据《关于在政府采购活动中查询及使用信用记录有关问题的通知》（财库 〔2016〕125号）的要求，通过“信用中国”网站（www.creditchina.gov.cn）、“中国政府采购网”网站（www.ccgp.gov.cn）等渠道，查询供应商在响应文件提交截止时间前的信用记录并保存信用记录结果网页截图，拒绝列入失信被执行人名单、重大税收违法失信主体、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供应商应提供《非联合体投标声明》，视为独立投标。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强制优先采购产品承诺函 保修承诺书.docx 响应文件封面 供应商应提交的相关资格证明材料.docx 项目管理机构人员表.docx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强制优先采购产品承诺函 保修承诺书.docx 响应文件封面 供应商应提交的相关资格证明材料.docx 项目管理机构人员表.docx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强制优先采购产品承诺函 保修承诺书.docx 响应文件封面 供应商应提交的相关资格证明材料.docx 项目管理机构人员表.docx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工期和质量</w:t>
            </w:r>
          </w:p>
        </w:tc>
        <w:tc>
          <w:tcPr>
            <w:tcW w:type="dxa" w:w="3322"/>
          </w:tcPr>
          <w:p>
            <w:pPr>
              <w:pStyle w:val="null3"/>
            </w:pPr>
            <w:r>
              <w:rPr>
                <w:rFonts w:ascii="仿宋_GB2312" w:hAnsi="仿宋_GB2312" w:cs="仿宋_GB2312" w:eastAsia="仿宋_GB2312"/>
              </w:rPr>
              <w:t>应满足磋商文件规定的工期和质量</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应满足磋商文件规定的磋商有效期</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评审得分相同的，按照最后报价由低到高的顺序推荐。评审得分且最后报价相同的，按照评审因素的量化指标评审得分的最高推荐。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内容全面、合理，针对性强，得4-7分；比较全面、合理，针对性较强，得1-4分；不够全面、合理，针对性欠缺：得0-1分。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项目管理机构人员表.docx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内容全面、合理，针对性强，得3-6分；比较全面、合理，针对性较强，得1-3分； 不够全面、合理，针对性欠缺：得0-1分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内容全面、合理，针对性强，得4-7分；比较全面、合理，针对性较强，得1-4分；不够全面、合理，针对性欠缺：得0-1分。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 、劳动力安排情况</w:t>
            </w:r>
          </w:p>
        </w:tc>
        <w:tc>
          <w:tcPr>
            <w:tcW w:type="dxa" w:w="2492"/>
          </w:tcPr>
          <w:p>
            <w:pPr>
              <w:pStyle w:val="null3"/>
            </w:pPr>
            <w:r>
              <w:rPr>
                <w:rFonts w:ascii="仿宋_GB2312" w:hAnsi="仿宋_GB2312" w:cs="仿宋_GB2312" w:eastAsia="仿宋_GB2312"/>
              </w:rPr>
              <w:t>内容全面、合理，针对性强，得3-6分；比较全面、合理，针对性较强，得1-3分 ；不够全面、合理，针对性欠缺：得0-1分。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确保工程质量技术组织措施</w:t>
            </w:r>
          </w:p>
        </w:tc>
        <w:tc>
          <w:tcPr>
            <w:tcW w:type="dxa" w:w="2492"/>
          </w:tcPr>
          <w:p>
            <w:pPr>
              <w:pStyle w:val="null3"/>
            </w:pPr>
            <w:r>
              <w:rPr>
                <w:rFonts w:ascii="仿宋_GB2312" w:hAnsi="仿宋_GB2312" w:cs="仿宋_GB2312" w:eastAsia="仿宋_GB2312"/>
              </w:rPr>
              <w:t>内容全面、合理，针对性强，得4-7分；比较全面、合理，针对性较强，得1-4分 ；不够全面、合理，针对性欠缺：得0-1分。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内容全面、合理，针对性强，得4-7分；比较全面、合理，针对性较强，得1-4分 ；不够全面、合理，针对性欠缺：得0-1分。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内容全面、合理，针对性强，得3-6分；比较全面、合理，针对性较强，得1-3分 ；不够全面、合理，针对性欠缺：得0-1分。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内容全面、合理，针对性强，得3-6分；比较全面、合理，针对性较强，得1-3分 ；不够全面、合理，针对性欠缺：得0-1分。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确保文明施工措施</w:t>
            </w:r>
          </w:p>
        </w:tc>
        <w:tc>
          <w:tcPr>
            <w:tcW w:type="dxa" w:w="2492"/>
          </w:tcPr>
          <w:p>
            <w:pPr>
              <w:pStyle w:val="null3"/>
            </w:pPr>
            <w:r>
              <w:rPr>
                <w:rFonts w:ascii="仿宋_GB2312" w:hAnsi="仿宋_GB2312" w:cs="仿宋_GB2312" w:eastAsia="仿宋_GB2312"/>
              </w:rPr>
              <w:t>内容全面、合理，针对性强，得3-6分；比较全面、合理，针对性较强，得1-3分 ；不够全面、合理，针对性欠缺：得0-1分。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企业业绩： 提供2022年1月1日至今，类似施工业绩合同或中标通知书，每提供一个业绩证明材料得2分，最多得6分。 注：1.业绩时间以合同签订日期或中标通知书中的写明日期为准 2.业绩证明材料复印件应清晰有效，并加盖企业公章。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施工单位的施工保修承诺书，横向对比计1-6分。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保修承诺书.docx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详见附件：项目管理机构人员表.docx</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详见附件：保修承诺书.docx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