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版本号：YCGL-ZB-202508120250730001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盐店街幼儿园教学楼改造、室外改造工程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YCGL-ZB-2025081</w:t>
      </w:r>
      <w:r>
        <w:br/>
      </w:r>
      <w:r>
        <w:br/>
      </w:r>
      <w:r>
        <w:br/>
      </w:r>
    </w:p>
    <w:p>
      <w:pPr>
        <w:pStyle w:val="null3"/>
        <w:jc w:val="center"/>
        <w:outlineLvl w:val="2"/>
      </w:pPr>
      <w:r>
        <w:rPr>
          <w:rFonts w:ascii="仿宋_GB2312" w:hAnsi="仿宋_GB2312" w:cs="仿宋_GB2312" w:eastAsia="仿宋_GB2312"/>
          <w:sz w:val="28"/>
          <w:b/>
        </w:rPr>
        <w:t>西安市碑林区盐店街幼儿园</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西安市碑林区盐店街幼儿园</w:t>
      </w:r>
      <w:r>
        <w:rPr>
          <w:rFonts w:ascii="仿宋_GB2312" w:hAnsi="仿宋_GB2312" w:cs="仿宋_GB2312" w:eastAsia="仿宋_GB2312"/>
        </w:rPr>
        <w:t>委托，拟对</w:t>
      </w:r>
      <w:r>
        <w:rPr>
          <w:rFonts w:ascii="仿宋_GB2312" w:hAnsi="仿宋_GB2312" w:cs="仿宋_GB2312" w:eastAsia="仿宋_GB2312"/>
        </w:rPr>
        <w:t>盐店街幼儿园教学楼改造、室外改造工程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YCGL-ZB-2025081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盐店街幼儿园教学楼改造、室外改造工程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本项目主要对教学楼及室外等进行改造，具体内容详见施工图纸及工程量清单。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采购包1（盐店街幼儿园教学楼改造、室外改造工程）：属于专门面向中小企业采购。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1、营业执照、事业单位法人证书、自然人身份证明 ：供应商为具有独立承担民事责任能力的法人或其他组织或自然人，并提供法人或者其他组织合法有效的营业执照等证明文件，事业单位应提供事业单位法人证书，自然人应提供身份证明文件；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法人身份证复印件或法定代表人授权书及被授权人身份证复印件：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p>
      <w:pPr>
        <w:pStyle w:val="null3"/>
      </w:pPr>
      <w:r>
        <w:rPr>
          <w:rFonts w:ascii="仿宋_GB2312" w:hAnsi="仿宋_GB2312" w:cs="仿宋_GB2312" w:eastAsia="仿宋_GB2312"/>
        </w:rPr>
        <w:t>3、企业资质：供应商应具有建筑装修装饰工程专业承包二级及以上资质，且具有建设行政主管部门颁发的安全生产许可证，并在人员、设备、资金等方面具备相应的施工能力；</w:t>
      </w:r>
    </w:p>
    <w:p>
      <w:pPr>
        <w:pStyle w:val="null3"/>
      </w:pPr>
      <w:r>
        <w:rPr>
          <w:rFonts w:ascii="仿宋_GB2312" w:hAnsi="仿宋_GB2312" w:cs="仿宋_GB2312" w:eastAsia="仿宋_GB2312"/>
        </w:rPr>
        <w:t>4、 项目经理：拟派项目经理需具备建筑工程专业二级及以上建造师注册证书，具备有效的安全生产考核合格B证，在本单位注册且无在建项目；</w:t>
      </w:r>
    </w:p>
    <w:p>
      <w:pPr>
        <w:pStyle w:val="null3"/>
      </w:pPr>
      <w:r>
        <w:rPr>
          <w:rFonts w:ascii="仿宋_GB2312" w:hAnsi="仿宋_GB2312" w:cs="仿宋_GB2312" w:eastAsia="仿宋_GB2312"/>
        </w:rPr>
        <w:t>5、财务会计制度的证明材料 ：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三个月内其基本账户开户银行出具的资信证明（附基本存款账户信息）。｝以上两种方式供应商任选其一进行提供，供应商需在项目电子化交易系统中按要求上传相应证明文件并进行电子签章。</w:t>
      </w:r>
    </w:p>
    <w:p>
      <w:pPr>
        <w:pStyle w:val="null3"/>
      </w:pPr>
      <w:r>
        <w:rPr>
          <w:rFonts w:ascii="仿宋_GB2312" w:hAnsi="仿宋_GB2312" w:cs="仿宋_GB2312" w:eastAsia="仿宋_GB2312"/>
        </w:rPr>
        <w:t>6、税收缴纳证明：提供2025年1月至今任意时段已缴纳完税凭证或税务机关开具的完税证明（任意税种）；依法免税的应提供相关文件证明；</w:t>
      </w:r>
    </w:p>
    <w:p>
      <w:pPr>
        <w:pStyle w:val="null3"/>
      </w:pPr>
      <w:r>
        <w:rPr>
          <w:rFonts w:ascii="仿宋_GB2312" w:hAnsi="仿宋_GB2312" w:cs="仿宋_GB2312" w:eastAsia="仿宋_GB2312"/>
        </w:rPr>
        <w:t>7、社保缴纳证明 ：提供2025年1月至今任意时段已缴纳的社会保障资金缴存单据或社保机构开具的社会保险参保缴费情况证明；依法不需要缴纳社会保障资金的应提供相关文件证明；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8、具备履行合同所必需的设备和专业技术能力：具备履行合同所必需的设备和专业技术能力；</w:t>
      </w:r>
    </w:p>
    <w:p>
      <w:pPr>
        <w:pStyle w:val="null3"/>
      </w:pPr>
      <w:r>
        <w:rPr>
          <w:rFonts w:ascii="仿宋_GB2312" w:hAnsi="仿宋_GB2312" w:cs="仿宋_GB2312" w:eastAsia="仿宋_GB2312"/>
        </w:rPr>
        <w:t>9、参加政府采购活动前3年内，在经营活动中没有重大违法记录 ：参加政府采购活动前3年内，在经营活动中没有重大违法记录；</w:t>
      </w:r>
    </w:p>
    <w:p>
      <w:pPr>
        <w:pStyle w:val="null3"/>
      </w:pPr>
      <w:r>
        <w:rPr>
          <w:rFonts w:ascii="仿宋_GB2312" w:hAnsi="仿宋_GB2312" w:cs="仿宋_GB2312" w:eastAsia="仿宋_GB2312"/>
        </w:rPr>
        <w:t>10、供应商信用：采购人或代理机构根据《关于在政府采购活动中查询及使用信用记录有关问题的通知》（财库 〔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11、本项目不接受联合体投标：供应商应提供《非联合体投标声明》，视为独立投标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西安市碑林区盐店街幼儿园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西安市碑林区盐店街19号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13720521294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陕西省西安市雁塔区雁翔路111号赛格中京坊A座2单元3401室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石海波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15002998344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采购包1：968,078.31元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颁发的《招标代理服务收费管理暂行办法》（计价格[2002]1980号）和国家发展改革委员会办公厅颁发的《关于招标代理服务收费有关问题的通知》（发改办价格[2003]857号）文规定的“工程”收费标准。2.成交单位的代理服务费交纳信息： 银行户名：远创项目管理有限公司，开户银行：西安银行股份有限公司长安西路支行，账号：515011580000143343。3.成交单位在领取成交通知书前，须向采购代理机构一次性支付采购代理服务费。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西安市碑林区盐店街幼儿园</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西安市碑林区盐店街幼儿园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西安市碑林区盐店街幼儿园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联系人：石海波</w:t>
      </w:r>
    </w:p>
    <w:p>
      <w:pPr>
        <w:pStyle w:val="null3"/>
      </w:pPr>
      <w:r>
        <w:rPr>
          <w:rFonts w:ascii="仿宋_GB2312" w:hAnsi="仿宋_GB2312" w:cs="仿宋_GB2312" w:eastAsia="仿宋_GB2312"/>
        </w:rPr>
        <w:t>联系电话：15002998344</w:t>
      </w:r>
    </w:p>
    <w:p>
      <w:pPr>
        <w:pStyle w:val="null3"/>
      </w:pPr>
      <w:r>
        <w:rPr>
          <w:rFonts w:ascii="仿宋_GB2312" w:hAnsi="仿宋_GB2312" w:cs="仿宋_GB2312" w:eastAsia="仿宋_GB2312"/>
        </w:rPr>
        <w:t>地址：陕西省西安市雁塔区雁翔路111号赛格中京坊A座2单元3401室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968,078.31</w:t>
      </w:r>
    </w:p>
    <w:p>
      <w:pPr>
        <w:pStyle w:val="null3"/>
      </w:pPr>
      <w:r>
        <w:rPr>
          <w:rFonts w:ascii="仿宋_GB2312" w:hAnsi="仿宋_GB2312" w:cs="仿宋_GB2312" w:eastAsia="仿宋_GB2312"/>
        </w:rPr>
        <w:t>采购包最高限价（元）: 943,736.45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盐店街幼儿园教学楼改造、室外改造工程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968,078.31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标的名称：盐店街幼儿园教学楼改造、室外改造工程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（1）工程内容：本项目主要对教学楼及室外等进行改造，具体内容详见施工图纸及工程量清单。</w:t>
            </w:r>
            <w:r>
              <w:br/>
            </w:r>
            <w:r>
              <w:rPr>
                <w:rFonts w:ascii="仿宋_GB2312" w:hAnsi="仿宋_GB2312" w:cs="仿宋_GB2312" w:eastAsia="仿宋_GB2312"/>
              </w:rPr>
              <w:t xml:space="preserve"> （2）工期：自进场之日起20个日历日内竣工。</w:t>
            </w:r>
            <w:r>
              <w:br/>
            </w:r>
            <w:r>
              <w:rPr>
                <w:rFonts w:ascii="仿宋_GB2312" w:hAnsi="仿宋_GB2312" w:cs="仿宋_GB2312" w:eastAsia="仿宋_GB2312"/>
              </w:rPr>
              <w:t xml:space="preserve"> （3）工程地点：西安市碑林区盐店街幼儿园。</w:t>
            </w:r>
            <w:r>
              <w:br/>
            </w:r>
            <w:r>
              <w:rPr>
                <w:rFonts w:ascii="仿宋_GB2312" w:hAnsi="仿宋_GB2312" w:cs="仿宋_GB2312" w:eastAsia="仿宋_GB2312"/>
              </w:rPr>
              <w:t xml:space="preserve"> （4）质量保修期：本工程整体质保期为 2 年，质量保修期自工程竣工验收合格之日起计算，分部分项工程质量保修期按《建设工程质量管理条例》及有关国家规定执行。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1.本项目产品有特殊要求的详见分部分项工程量清单。 2.供应商报价不允许超过最高限价。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三个月内其基本账户开户银行出具的资信证明（附基本存款账户信息）。｝以上两种方式供应商任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参与的供应商（联合体）工程的施工单位全部为符合政策要求的中小企业或微型企业或监狱企业或残疾人福利性单位。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营业执照、事业单位法人证书、自然人身份证明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供应商应具有建筑装修装饰工程专业承包二级及以上资质，且具有建设行政主管部门颁发的安全生产许可证，并在人员、设备、资金等方面具备相应的施工能力；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项目经理</w:t>
            </w:r>
          </w:p>
        </w:tc>
        <w:tc>
          <w:tcPr>
            <w:tcW w:type="dxa" w:w="3322"/>
          </w:tcPr>
          <w:p>
            <w:pPr>
              <w:pStyle w:val="null3"/>
            </w:pPr>
            <w:r>
              <w:rPr>
                <w:rFonts w:ascii="仿宋_GB2312" w:hAnsi="仿宋_GB2312" w:cs="仿宋_GB2312" w:eastAsia="仿宋_GB2312"/>
              </w:rPr>
              <w:t>拟派项目经理需具备建筑工程专业二级及以上建造师注册证书，具备有效的安全生产考核合格B证，在本单位注册且无在建项目；</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财务会计制度的证明材料</w:t>
            </w:r>
          </w:p>
        </w:tc>
        <w:tc>
          <w:tcPr>
            <w:tcW w:type="dxa" w:w="3322"/>
          </w:tcPr>
          <w:p>
            <w:pPr>
              <w:pStyle w:val="null3"/>
            </w:pPr>
            <w:r>
              <w:rPr>
                <w:rFonts w:ascii="仿宋_GB2312" w:hAnsi="仿宋_GB2312" w:cs="仿宋_GB2312" w:eastAsia="仿宋_GB2312"/>
              </w:rPr>
              <w:t>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三个月内其基本账户开户银行出具的资信证明（附基本存款账户信息）。｝以上两种方式供应商任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提供2025年1月至今任意时段已缴纳完税凭证或税务机关开具的完税证明（任意税种）；依法免税的应提供相关文件证明；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采购人或代理机构根据《关于在政府采购活动中查询及使用信用记录有关问题的通知》（财库 〔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已标价工程量清单 中小企业声明函 供应商应提交的相关资格证明材料(1).docx 技术服务合同条款及其他商务要求应答表 项目管理机构人员组成表.docx 施工组织设计(1).docx 强制优先采购产品承诺函 响应文件封面 保修承诺书(1).docx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应符合响应文件要求</w:t>
            </w:r>
          </w:p>
        </w:tc>
        <w:tc>
          <w:tcPr>
            <w:tcW w:type="dxa" w:w="1661"/>
          </w:tcPr>
          <w:p>
            <w:pPr>
              <w:pStyle w:val="null3"/>
            </w:pPr>
            <w:r>
              <w:rPr>
                <w:rFonts w:ascii="仿宋_GB2312" w:hAnsi="仿宋_GB2312" w:cs="仿宋_GB2312" w:eastAsia="仿宋_GB2312"/>
              </w:rPr>
              <w:t>已标价工程量清单 中小企业声明函 供应商应提交的相关资格证明材料(1).docx 技术服务合同条款及其他商务要求应答表 项目管理机构人员组成表.docx 施工组织设计(1).docx 强制优先采购产品承诺函 响应文件封面 保修承诺书(1).docx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中小企业声明函 供应商应提交的相关资格证明材料(1).docx 技术服务合同条款及其他商务要求应答表 项目管理机构人员组成表.docx 施工组织设计(1).docx 强制优先采购产品承诺函 响应文件封面 保修承诺书(1).docx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工期和质量</w:t>
            </w:r>
          </w:p>
        </w:tc>
        <w:tc>
          <w:tcPr>
            <w:tcW w:type="dxa" w:w="3322"/>
          </w:tcPr>
          <w:p>
            <w:pPr>
              <w:pStyle w:val="null3"/>
            </w:pPr>
            <w:r>
              <w:rPr>
                <w:rFonts w:ascii="仿宋_GB2312" w:hAnsi="仿宋_GB2312" w:cs="仿宋_GB2312" w:eastAsia="仿宋_GB2312"/>
              </w:rPr>
              <w:t>应满足磋商文件规定的工期和质量</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应满足磋商文件规定的磋商有效期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评审得分相同的，按照最后报价由低到高的顺序推荐。评审得分且最终报价均相同的，按照评审因素中的企业实力、保修承诺量化指标评审得分的最高推荐。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内容全面、合理，针对性强，得4-7分；比较全面、合理，针对性较强，得1-4分；不够全面、合理，针对性欠缺：得0-1分。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p>
            <w:pPr>
              <w:pStyle w:val="null3"/>
            </w:pPr>
            <w:r>
              <w:rPr>
                <w:rFonts w:ascii="仿宋_GB2312" w:hAnsi="仿宋_GB2312" w:cs="仿宋_GB2312" w:eastAsia="仿宋_GB2312"/>
              </w:rPr>
              <w:t>项目管理机构人员组成表.docx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内容全面、合理，针对性强，得3-6分；比较全面、合理，针对性较强，得1-3分；不够全面、合理，针对性欠缺：得0-1分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内容全面、合理，针对性强，得4-7分；比较全面、合理，针对性较强，得1-4分；不够全面、合理，针对性欠缺：得0-1分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施工方案 、劳动力安排情况</w:t>
            </w:r>
          </w:p>
        </w:tc>
        <w:tc>
          <w:tcPr>
            <w:tcW w:type="dxa" w:w="2492"/>
          </w:tcPr>
          <w:p>
            <w:pPr>
              <w:pStyle w:val="null3"/>
            </w:pPr>
            <w:r>
              <w:rPr>
                <w:rFonts w:ascii="仿宋_GB2312" w:hAnsi="仿宋_GB2312" w:cs="仿宋_GB2312" w:eastAsia="仿宋_GB2312"/>
              </w:rPr>
              <w:t>内容全面、合理，针对性强，得3-6分；比较全面、合理，针对性较强，得1-3分；不够全面、合理，针对性欠缺：得0-1分。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确保工程质量技术组织措施</w:t>
            </w:r>
          </w:p>
        </w:tc>
        <w:tc>
          <w:tcPr>
            <w:tcW w:type="dxa" w:w="2492"/>
          </w:tcPr>
          <w:p>
            <w:pPr>
              <w:pStyle w:val="null3"/>
            </w:pPr>
            <w:r>
              <w:rPr>
                <w:rFonts w:ascii="仿宋_GB2312" w:hAnsi="仿宋_GB2312" w:cs="仿宋_GB2312" w:eastAsia="仿宋_GB2312"/>
              </w:rPr>
              <w:t>内容全面、合理，针对性强，得4-7分；比较全面、合理，针对性较强，得1-4分；不够全面、合理，针对性欠缺：得0-1分。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内容全面、合理，针对性强，得4-7分；比较全面、合理，针对性较强，得1-4分；不够全面、合理，针对性欠缺：得0-1分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内容全面、合理，针对性强，得3-6分；比较全面、合理，针对性较强，得1-3分；不够全面、合理，针对性欠缺：得0-1分。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内容全面、合理，针对性强，得3-6分；比较全面、合理，针对性较强，得1-3分；不够全面、合理，针对性欠缺：得0-1分。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确保文明施工措施</w:t>
            </w:r>
          </w:p>
        </w:tc>
        <w:tc>
          <w:tcPr>
            <w:tcW w:type="dxa" w:w="2492"/>
          </w:tcPr>
          <w:p>
            <w:pPr>
              <w:pStyle w:val="null3"/>
            </w:pPr>
            <w:r>
              <w:rPr>
                <w:rFonts w:ascii="仿宋_GB2312" w:hAnsi="仿宋_GB2312" w:cs="仿宋_GB2312" w:eastAsia="仿宋_GB2312"/>
              </w:rPr>
              <w:t>内容全面、合理，针对性强，得3-6分；比较全面、合理，针对性较强，得1-3分；不够全面、合理，针对性欠缺：得0-1分。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提供2022年1月1日至今，类似装修装饰施工业绩合同或中标通知书，每提供一个业绩证明材料得2分，最多得6分.注：1.业绩时间以合同签订日期或中标通知书中的写明日期为准 2.业绩证明材料复印件应清晰有效，并加盖企业公章。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施工单位的施工保修承诺书，横向对比计1-6分。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保修承诺书(1).docx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磋商报价得分＝（磋商基准价/最后磋商报价）×30（注：满足磋商文件要求且最后磋商报价最低的价格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详见附件：项目管理机构人员组成表.docx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详见附件：保修承诺书(1).docx</w:t>
      </w:r>
    </w:p>
    <w:p>
      <w:pPr>
        <w:pStyle w:val="null3"/>
        <w:ind w:firstLine="960"/>
      </w:pPr>
      <w:r>
        <w:rPr>
          <w:rFonts w:ascii="仿宋_GB2312" w:hAnsi="仿宋_GB2312" w:cs="仿宋_GB2312" w:eastAsia="仿宋_GB2312"/>
        </w:rPr>
        <w:t>详见附件：施工组织设计(1).docx</w:t>
      </w:r>
    </w:p>
    <w:p>
      <w:pPr>
        <w:pStyle w:val="null3"/>
        <w:ind w:firstLine="960"/>
      </w:pPr>
      <w:r>
        <w:rPr>
          <w:rFonts w:ascii="仿宋_GB2312" w:hAnsi="仿宋_GB2312" w:cs="仿宋_GB2312" w:eastAsia="仿宋_GB2312"/>
        </w:rPr>
        <w:t>详见附件：供应商应提交的相关资格证明材料(1).docx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详见附件：合同初稿.docx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